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61"/>
        <w:tblW w:w="9810" w:type="dxa"/>
        <w:tblBorders>
          <w:bottom w:val="single" w:sz="12" w:space="0" w:color="auto"/>
          <w:insideH w:val="single" w:sz="12" w:space="0" w:color="auto"/>
        </w:tblBorders>
        <w:tblLayout w:type="fixed"/>
        <w:tblLook w:val="0000" w:firstRow="0" w:lastRow="0" w:firstColumn="0" w:lastColumn="0" w:noHBand="0" w:noVBand="0"/>
      </w:tblPr>
      <w:tblGrid>
        <w:gridCol w:w="4536"/>
        <w:gridCol w:w="3492"/>
        <w:gridCol w:w="1782"/>
      </w:tblGrid>
      <w:tr w:rsidR="00D87325" w:rsidRPr="00D87325" w14:paraId="421DCCBD" w14:textId="77777777" w:rsidTr="008F17CD">
        <w:trPr>
          <w:cantSplit/>
          <w:trHeight w:val="900"/>
        </w:trPr>
        <w:tc>
          <w:tcPr>
            <w:tcW w:w="4536" w:type="dxa"/>
            <w:tcBorders>
              <w:bottom w:val="single" w:sz="4" w:space="0" w:color="auto"/>
            </w:tcBorders>
            <w:vAlign w:val="center"/>
          </w:tcPr>
          <w:p w14:paraId="712F3CEC" w14:textId="186741E1" w:rsidR="00D87325" w:rsidRPr="00D87325" w:rsidRDefault="00D87325" w:rsidP="00D87325">
            <w:pPr>
              <w:keepNext/>
              <w:spacing w:before="120"/>
              <w:jc w:val="left"/>
              <w:outlineLvl w:val="1"/>
              <w:rPr>
                <w:rFonts w:ascii="Univers" w:eastAsia="PMingLiU" w:hAnsi="Univers" w:cs="PMingLiU"/>
                <w:iCs/>
                <w:sz w:val="32"/>
                <w:szCs w:val="32"/>
                <w:lang w:val="en-US" w:eastAsia="ar-SA"/>
              </w:rPr>
            </w:pPr>
            <w:bookmarkStart w:id="0" w:name="_Hlk137651738"/>
            <w:bookmarkStart w:id="1" w:name="_GoBack"/>
            <w:bookmarkEnd w:id="1"/>
            <w:r w:rsidRPr="00D87325">
              <w:rPr>
                <w:sz w:val="40"/>
                <w:szCs w:val="40"/>
              </w:rPr>
              <w:t>CBD</w:t>
            </w:r>
            <w:r w:rsidRPr="00D87325">
              <w:rPr>
                <w:szCs w:val="22"/>
              </w:rPr>
              <w:t>/WG8J/REC/12/</w:t>
            </w:r>
            <w:r>
              <w:rPr>
                <w:szCs w:val="22"/>
              </w:rPr>
              <w:t>5</w:t>
            </w:r>
          </w:p>
        </w:tc>
        <w:tc>
          <w:tcPr>
            <w:tcW w:w="3492" w:type="dxa"/>
            <w:tcBorders>
              <w:bottom w:val="single" w:sz="4" w:space="0" w:color="auto"/>
            </w:tcBorders>
          </w:tcPr>
          <w:p w14:paraId="3C4110B0" w14:textId="77777777" w:rsidR="00D87325" w:rsidRPr="00D87325" w:rsidRDefault="00D87325" w:rsidP="00D87325">
            <w:pPr>
              <w:tabs>
                <w:tab w:val="left" w:pos="-720"/>
                <w:tab w:val="left" w:pos="0"/>
              </w:tabs>
              <w:suppressAutoHyphens/>
              <w:bidi/>
              <w:jc w:val="right"/>
              <w:rPr>
                <w:rFonts w:eastAsia="PMingLiU" w:cs="PMingLiU"/>
                <w:b/>
                <w:bCs/>
                <w:sz w:val="24"/>
                <w:rtl/>
                <w:lang w:val="en-US" w:eastAsia="ar-SA"/>
              </w:rPr>
            </w:pPr>
            <w:r w:rsidRPr="00D87325">
              <w:rPr>
                <w:rFonts w:ascii="Simplified Arabic" w:eastAsia="PMingLiU" w:hAnsi="Simplified Arabic" w:cs="Simplified Arabic"/>
                <w:b/>
                <w:bCs/>
                <w:noProof/>
                <w:sz w:val="24"/>
                <w:rtl/>
                <w:lang w:eastAsia="en-GB"/>
              </w:rPr>
              <w:drawing>
                <wp:anchor distT="0" distB="0" distL="114300" distR="114300" simplePos="0" relativeHeight="251661312" behindDoc="0" locked="0" layoutInCell="1" allowOverlap="1" wp14:anchorId="3F9B222F" wp14:editId="3D7B3420">
                  <wp:simplePos x="0" y="0"/>
                  <wp:positionH relativeFrom="column">
                    <wp:posOffset>843915</wp:posOffset>
                  </wp:positionH>
                  <wp:positionV relativeFrom="paragraph">
                    <wp:posOffset>0</wp:posOffset>
                  </wp:positionV>
                  <wp:extent cx="1791970" cy="570135"/>
                  <wp:effectExtent l="0" t="0" r="0" b="1905"/>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1" cstate="print">
                            <a:biLevel thresh="75000"/>
                          </a:blip>
                          <a:srcRect t="15000" r="8304" b="16667"/>
                          <a:stretch>
                            <a:fillRect/>
                          </a:stretch>
                        </pic:blipFill>
                        <pic:spPr bwMode="auto">
                          <a:xfrm>
                            <a:off x="0" y="0"/>
                            <a:ext cx="1791970" cy="570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782" w:type="dxa"/>
            <w:tcBorders>
              <w:bottom w:val="single" w:sz="4" w:space="0" w:color="auto"/>
            </w:tcBorders>
          </w:tcPr>
          <w:p w14:paraId="2729F998" w14:textId="77777777" w:rsidR="00D87325" w:rsidRPr="00D87325" w:rsidRDefault="00D87325" w:rsidP="00D87325">
            <w:pPr>
              <w:tabs>
                <w:tab w:val="left" w:pos="-720"/>
              </w:tabs>
              <w:suppressAutoHyphens/>
              <w:bidi/>
              <w:spacing w:before="120"/>
              <w:jc w:val="center"/>
              <w:rPr>
                <w:rFonts w:eastAsia="PMingLiU" w:cs="PMingLiU"/>
                <w:sz w:val="24"/>
                <w:lang w:val="en-US" w:eastAsia="ar-SA"/>
              </w:rPr>
            </w:pPr>
            <w:r w:rsidRPr="00D87325">
              <w:rPr>
                <w:rFonts w:eastAsia="PMingLiU" w:cs="PMingLiU"/>
                <w:noProof/>
                <w:sz w:val="24"/>
                <w:lang w:eastAsia="en-GB"/>
              </w:rPr>
              <w:drawing>
                <wp:anchor distT="0" distB="0" distL="114300" distR="114300" simplePos="0" relativeHeight="251660288" behindDoc="0" locked="0" layoutInCell="1" allowOverlap="1" wp14:anchorId="3A8B7B4E" wp14:editId="14062459">
                  <wp:simplePos x="0" y="0"/>
                  <wp:positionH relativeFrom="column">
                    <wp:posOffset>443865</wp:posOffset>
                  </wp:positionH>
                  <wp:positionV relativeFrom="paragraph">
                    <wp:posOffset>126049</wp:posOffset>
                  </wp:positionV>
                  <wp:extent cx="409575" cy="351471"/>
                  <wp:effectExtent l="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843" cy="351701"/>
                          </a:xfrm>
                          <a:prstGeom prst="rect">
                            <a:avLst/>
                          </a:prstGeom>
                          <a:noFill/>
                        </pic:spPr>
                      </pic:pic>
                    </a:graphicData>
                  </a:graphic>
                  <wp14:sizeRelH relativeFrom="margin">
                    <wp14:pctWidth>0</wp14:pctWidth>
                  </wp14:sizeRelH>
                  <wp14:sizeRelV relativeFrom="margin">
                    <wp14:pctHeight>0</wp14:pctHeight>
                  </wp14:sizeRelV>
                </wp:anchor>
              </w:drawing>
            </w:r>
          </w:p>
          <w:p w14:paraId="105904E7" w14:textId="77777777" w:rsidR="00D87325" w:rsidRPr="00D87325" w:rsidRDefault="00D87325" w:rsidP="00D87325">
            <w:pPr>
              <w:tabs>
                <w:tab w:val="left" w:pos="-720"/>
              </w:tabs>
              <w:suppressAutoHyphens/>
              <w:bidi/>
              <w:spacing w:line="120" w:lineRule="auto"/>
              <w:jc w:val="left"/>
              <w:rPr>
                <w:rFonts w:eastAsia="PMingLiU" w:cs="PMingLiU"/>
                <w:sz w:val="24"/>
                <w:lang w:val="en-US" w:eastAsia="ar-SA"/>
              </w:rPr>
            </w:pPr>
          </w:p>
        </w:tc>
      </w:tr>
      <w:tr w:rsidR="00D87325" w:rsidRPr="00D87325" w14:paraId="11CBBC3C" w14:textId="77777777" w:rsidTr="008F17CD">
        <w:trPr>
          <w:cantSplit/>
          <w:trHeight w:val="1770"/>
        </w:trPr>
        <w:tc>
          <w:tcPr>
            <w:tcW w:w="4536" w:type="dxa"/>
            <w:tcBorders>
              <w:top w:val="single" w:sz="4" w:space="0" w:color="auto"/>
            </w:tcBorders>
          </w:tcPr>
          <w:p w14:paraId="0C4438B1" w14:textId="77777777" w:rsidR="00D87325" w:rsidRPr="00D87325" w:rsidRDefault="00D87325" w:rsidP="00D87325">
            <w:pPr>
              <w:ind w:left="1339" w:hanging="979"/>
              <w:rPr>
                <w:szCs w:val="22"/>
              </w:rPr>
            </w:pPr>
            <w:r w:rsidRPr="00D87325">
              <w:rPr>
                <w:szCs w:val="22"/>
              </w:rPr>
              <w:t>Distr.: General</w:t>
            </w:r>
          </w:p>
          <w:p w14:paraId="303FA376" w14:textId="425E9217" w:rsidR="00D87325" w:rsidRPr="00D87325" w:rsidRDefault="00D87325" w:rsidP="00D87325">
            <w:pPr>
              <w:ind w:left="1339" w:hanging="979"/>
              <w:rPr>
                <w:szCs w:val="22"/>
              </w:rPr>
            </w:pPr>
            <w:r>
              <w:rPr>
                <w:szCs w:val="22"/>
              </w:rPr>
              <w:t>16</w:t>
            </w:r>
            <w:r w:rsidRPr="00D87325">
              <w:rPr>
                <w:szCs w:val="22"/>
              </w:rPr>
              <w:t xml:space="preserve"> November 2023</w:t>
            </w:r>
          </w:p>
          <w:p w14:paraId="146EB272" w14:textId="77777777" w:rsidR="00D87325" w:rsidRPr="00D87325" w:rsidRDefault="00D87325" w:rsidP="00D87325">
            <w:pPr>
              <w:ind w:left="1339" w:hanging="979"/>
              <w:rPr>
                <w:szCs w:val="22"/>
              </w:rPr>
            </w:pPr>
          </w:p>
          <w:p w14:paraId="75C08B50" w14:textId="77777777" w:rsidR="00D87325" w:rsidRPr="00D87325" w:rsidRDefault="00D87325" w:rsidP="00D87325">
            <w:pPr>
              <w:ind w:left="1339" w:hanging="979"/>
              <w:rPr>
                <w:szCs w:val="22"/>
              </w:rPr>
            </w:pPr>
            <w:r w:rsidRPr="00D87325">
              <w:rPr>
                <w:szCs w:val="22"/>
              </w:rPr>
              <w:t>Arabic</w:t>
            </w:r>
          </w:p>
          <w:p w14:paraId="76AD7C56" w14:textId="77777777" w:rsidR="00D87325" w:rsidRPr="00D87325" w:rsidRDefault="00D87325" w:rsidP="00D87325">
            <w:pPr>
              <w:ind w:left="1339" w:hanging="979"/>
              <w:rPr>
                <w:szCs w:val="22"/>
              </w:rPr>
            </w:pPr>
            <w:r w:rsidRPr="00D87325">
              <w:rPr>
                <w:szCs w:val="22"/>
              </w:rPr>
              <w:t xml:space="preserve">Original: English </w:t>
            </w:r>
          </w:p>
        </w:tc>
        <w:tc>
          <w:tcPr>
            <w:tcW w:w="5274" w:type="dxa"/>
            <w:gridSpan w:val="2"/>
            <w:tcBorders>
              <w:top w:val="single" w:sz="4" w:space="0" w:color="auto"/>
            </w:tcBorders>
          </w:tcPr>
          <w:p w14:paraId="7887EE3E" w14:textId="77777777" w:rsidR="00D87325" w:rsidRPr="00D87325" w:rsidRDefault="00D87325" w:rsidP="00D87325">
            <w:pPr>
              <w:rPr>
                <w:szCs w:val="22"/>
                <w:rtl/>
              </w:rPr>
            </w:pPr>
            <w:r w:rsidRPr="00D87325">
              <w:rPr>
                <w:noProof/>
                <w:szCs w:val="22"/>
                <w:rtl/>
                <w:lang w:eastAsia="en-GB"/>
              </w:rPr>
              <w:drawing>
                <wp:anchor distT="0" distB="0" distL="114300" distR="114300" simplePos="0" relativeHeight="251659264" behindDoc="0" locked="0" layoutInCell="1" allowOverlap="1" wp14:anchorId="4AAD28F9" wp14:editId="7009AC99">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5000F913" w14:textId="77777777" w:rsidR="00D87325" w:rsidRPr="00D87325" w:rsidRDefault="00D87325" w:rsidP="00D87325">
      <w:pPr>
        <w:bidi/>
        <w:spacing w:before="40" w:line="192" w:lineRule="auto"/>
        <w:ind w:left="-181" w:right="5954"/>
        <w:rPr>
          <w:rFonts w:ascii="Simplified Arabic" w:eastAsia="SimSun" w:hAnsi="Simplified Arabic" w:cs="Simplified Arabic"/>
          <w:b/>
          <w:bCs/>
          <w:sz w:val="24"/>
          <w:rtl/>
          <w:lang w:val="ru-RU"/>
        </w:rPr>
      </w:pPr>
      <w:r w:rsidRPr="00D87325">
        <w:rPr>
          <w:rFonts w:ascii="Simplified Arabic" w:eastAsia="SimSun" w:hAnsi="Simplified Arabic" w:cs="Simplified Arabic" w:hint="cs"/>
          <w:b/>
          <w:bCs/>
          <w:sz w:val="24"/>
          <w:rtl/>
          <w:lang w:val="ru-RU"/>
        </w:rPr>
        <w:t>الفريق المفتوح العضوية العامل بين الدورات المخصص للمادة 8(ي) والأحكام المتصلة بها في اتفاقية التنوع البيولوجي</w:t>
      </w:r>
    </w:p>
    <w:p w14:paraId="50603F58" w14:textId="77777777" w:rsidR="00D87325" w:rsidRPr="00D87325" w:rsidRDefault="00D87325" w:rsidP="00D87325">
      <w:pPr>
        <w:bidi/>
        <w:spacing w:line="192" w:lineRule="auto"/>
        <w:ind w:hanging="180"/>
        <w:outlineLvl w:val="6"/>
        <w:rPr>
          <w:rFonts w:eastAsia="PMingLiU" w:cs="Simplified Arabic"/>
          <w:b/>
          <w:bCs/>
          <w:sz w:val="24"/>
          <w:rtl/>
          <w:lang w:val="fr-CA" w:eastAsia="ar-SA"/>
        </w:rPr>
      </w:pPr>
      <w:r w:rsidRPr="00D87325">
        <w:rPr>
          <w:rFonts w:eastAsia="PMingLiU" w:cs="Simplified Arabic" w:hint="cs"/>
          <w:b/>
          <w:bCs/>
          <w:sz w:val="24"/>
          <w:rtl/>
          <w:lang w:val="fr-CA" w:eastAsia="ar-SA"/>
        </w:rPr>
        <w:t>الاجتماع</w:t>
      </w:r>
      <w:r w:rsidRPr="00D87325">
        <w:rPr>
          <w:rFonts w:eastAsia="PMingLiU" w:cs="Simplified Arabic" w:hint="cs"/>
          <w:b/>
          <w:bCs/>
          <w:sz w:val="24"/>
          <w:rtl/>
          <w:lang w:val="fr-CA" w:eastAsia="ar-SA" w:bidi="ar-EG"/>
        </w:rPr>
        <w:t xml:space="preserve"> </w:t>
      </w:r>
      <w:r w:rsidRPr="00D87325">
        <w:rPr>
          <w:rFonts w:eastAsia="PMingLiU" w:cs="Simplified Arabic" w:hint="cs"/>
          <w:b/>
          <w:bCs/>
          <w:sz w:val="24"/>
          <w:rtl/>
          <w:lang w:val="fr-CA" w:eastAsia="ar-SA"/>
        </w:rPr>
        <w:t>الثاني</w:t>
      </w:r>
      <w:r w:rsidRPr="00D87325">
        <w:rPr>
          <w:rFonts w:eastAsia="PMingLiU" w:cs="Simplified Arabic" w:hint="cs"/>
          <w:b/>
          <w:bCs/>
          <w:sz w:val="24"/>
          <w:rtl/>
          <w:lang w:val="fr-CA" w:eastAsia="ar-SA" w:bidi="ar-EG"/>
        </w:rPr>
        <w:t xml:space="preserve"> عشر</w:t>
      </w:r>
    </w:p>
    <w:p w14:paraId="176AECF6" w14:textId="77777777" w:rsidR="00D87325" w:rsidRPr="00D87325" w:rsidRDefault="00D87325" w:rsidP="00D87325">
      <w:pPr>
        <w:bidi/>
        <w:spacing w:line="192" w:lineRule="auto"/>
        <w:ind w:left="-180"/>
        <w:rPr>
          <w:rFonts w:eastAsia="PMingLiU" w:cs="Simplified Arabic"/>
          <w:sz w:val="24"/>
          <w:rtl/>
          <w:lang w:val="fr-CA" w:eastAsia="ar-SA" w:bidi="ar-LY"/>
        </w:rPr>
      </w:pPr>
      <w:r w:rsidRPr="00D87325">
        <w:rPr>
          <w:rFonts w:eastAsia="PMingLiU" w:cs="Simplified Arabic" w:hint="cs"/>
          <w:sz w:val="24"/>
          <w:rtl/>
          <w:lang w:val="fr-CA" w:eastAsia="ar-SA" w:bidi="ar-LY"/>
        </w:rPr>
        <w:t xml:space="preserve">جنيف، </w:t>
      </w:r>
      <w:r w:rsidRPr="00D87325">
        <w:rPr>
          <w:rFonts w:eastAsia="PMingLiU" w:cs="Simplified Arabic"/>
          <w:sz w:val="24"/>
          <w:lang w:val="en-US" w:eastAsia="ar-SA" w:bidi="ar-LY"/>
        </w:rPr>
        <w:t>12</w:t>
      </w:r>
      <w:r w:rsidRPr="00D87325">
        <w:rPr>
          <w:rFonts w:eastAsia="PMingLiU" w:cs="Simplified Arabic" w:hint="cs"/>
          <w:sz w:val="24"/>
          <w:rtl/>
          <w:lang w:val="fr-CA" w:eastAsia="ar-SA" w:bidi="ar-LY"/>
        </w:rPr>
        <w:t>-</w:t>
      </w:r>
      <w:r w:rsidRPr="00D87325">
        <w:rPr>
          <w:rFonts w:eastAsia="PMingLiU" w:cs="Simplified Arabic"/>
          <w:sz w:val="24"/>
          <w:lang w:val="fr-CA" w:eastAsia="ar-SA" w:bidi="ar-LY"/>
        </w:rPr>
        <w:t>16</w:t>
      </w:r>
      <w:r w:rsidRPr="00D87325">
        <w:rPr>
          <w:rFonts w:eastAsia="PMingLiU" w:cs="Simplified Arabic" w:hint="cs"/>
          <w:sz w:val="24"/>
          <w:rtl/>
          <w:lang w:val="fr-CA" w:eastAsia="ar-SA" w:bidi="ar-LY"/>
        </w:rPr>
        <w:t xml:space="preserve"> نوفمبر/تشرين الثاني </w:t>
      </w:r>
      <w:r w:rsidRPr="00D87325">
        <w:rPr>
          <w:rFonts w:eastAsia="PMingLiU" w:cs="Simplified Arabic"/>
          <w:sz w:val="24"/>
          <w:lang w:val="fr-CA" w:eastAsia="ar-SA" w:bidi="ar-LY"/>
        </w:rPr>
        <w:t>2023</w:t>
      </w:r>
    </w:p>
    <w:p w14:paraId="7C11529C" w14:textId="3971D565" w:rsidR="00D87325" w:rsidRPr="00D87325" w:rsidRDefault="00D87325" w:rsidP="00D87325">
      <w:pPr>
        <w:suppressLineNumbers/>
        <w:suppressAutoHyphens/>
        <w:kinsoku w:val="0"/>
        <w:overflowPunct w:val="0"/>
        <w:autoSpaceDE w:val="0"/>
        <w:autoSpaceDN w:val="0"/>
        <w:bidi/>
        <w:adjustRightInd w:val="0"/>
        <w:snapToGrid w:val="0"/>
        <w:ind w:left="-180"/>
        <w:jc w:val="left"/>
        <w:rPr>
          <w:rFonts w:eastAsia="PMingLiU"/>
          <w:snapToGrid w:val="0"/>
          <w:kern w:val="22"/>
          <w:szCs w:val="22"/>
          <w:vertAlign w:val="superscript"/>
          <w:lang w:val="fr-CA" w:eastAsia="nb-NO"/>
        </w:rPr>
      </w:pPr>
      <w:r w:rsidRPr="00D87325">
        <w:rPr>
          <w:rFonts w:ascii="Simplified Arabic" w:eastAsia="PMingLiU" w:hAnsi="Simplified Arabic" w:cs="Simplified Arabic"/>
          <w:sz w:val="24"/>
          <w:rtl/>
          <w:lang w:val="fr-CA" w:eastAsia="ar-SA"/>
        </w:rPr>
        <w:t xml:space="preserve">البند </w:t>
      </w:r>
      <w:r>
        <w:rPr>
          <w:rFonts w:ascii="Simplified Arabic" w:eastAsia="PMingLiU" w:hAnsi="Simplified Arabic" w:cs="Simplified Arabic" w:hint="cs"/>
          <w:sz w:val="24"/>
          <w:rtl/>
          <w:lang w:val="fr-CA" w:eastAsia="ar-SA"/>
        </w:rPr>
        <w:t>8</w:t>
      </w:r>
      <w:r w:rsidRPr="00D87325">
        <w:rPr>
          <w:rFonts w:ascii="Simplified Arabic" w:eastAsia="PMingLiU" w:hAnsi="Simplified Arabic" w:cs="Simplified Arabic"/>
          <w:sz w:val="24"/>
          <w:rtl/>
          <w:lang w:val="fr-CA" w:eastAsia="ar-SA"/>
        </w:rPr>
        <w:t xml:space="preserve"> من جدول الأعمال</w:t>
      </w:r>
    </w:p>
    <w:p w14:paraId="63AEE039" w14:textId="34B1F4FD" w:rsidR="00A96B21" w:rsidRPr="00D87325" w:rsidRDefault="003A5554" w:rsidP="00D87325">
      <w:pPr>
        <w:bidi/>
        <w:spacing w:before="40" w:line="192" w:lineRule="auto"/>
        <w:ind w:left="-181" w:right="5954"/>
        <w:rPr>
          <w:rFonts w:ascii="Simplified Arabic" w:eastAsia="PMingLiU" w:hAnsi="Simplified Arabic" w:cs="Simplified Arabic"/>
          <w:b/>
          <w:bCs/>
          <w:sz w:val="24"/>
          <w:lang w:val="fr-CA" w:eastAsia="ar-SA"/>
        </w:rPr>
      </w:pPr>
      <w:r w:rsidRPr="00D87325">
        <w:rPr>
          <w:rFonts w:ascii="Simplified Arabic" w:eastAsia="PMingLiU" w:hAnsi="Simplified Arabic" w:cs="Simplified Arabic" w:hint="cs"/>
          <w:b/>
          <w:bCs/>
          <w:sz w:val="24"/>
          <w:rtl/>
          <w:lang w:val="fr-CA" w:eastAsia="ar-SA"/>
        </w:rPr>
        <w:t>توصيات المنتدى الدائم المعني بقضايا الشعوب الأصلية</w:t>
      </w:r>
    </w:p>
    <w:bookmarkEnd w:id="0"/>
    <w:p w14:paraId="5F145177" w14:textId="7B6EF051" w:rsidR="00D87325" w:rsidRDefault="00D87325" w:rsidP="00D87325">
      <w:pPr>
        <w:bidi/>
        <w:spacing w:before="120" w:after="240" w:line="420" w:lineRule="exact"/>
        <w:ind w:left="567"/>
        <w:outlineLvl w:val="2"/>
        <w:rPr>
          <w:rFonts w:eastAsia="PMingLiU" w:cs="Simplified Arabic"/>
          <w:b/>
          <w:bCs/>
          <w:sz w:val="28"/>
          <w:szCs w:val="28"/>
          <w:rtl/>
          <w:lang w:val="fr-CA" w:eastAsia="ar-SA" w:bidi="ar-EG"/>
        </w:rPr>
      </w:pPr>
      <w:r>
        <w:rPr>
          <w:rFonts w:eastAsia="PMingLiU" w:cs="Simplified Arabic" w:hint="cs"/>
          <w:b/>
          <w:bCs/>
          <w:sz w:val="28"/>
          <w:szCs w:val="28"/>
          <w:rtl/>
          <w:lang w:val="fr-CA" w:eastAsia="ar-SA" w:bidi="ar-EG"/>
        </w:rPr>
        <w:t>توصية اعتمدها الفريق العامل في 16 نوفمبر/تشرين الثاني 2023</w:t>
      </w:r>
    </w:p>
    <w:p w14:paraId="46DCCFAC" w14:textId="6A06581F" w:rsidR="00A96B21" w:rsidRPr="00D87325" w:rsidRDefault="00D87325" w:rsidP="00D87325">
      <w:pPr>
        <w:bidi/>
        <w:spacing w:before="120" w:after="240" w:line="420" w:lineRule="exact"/>
        <w:ind w:left="1287" w:hanging="720"/>
        <w:outlineLvl w:val="2"/>
        <w:rPr>
          <w:rFonts w:eastAsia="PMingLiU" w:cs="Simplified Arabic"/>
          <w:b/>
          <w:bCs/>
          <w:sz w:val="28"/>
          <w:szCs w:val="28"/>
          <w:lang w:val="fr-CA" w:eastAsia="ar-SA" w:bidi="ar-EG"/>
        </w:rPr>
      </w:pPr>
      <w:r>
        <w:rPr>
          <w:rFonts w:eastAsia="PMingLiU" w:cs="Simplified Arabic" w:hint="cs"/>
          <w:b/>
          <w:bCs/>
          <w:sz w:val="28"/>
          <w:szCs w:val="28"/>
          <w:rtl/>
          <w:lang w:val="fr-CA" w:eastAsia="ar-SA" w:bidi="ar-EG"/>
        </w:rPr>
        <w:t>12/5-</w:t>
      </w:r>
      <w:r>
        <w:rPr>
          <w:rFonts w:eastAsia="PMingLiU" w:cs="Simplified Arabic" w:hint="cs"/>
          <w:b/>
          <w:bCs/>
          <w:sz w:val="28"/>
          <w:szCs w:val="28"/>
          <w:rtl/>
          <w:lang w:val="fr-CA" w:eastAsia="ar-SA" w:bidi="ar-EG"/>
        </w:rPr>
        <w:tab/>
      </w:r>
      <w:r w:rsidR="003A5554" w:rsidRPr="00D87325">
        <w:rPr>
          <w:rFonts w:eastAsia="PMingLiU" w:cs="Simplified Arabic" w:hint="cs"/>
          <w:b/>
          <w:bCs/>
          <w:sz w:val="28"/>
          <w:szCs w:val="28"/>
          <w:rtl/>
          <w:lang w:val="fr-CA" w:eastAsia="ar-SA" w:bidi="ar-EG"/>
        </w:rPr>
        <w:t>توصيات من المنتدى الدائم المعني بقضايا الشعوب الأصلية فيما يتعلق باتفاقية التنوع البيولوجي</w:t>
      </w:r>
    </w:p>
    <w:p w14:paraId="6D564187" w14:textId="496CD696" w:rsidR="004116A8" w:rsidRPr="00D87325" w:rsidRDefault="00D87325" w:rsidP="00D87325">
      <w:pPr>
        <w:pStyle w:val="ListParagraph"/>
        <w:tabs>
          <w:tab w:val="left" w:pos="1280"/>
        </w:tabs>
        <w:bidi/>
        <w:spacing w:after="120" w:line="216" w:lineRule="auto"/>
        <w:ind w:left="567" w:firstLine="720"/>
        <w:contextualSpacing w:val="0"/>
        <w:rPr>
          <w:rFonts w:cs="Simplified Arabic"/>
          <w:i/>
          <w:iCs/>
          <w:lang w:val="en-US"/>
        </w:rPr>
      </w:pPr>
      <w:r>
        <w:rPr>
          <w:rFonts w:cs="Simplified Arabic" w:hint="cs"/>
          <w:rtl/>
          <w:lang w:val="en-US"/>
        </w:rPr>
        <w:t>[</w:t>
      </w:r>
      <w:r>
        <w:rPr>
          <w:rFonts w:cs="Simplified Arabic" w:hint="cs"/>
          <w:i/>
          <w:iCs/>
          <w:rtl/>
          <w:lang w:val="en-US"/>
        </w:rPr>
        <w:t xml:space="preserve">إن </w:t>
      </w:r>
      <w:r w:rsidR="004116A8" w:rsidRPr="004116A8">
        <w:rPr>
          <w:rFonts w:cs="Simplified Arabic"/>
          <w:i/>
          <w:iCs/>
          <w:rtl/>
          <w:lang w:val="en-US"/>
        </w:rPr>
        <w:t xml:space="preserve">الفريق المفتوح العضوية العامل بين الدورات المخصص للمادة </w:t>
      </w:r>
      <w:r w:rsidR="004116A8" w:rsidRPr="004116A8">
        <w:rPr>
          <w:rFonts w:cs="Simplified Arabic" w:hint="cs"/>
          <w:i/>
          <w:iCs/>
          <w:rtl/>
          <w:lang w:val="en-US"/>
        </w:rPr>
        <w:t>8</w:t>
      </w:r>
      <w:r w:rsidR="004116A8" w:rsidRPr="004116A8">
        <w:rPr>
          <w:rFonts w:cs="Simplified Arabic"/>
          <w:i/>
          <w:iCs/>
          <w:rtl/>
          <w:lang w:val="en-US"/>
        </w:rPr>
        <w:t>(ي) والأحكام المتصلة بها</w:t>
      </w:r>
      <w:r w:rsidR="004116A8" w:rsidRPr="004116A8">
        <w:rPr>
          <w:rFonts w:cs="Simplified Arabic" w:hint="cs"/>
          <w:i/>
          <w:iCs/>
          <w:rtl/>
          <w:lang w:val="en-US"/>
        </w:rPr>
        <w:t xml:space="preserve"> </w:t>
      </w:r>
      <w:r w:rsidR="004116A8" w:rsidRPr="00D87325">
        <w:rPr>
          <w:rFonts w:cs="Simplified Arabic" w:hint="cs"/>
          <w:i/>
          <w:iCs/>
          <w:rtl/>
          <w:lang w:val="en-US"/>
        </w:rPr>
        <w:t>في</w:t>
      </w:r>
      <w:r w:rsidR="004116A8" w:rsidRPr="00D87325">
        <w:rPr>
          <w:rFonts w:cs="Simplified Arabic"/>
          <w:i/>
          <w:iCs/>
          <w:rtl/>
          <w:lang w:val="en-US"/>
        </w:rPr>
        <w:t xml:space="preserve"> اتفاقية التنوع البيولوجي</w:t>
      </w:r>
    </w:p>
    <w:p w14:paraId="731F7F74" w14:textId="1A6972EA" w:rsidR="00ED1CF8" w:rsidRDefault="00ED1CF8" w:rsidP="00D87325">
      <w:pPr>
        <w:pStyle w:val="ListParagraph"/>
        <w:tabs>
          <w:tab w:val="left" w:pos="1280"/>
        </w:tabs>
        <w:bidi/>
        <w:spacing w:after="120" w:line="216" w:lineRule="auto"/>
        <w:ind w:left="567" w:firstLine="720"/>
        <w:contextualSpacing w:val="0"/>
        <w:rPr>
          <w:rFonts w:asciiTheme="majorBidi" w:eastAsia="Malgun Gothic" w:hAnsiTheme="majorBidi" w:cstheme="majorBidi"/>
          <w:i/>
          <w:iCs/>
          <w:snapToGrid w:val="0"/>
          <w:szCs w:val="18"/>
          <w:rtl/>
          <w:lang w:eastAsia="x-none"/>
        </w:rPr>
      </w:pPr>
      <w:r w:rsidRPr="00ED1CF8">
        <w:rPr>
          <w:rFonts w:cs="Simplified Arabic"/>
          <w:i/>
          <w:iCs/>
          <w:rtl/>
          <w:lang w:val="en-US"/>
        </w:rPr>
        <w:t>يوصي</w:t>
      </w:r>
      <w:r w:rsidRPr="004A56D6">
        <w:rPr>
          <w:rFonts w:cs="Simplified Arabic"/>
          <w:rtl/>
          <w:lang w:val="en-US"/>
        </w:rPr>
        <w:t xml:space="preserve"> بأن يعتمد مؤتمر الأطراف، في اجتماعه السادس عشر، مقررا على غرار ما يلي:</w:t>
      </w:r>
    </w:p>
    <w:p w14:paraId="5B0D28D9" w14:textId="6F711314" w:rsidR="00516EA4" w:rsidRPr="00605807" w:rsidRDefault="00516EA4" w:rsidP="00D87325">
      <w:pPr>
        <w:pStyle w:val="ListParagraph"/>
        <w:tabs>
          <w:tab w:val="left" w:pos="1280"/>
        </w:tabs>
        <w:bidi/>
        <w:spacing w:after="120" w:line="216" w:lineRule="auto"/>
        <w:ind w:left="567" w:firstLine="713"/>
        <w:contextualSpacing w:val="0"/>
        <w:rPr>
          <w:rFonts w:asciiTheme="majorBidi" w:eastAsiaTheme="minorEastAsia" w:hAnsiTheme="majorBidi" w:cstheme="majorBidi"/>
          <w:kern w:val="2"/>
          <w:szCs w:val="22"/>
          <w:rtl/>
          <w:lang w:eastAsia="zh-CN"/>
          <w14:ligatures w14:val="standardContextual"/>
        </w:rPr>
      </w:pPr>
      <w:r w:rsidRPr="00605807">
        <w:rPr>
          <w:rFonts w:cs="Simplified Arabic" w:hint="cs"/>
          <w:i/>
          <w:iCs/>
          <w:rtl/>
          <w:lang w:val="en-US"/>
        </w:rPr>
        <w:t xml:space="preserve">إن مؤتمر </w:t>
      </w:r>
      <w:r w:rsidRPr="00D87325">
        <w:rPr>
          <w:rFonts w:cs="Simplified Arabic" w:hint="cs"/>
          <w:rtl/>
          <w:lang w:val="en-US"/>
        </w:rPr>
        <w:t>الأطراف</w:t>
      </w:r>
      <w:r w:rsidRPr="00605807">
        <w:rPr>
          <w:rFonts w:cs="Simplified Arabic" w:hint="cs"/>
          <w:rtl/>
          <w:lang w:val="en-US"/>
        </w:rPr>
        <w:t>،</w:t>
      </w:r>
    </w:p>
    <w:p w14:paraId="655312BC" w14:textId="488B5706" w:rsidR="006C12E0" w:rsidRPr="00430865" w:rsidRDefault="006C12E0" w:rsidP="00430865">
      <w:pPr>
        <w:bidi/>
        <w:spacing w:after="120" w:line="216" w:lineRule="auto"/>
        <w:ind w:left="567" w:firstLine="720"/>
        <w:rPr>
          <w:rFonts w:cs="Simplified Arabic"/>
          <w:i/>
          <w:iCs/>
          <w:rtl/>
        </w:rPr>
      </w:pPr>
      <w:r w:rsidRPr="00430865">
        <w:rPr>
          <w:rFonts w:cs="Simplified Arabic"/>
          <w:i/>
          <w:iCs/>
          <w:sz w:val="24"/>
          <w:rtl/>
        </w:rPr>
        <w:t>إذ يشير</w:t>
      </w:r>
      <w:r w:rsidRPr="00430865">
        <w:rPr>
          <w:rFonts w:cs="Simplified Arabic"/>
          <w:sz w:val="24"/>
          <w:rtl/>
        </w:rPr>
        <w:t xml:space="preserve"> إلى أنه ينبغي فهم إطار </w:t>
      </w:r>
      <w:proofErr w:type="spellStart"/>
      <w:r w:rsidRPr="00430865">
        <w:rPr>
          <w:rFonts w:cs="Simplified Arabic"/>
          <w:sz w:val="24"/>
          <w:rtl/>
        </w:rPr>
        <w:t>كونمينغ</w:t>
      </w:r>
      <w:proofErr w:type="spellEnd"/>
      <w:r w:rsidRPr="00430865">
        <w:rPr>
          <w:rFonts w:cs="Simplified Arabic"/>
          <w:sz w:val="24"/>
          <w:rtl/>
        </w:rPr>
        <w:t>-مونتريال العالمي للتنوع البيولوجي</w:t>
      </w:r>
      <w:r w:rsidR="00F03033" w:rsidRPr="00430865">
        <w:rPr>
          <w:rStyle w:val="FootnoteReference"/>
          <w:rFonts w:cs="Simplified Arabic"/>
          <w:sz w:val="24"/>
          <w:rtl/>
        </w:rPr>
        <w:footnoteReference w:id="2"/>
      </w:r>
      <w:r w:rsidR="00172F91" w:rsidRPr="00430865">
        <w:rPr>
          <w:rFonts w:cs="Simplified Arabic" w:hint="cs"/>
          <w:sz w:val="24"/>
          <w:rtl/>
        </w:rPr>
        <w:t xml:space="preserve"> </w:t>
      </w:r>
      <w:r w:rsidRPr="00430865">
        <w:rPr>
          <w:rFonts w:cs="Simplified Arabic"/>
          <w:sz w:val="24"/>
          <w:rtl/>
        </w:rPr>
        <w:t xml:space="preserve">والعمل بموجبه وتنفيذه والإبلاغ عنه وتقييمه </w:t>
      </w:r>
      <w:r w:rsidR="005316CC" w:rsidRPr="00430865">
        <w:rPr>
          <w:rFonts w:cs="Simplified Arabic" w:hint="cs"/>
          <w:sz w:val="24"/>
          <w:rtl/>
        </w:rPr>
        <w:t>على نحو</w:t>
      </w:r>
      <w:r w:rsidRPr="00430865">
        <w:rPr>
          <w:rFonts w:cs="Simplified Arabic"/>
          <w:sz w:val="24"/>
          <w:rtl/>
        </w:rPr>
        <w:t xml:space="preserve"> يتفق مع مساهم</w:t>
      </w:r>
      <w:r w:rsidR="00BB69D0" w:rsidRPr="00430865">
        <w:rPr>
          <w:rFonts w:cs="Simplified Arabic" w:hint="cs"/>
          <w:sz w:val="24"/>
          <w:rtl/>
        </w:rPr>
        <w:t>ات</w:t>
      </w:r>
      <w:r w:rsidRPr="00430865">
        <w:rPr>
          <w:rFonts w:cs="Simplified Arabic"/>
          <w:sz w:val="24"/>
          <w:rtl/>
        </w:rPr>
        <w:t xml:space="preserve"> وحقوق الشعوب الأصلية والمجتمعات المحلية، </w:t>
      </w:r>
      <w:r w:rsidR="00D87325" w:rsidRPr="00430865">
        <w:rPr>
          <w:rFonts w:cs="Simplified Arabic" w:hint="cs"/>
          <w:sz w:val="24"/>
          <w:rtl/>
        </w:rPr>
        <w:t>وأنه قد اعُترف في الإطار ب</w:t>
      </w:r>
      <w:r w:rsidRPr="00430865">
        <w:rPr>
          <w:rFonts w:cs="Simplified Arabic"/>
          <w:sz w:val="24"/>
          <w:rtl/>
        </w:rPr>
        <w:t>الأدوار والمساهمات اله</w:t>
      </w:r>
      <w:r w:rsidR="00BB69D0" w:rsidRPr="00430865">
        <w:rPr>
          <w:rFonts w:cs="Simplified Arabic" w:hint="cs"/>
          <w:sz w:val="24"/>
          <w:rtl/>
        </w:rPr>
        <w:t>ا</w:t>
      </w:r>
      <w:r w:rsidRPr="00430865">
        <w:rPr>
          <w:rFonts w:cs="Simplified Arabic"/>
          <w:sz w:val="24"/>
          <w:rtl/>
        </w:rPr>
        <w:t xml:space="preserve">مة للشعوب الأصلية والمجتمعات المحلية </w:t>
      </w:r>
      <w:r w:rsidR="002E4574" w:rsidRPr="00430865">
        <w:rPr>
          <w:rFonts w:cs="Simplified Arabic" w:hint="cs"/>
          <w:sz w:val="24"/>
          <w:rtl/>
        </w:rPr>
        <w:t>كحُماة</w:t>
      </w:r>
      <w:r w:rsidRPr="00430865">
        <w:rPr>
          <w:rFonts w:cs="Simplified Arabic"/>
          <w:sz w:val="24"/>
          <w:rtl/>
        </w:rPr>
        <w:t xml:space="preserve"> </w:t>
      </w:r>
      <w:r w:rsidR="002E4574" w:rsidRPr="00430865">
        <w:rPr>
          <w:rFonts w:cs="Simplified Arabic" w:hint="cs"/>
          <w:sz w:val="24"/>
          <w:rtl/>
        </w:rPr>
        <w:t>ل</w:t>
      </w:r>
      <w:r w:rsidRPr="00430865">
        <w:rPr>
          <w:rFonts w:cs="Simplified Arabic"/>
          <w:sz w:val="24"/>
          <w:rtl/>
        </w:rPr>
        <w:t>لتنوع البيولوجي وكشركاء في حفظه واستعادته واستخدامه المستدام،</w:t>
      </w:r>
    </w:p>
    <w:p w14:paraId="5064A115" w14:textId="47968508" w:rsidR="00272D0F" w:rsidRPr="00430865" w:rsidRDefault="00272D0F" w:rsidP="00430865">
      <w:pPr>
        <w:tabs>
          <w:tab w:val="left" w:pos="720"/>
        </w:tabs>
        <w:bidi/>
        <w:spacing w:after="120" w:line="216" w:lineRule="auto"/>
        <w:ind w:left="567" w:firstLine="720"/>
        <w:rPr>
          <w:rFonts w:cs="Simplified Arabic"/>
          <w:i/>
          <w:iCs/>
          <w:color w:val="000000"/>
          <w:rtl/>
        </w:rPr>
      </w:pPr>
      <w:r w:rsidRPr="00430865">
        <w:rPr>
          <w:rFonts w:cs="Simplified Arabic"/>
          <w:i/>
          <w:iCs/>
          <w:sz w:val="24"/>
          <w:rtl/>
        </w:rPr>
        <w:t>وإذ يشير أيضا</w:t>
      </w:r>
      <w:r w:rsidRPr="00430865">
        <w:rPr>
          <w:rFonts w:cs="Simplified Arabic"/>
          <w:sz w:val="24"/>
          <w:rtl/>
        </w:rPr>
        <w:t xml:space="preserve"> إلى أنه يتعين تنفيذ الإطار وفقا للصكوك الدولية، بما في ذلك إعلان الأمم المتحدة بشأن حقوق الشعوب الأصلية،</w:t>
      </w:r>
      <w:r w:rsidRPr="00430865">
        <w:rPr>
          <w:rStyle w:val="FootnoteReference"/>
          <w:rFonts w:cs="Simplified Arabic"/>
          <w:sz w:val="24"/>
          <w:rtl/>
        </w:rPr>
        <w:footnoteReference w:id="3"/>
      </w:r>
      <w:r w:rsidR="00172F91" w:rsidRPr="00430865">
        <w:rPr>
          <w:rFonts w:cs="Simplified Arabic" w:hint="cs"/>
          <w:color w:val="000000"/>
          <w:rtl/>
        </w:rPr>
        <w:t xml:space="preserve"> </w:t>
      </w:r>
      <w:r w:rsidRPr="00430865">
        <w:rPr>
          <w:rFonts w:cs="Simplified Arabic"/>
          <w:sz w:val="24"/>
          <w:rtl/>
        </w:rPr>
        <w:t>وقانون حقوق الإنسان، وفي هذا الصدد</w:t>
      </w:r>
      <w:r w:rsidR="00651022" w:rsidRPr="00430865">
        <w:rPr>
          <w:rFonts w:cs="Simplified Arabic" w:hint="cs"/>
          <w:sz w:val="24"/>
          <w:rtl/>
        </w:rPr>
        <w:t xml:space="preserve"> أنه</w:t>
      </w:r>
      <w:r w:rsidRPr="00430865">
        <w:rPr>
          <w:rFonts w:cs="Simplified Arabic"/>
          <w:sz w:val="24"/>
          <w:rtl/>
        </w:rPr>
        <w:t xml:space="preserve"> لا يجوز تفسير أي شيء في الإطار على أنه ي</w:t>
      </w:r>
      <w:r w:rsidR="00651022" w:rsidRPr="00430865">
        <w:rPr>
          <w:rFonts w:cs="Simplified Arabic" w:hint="cs"/>
          <w:sz w:val="24"/>
          <w:rtl/>
        </w:rPr>
        <w:t>نت</w:t>
      </w:r>
      <w:r w:rsidRPr="00430865">
        <w:rPr>
          <w:rFonts w:cs="Simplified Arabic"/>
          <w:sz w:val="24"/>
          <w:rtl/>
        </w:rPr>
        <w:t>ق</w:t>
      </w:r>
      <w:r w:rsidR="00651022" w:rsidRPr="00430865">
        <w:rPr>
          <w:rFonts w:cs="Simplified Arabic" w:hint="cs"/>
          <w:sz w:val="24"/>
          <w:rtl/>
        </w:rPr>
        <w:t>ص</w:t>
      </w:r>
      <w:r w:rsidRPr="00430865">
        <w:rPr>
          <w:rFonts w:cs="Simplified Arabic"/>
          <w:sz w:val="24"/>
          <w:rtl/>
        </w:rPr>
        <w:t xml:space="preserve"> من الحقوق التي </w:t>
      </w:r>
      <w:r w:rsidR="00651022" w:rsidRPr="00430865">
        <w:rPr>
          <w:rFonts w:cs="Simplified Arabic" w:hint="cs"/>
          <w:sz w:val="24"/>
          <w:rtl/>
        </w:rPr>
        <w:t>تتم</w:t>
      </w:r>
      <w:r w:rsidR="00BE1545" w:rsidRPr="00430865">
        <w:rPr>
          <w:rFonts w:cs="Simplified Arabic" w:hint="cs"/>
          <w:sz w:val="24"/>
          <w:rtl/>
        </w:rPr>
        <w:t>ت</w:t>
      </w:r>
      <w:r w:rsidR="00651022" w:rsidRPr="00430865">
        <w:rPr>
          <w:rFonts w:cs="Simplified Arabic" w:hint="cs"/>
          <w:sz w:val="24"/>
          <w:rtl/>
        </w:rPr>
        <w:t>ع بها</w:t>
      </w:r>
      <w:r w:rsidRPr="00430865">
        <w:rPr>
          <w:rFonts w:cs="Simplified Arabic"/>
          <w:sz w:val="24"/>
          <w:rtl/>
        </w:rPr>
        <w:t xml:space="preserve"> الشعوب الأصلية حاليا أو قد تحصل عليها في المستقبل</w:t>
      </w:r>
      <w:r w:rsidR="00651022" w:rsidRPr="00430865">
        <w:rPr>
          <w:rFonts w:cs="Simplified Arabic" w:hint="cs"/>
          <w:sz w:val="24"/>
          <w:rtl/>
        </w:rPr>
        <w:t xml:space="preserve"> </w:t>
      </w:r>
      <w:r w:rsidR="00651022" w:rsidRPr="00430865">
        <w:rPr>
          <w:rFonts w:cs="Simplified Arabic"/>
          <w:sz w:val="24"/>
          <w:rtl/>
        </w:rPr>
        <w:t>أو يلغيها</w:t>
      </w:r>
      <w:r w:rsidRPr="00430865">
        <w:rPr>
          <w:rFonts w:cs="Simplified Arabic"/>
          <w:sz w:val="24"/>
          <w:rtl/>
        </w:rPr>
        <w:t>،</w:t>
      </w:r>
    </w:p>
    <w:p w14:paraId="5645E30C" w14:textId="5A0D9482" w:rsidR="008E5762" w:rsidRPr="00430865" w:rsidRDefault="008E5762" w:rsidP="00430865">
      <w:pPr>
        <w:tabs>
          <w:tab w:val="left" w:pos="720"/>
        </w:tabs>
        <w:bidi/>
        <w:spacing w:after="120" w:line="216" w:lineRule="auto"/>
        <w:ind w:left="567" w:firstLine="720"/>
        <w:rPr>
          <w:rFonts w:eastAsiaTheme="minorEastAsia" w:cs="Simplified Arabic"/>
          <w:i/>
          <w:iCs/>
          <w:kern w:val="2"/>
          <w:szCs w:val="22"/>
          <w:rtl/>
          <w:lang w:eastAsia="zh-CN"/>
          <w14:ligatures w14:val="standardContextual"/>
        </w:rPr>
      </w:pPr>
      <w:r w:rsidRPr="00430865">
        <w:rPr>
          <w:rFonts w:cs="Simplified Arabic"/>
          <w:i/>
          <w:iCs/>
          <w:rtl/>
          <w:lang w:val="en-US"/>
        </w:rPr>
        <w:t xml:space="preserve">وقد نظر </w:t>
      </w:r>
      <w:r w:rsidRPr="00430865">
        <w:rPr>
          <w:rFonts w:cs="Simplified Arabic"/>
          <w:rtl/>
          <w:lang w:val="en-US"/>
        </w:rPr>
        <w:t>في مذكرة الأمانة</w:t>
      </w:r>
      <w:r w:rsidRPr="00430865">
        <w:rPr>
          <w:rStyle w:val="FootnoteReference"/>
          <w:rFonts w:cs="Simplified Arabic"/>
          <w:rtl/>
          <w:lang w:val="en-US"/>
        </w:rPr>
        <w:footnoteReference w:id="4"/>
      </w:r>
      <w:r w:rsidRPr="00430865">
        <w:rPr>
          <w:rFonts w:cs="Simplified Arabic"/>
          <w:rtl/>
          <w:lang w:val="en-US"/>
        </w:rPr>
        <w:t xml:space="preserve"> بشأن </w:t>
      </w:r>
      <w:r w:rsidRPr="00430865">
        <w:rPr>
          <w:rFonts w:cs="Simplified Arabic" w:hint="cs"/>
          <w:rtl/>
          <w:lang w:val="en-US"/>
        </w:rPr>
        <w:t>ال</w:t>
      </w:r>
      <w:r w:rsidRPr="00430865">
        <w:rPr>
          <w:rFonts w:cs="Simplified Arabic"/>
          <w:rtl/>
          <w:lang w:val="en-US"/>
        </w:rPr>
        <w:t>توصيات</w:t>
      </w:r>
      <w:r w:rsidRPr="00430865">
        <w:rPr>
          <w:rFonts w:cs="Simplified Arabic"/>
          <w:sz w:val="24"/>
          <w:rtl/>
        </w:rPr>
        <w:t xml:space="preserve"> الصادرة عن المنتدى</w:t>
      </w:r>
      <w:r w:rsidRPr="00430865">
        <w:rPr>
          <w:rFonts w:cs="Simplified Arabic"/>
          <w:rtl/>
          <w:lang w:val="en-US"/>
        </w:rPr>
        <w:t xml:space="preserve"> الدائم المعني بقضايا الشعوب الأصلية فيما يتعلق باتفاقية التنوع البيولوجي،</w:t>
      </w:r>
      <w:r w:rsidRPr="00430865">
        <w:rPr>
          <w:rStyle w:val="FootnoteReference"/>
          <w:rFonts w:cs="Simplified Arabic"/>
          <w:rtl/>
          <w:lang w:val="en-US"/>
        </w:rPr>
        <w:footnoteReference w:id="5"/>
      </w:r>
    </w:p>
    <w:p w14:paraId="73EB3254" w14:textId="5C1A8A31" w:rsidR="00F55A68" w:rsidRPr="00430865" w:rsidRDefault="00F55A68" w:rsidP="00430865">
      <w:pPr>
        <w:pStyle w:val="ListParagraph"/>
        <w:tabs>
          <w:tab w:val="left" w:pos="720"/>
        </w:tabs>
        <w:bidi/>
        <w:spacing w:after="120" w:line="216" w:lineRule="auto"/>
        <w:ind w:left="567" w:firstLine="720"/>
        <w:contextualSpacing w:val="0"/>
        <w:rPr>
          <w:rFonts w:cs="Simplified Arabic"/>
          <w:rtl/>
          <w:lang w:val="en-US"/>
        </w:rPr>
      </w:pPr>
      <w:r w:rsidRPr="00430865">
        <w:rPr>
          <w:rFonts w:cs="Simplified Arabic" w:hint="cs"/>
          <w:rtl/>
          <w:lang w:val="en-US"/>
        </w:rPr>
        <w:lastRenderedPageBreak/>
        <w:t>1-</w:t>
      </w:r>
      <w:r w:rsidRPr="00430865">
        <w:rPr>
          <w:rFonts w:cs="Simplified Arabic"/>
          <w:rtl/>
          <w:lang w:val="en-US"/>
        </w:rPr>
        <w:tab/>
      </w:r>
      <w:r w:rsidRPr="00430865">
        <w:rPr>
          <w:rFonts w:cs="Simplified Arabic" w:hint="cs"/>
          <w:i/>
          <w:iCs/>
          <w:rtl/>
          <w:lang w:val="en-US"/>
        </w:rPr>
        <w:t>يحيط علما</w:t>
      </w:r>
      <w:r w:rsidRPr="00430865">
        <w:rPr>
          <w:rFonts w:cs="Simplified Arabic" w:hint="cs"/>
          <w:rtl/>
          <w:lang w:val="en-US"/>
        </w:rPr>
        <w:t xml:space="preserve"> بالملاحظات </w:t>
      </w:r>
      <w:r w:rsidRPr="00430865">
        <w:rPr>
          <w:rFonts w:cs="Simplified Arabic"/>
          <w:rtl/>
          <w:lang w:val="en-US"/>
        </w:rPr>
        <w:t>والتوصيات المنبثقة عن الدورات العشرين والحادية والعشرين والثانية</w:t>
      </w:r>
      <w:r w:rsidR="00430865">
        <w:rPr>
          <w:rFonts w:cs="Simplified Arabic" w:hint="cs"/>
          <w:rtl/>
          <w:lang w:val="en-US"/>
        </w:rPr>
        <w:t> </w:t>
      </w:r>
      <w:r w:rsidRPr="00430865">
        <w:rPr>
          <w:rFonts w:cs="Simplified Arabic"/>
          <w:rtl/>
          <w:lang w:val="en-US"/>
        </w:rPr>
        <w:t>والعشرين للمنتدى الدائم المعني بقضايا الشعوب الأصلية؛</w:t>
      </w:r>
    </w:p>
    <w:p w14:paraId="76EDCACC" w14:textId="12728E74" w:rsidR="00D87325" w:rsidRPr="00430865" w:rsidRDefault="0029144A" w:rsidP="00430865">
      <w:pPr>
        <w:pStyle w:val="ListParagraph"/>
        <w:tabs>
          <w:tab w:val="left" w:pos="720"/>
        </w:tabs>
        <w:bidi/>
        <w:spacing w:after="120" w:line="216" w:lineRule="auto"/>
        <w:ind w:left="567" w:firstLine="720"/>
        <w:contextualSpacing w:val="0"/>
        <w:rPr>
          <w:rFonts w:cs="Simplified Arabic"/>
          <w:rtl/>
          <w:lang w:val="en-US"/>
        </w:rPr>
      </w:pPr>
      <w:r w:rsidRPr="00430865">
        <w:rPr>
          <w:rFonts w:cs="Simplified Arabic"/>
          <w:rtl/>
          <w:lang w:val="en-US"/>
        </w:rPr>
        <w:t>2-</w:t>
      </w:r>
      <w:r w:rsidRPr="00430865">
        <w:rPr>
          <w:rFonts w:cs="Simplified Arabic"/>
          <w:rtl/>
          <w:lang w:val="en-US"/>
        </w:rPr>
        <w:tab/>
      </w:r>
      <w:r w:rsidRPr="00430865">
        <w:rPr>
          <w:rFonts w:cs="Simplified Arabic"/>
          <w:i/>
          <w:iCs/>
          <w:rtl/>
          <w:lang w:val="en-US"/>
        </w:rPr>
        <w:t>يطلب إلى</w:t>
      </w:r>
      <w:r w:rsidRPr="00430865">
        <w:rPr>
          <w:rFonts w:cs="Simplified Arabic"/>
          <w:rtl/>
          <w:lang w:val="en-US"/>
        </w:rPr>
        <w:t xml:space="preserve"> الأمانة أن تواصل إبلاغ المنتدى الدائم</w:t>
      </w:r>
      <w:r w:rsidRPr="00430865">
        <w:rPr>
          <w:rFonts w:cs="Simplified Arabic" w:hint="cs"/>
          <w:rtl/>
          <w:lang w:val="en-US"/>
        </w:rPr>
        <w:t xml:space="preserve"> </w:t>
      </w:r>
      <w:r w:rsidRPr="00430865">
        <w:rPr>
          <w:rFonts w:cs="Simplified Arabic"/>
          <w:rtl/>
          <w:lang w:val="en-US"/>
        </w:rPr>
        <w:t xml:space="preserve">المعني بقضايا الشعوب الأصلية بالتطورات ذات الاهتمام المشترك وأن تقدم معلومات إلى المنتدى عن الأنشطة </w:t>
      </w:r>
      <w:proofErr w:type="spellStart"/>
      <w:r w:rsidRPr="00430865">
        <w:rPr>
          <w:rFonts w:cs="Simplified Arabic"/>
          <w:rtl/>
          <w:lang w:val="en-US"/>
        </w:rPr>
        <w:t>المضطلع</w:t>
      </w:r>
      <w:proofErr w:type="spellEnd"/>
      <w:r w:rsidRPr="00430865">
        <w:rPr>
          <w:rFonts w:cs="Simplified Arabic"/>
          <w:rtl/>
          <w:lang w:val="en-US"/>
        </w:rPr>
        <w:t xml:space="preserve"> بها في إطار </w:t>
      </w:r>
      <w:r w:rsidRPr="00430865">
        <w:rPr>
          <w:rFonts w:cs="Simplified Arabic" w:hint="cs"/>
          <w:rtl/>
          <w:lang w:val="en-US"/>
        </w:rPr>
        <w:t>ال</w:t>
      </w:r>
      <w:r w:rsidRPr="00430865">
        <w:rPr>
          <w:rFonts w:cs="Simplified Arabic"/>
          <w:rtl/>
          <w:lang w:val="en-US"/>
        </w:rPr>
        <w:t>اتفاقية فيما يتعلق بملاحظات المنتدى وتوصياته، وفقا لخطة العمل على نطاق المنظومة لضمان اتباع نهج متسق لتحقيق غايات إعلان الأمم المتحدة بشأن حقوق الشعوب الأصلية.</w:t>
      </w:r>
      <w:r w:rsidRPr="00430865">
        <w:rPr>
          <w:rFonts w:cs="Simplified Arabic"/>
          <w:vertAlign w:val="superscript"/>
          <w:rtl/>
        </w:rPr>
        <w:footnoteReference w:id="6"/>
      </w:r>
      <w:r w:rsidR="00605807" w:rsidRPr="00430865">
        <w:rPr>
          <w:rFonts w:cs="Simplified Arabic" w:hint="cs"/>
          <w:rtl/>
          <w:lang w:val="en-US"/>
        </w:rPr>
        <w:t>]</w:t>
      </w:r>
    </w:p>
    <w:p w14:paraId="4801B849" w14:textId="77777777" w:rsidR="002B559C" w:rsidRPr="00F82154" w:rsidRDefault="00ED3849" w:rsidP="00F82154">
      <w:pPr>
        <w:pStyle w:val="Para1"/>
        <w:numPr>
          <w:ilvl w:val="0"/>
          <w:numId w:val="0"/>
        </w:numPr>
        <w:ind w:left="567"/>
        <w:jc w:val="center"/>
        <w:rPr>
          <w:lang w:val="en-GB"/>
        </w:rPr>
      </w:pPr>
      <w:r w:rsidRPr="000E6117">
        <w:rPr>
          <w:lang w:val="en-GB"/>
        </w:rPr>
        <w:t>__________</w:t>
      </w:r>
    </w:p>
    <w:sectPr w:rsidR="002B559C" w:rsidRPr="00F82154" w:rsidSect="00EA1B25">
      <w:headerReference w:type="even" r:id="rId14"/>
      <w:headerReference w:type="default" r:id="rId15"/>
      <w:footerReference w:type="even" r:id="rId16"/>
      <w:footerReference w:type="default" r:id="rId17"/>
      <w:footnotePr>
        <w:numRestart w:val="eachSect"/>
      </w:footnotePr>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982B4" w14:textId="77777777" w:rsidR="005B438C" w:rsidRDefault="005B438C" w:rsidP="00A96B21">
      <w:r>
        <w:separator/>
      </w:r>
    </w:p>
  </w:endnote>
  <w:endnote w:type="continuationSeparator" w:id="0">
    <w:p w14:paraId="5F670A0D" w14:textId="77777777" w:rsidR="005B438C" w:rsidRDefault="005B438C" w:rsidP="00A96B21">
      <w:r>
        <w:continuationSeparator/>
      </w:r>
    </w:p>
  </w:endnote>
  <w:endnote w:type="continuationNotice" w:id="1">
    <w:p w14:paraId="121EDB78" w14:textId="77777777" w:rsidR="005B438C" w:rsidRDefault="005B4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5B09825E" w14:textId="77777777" w:rsidR="002B559C" w:rsidRDefault="002B559C" w:rsidP="00D87325">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CA23BA">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CA23BA">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73B8201E" w14:textId="77777777" w:rsidR="002B559C" w:rsidRDefault="002B559C" w:rsidP="00430865">
            <w:pPr>
              <w:pStyle w:val="Footer"/>
              <w:jc w:val="lef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430865">
              <w:rPr>
                <w:noProof/>
                <w:sz w:val="20"/>
                <w:szCs w:val="20"/>
              </w:rPr>
              <w:t>3</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CA23BA">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15ED8" w14:textId="77777777" w:rsidR="005B438C" w:rsidRDefault="005B438C" w:rsidP="00D87325">
      <w:pPr>
        <w:bidi/>
      </w:pPr>
      <w:r>
        <w:separator/>
      </w:r>
    </w:p>
  </w:footnote>
  <w:footnote w:type="continuationSeparator" w:id="0">
    <w:p w14:paraId="1B622C86" w14:textId="77777777" w:rsidR="005B438C" w:rsidRDefault="005B438C" w:rsidP="00A96B21">
      <w:r>
        <w:continuationSeparator/>
      </w:r>
    </w:p>
  </w:footnote>
  <w:footnote w:type="continuationNotice" w:id="1">
    <w:p w14:paraId="26CB0FB3" w14:textId="77777777" w:rsidR="005B438C" w:rsidRDefault="005B438C"/>
  </w:footnote>
  <w:footnote w:id="2">
    <w:p w14:paraId="5784647F" w14:textId="602383DA" w:rsidR="00F03033" w:rsidRPr="00D87325" w:rsidRDefault="00F03033" w:rsidP="00D87325">
      <w:pPr>
        <w:pStyle w:val="FootnoteText"/>
        <w:bidi/>
        <w:rPr>
          <w:rFonts w:cs="Simplified Arabic"/>
          <w:sz w:val="18"/>
          <w:rtl/>
        </w:rPr>
      </w:pPr>
      <w:r w:rsidRPr="00D87325">
        <w:rPr>
          <w:rStyle w:val="FootnoteReference"/>
          <w:rFonts w:cs="Simplified Arabic"/>
          <w:sz w:val="18"/>
        </w:rPr>
        <w:footnoteRef/>
      </w:r>
      <w:r w:rsidR="00D87325">
        <w:rPr>
          <w:rFonts w:cs="Simplified Arabic" w:hint="cs"/>
          <w:sz w:val="18"/>
          <w:rtl/>
        </w:rPr>
        <w:t xml:space="preserve"> </w:t>
      </w:r>
      <w:r w:rsidR="00172F91" w:rsidRPr="00D87325">
        <w:rPr>
          <w:rFonts w:cs="Simplified Arabic"/>
          <w:sz w:val="18"/>
          <w:rtl/>
        </w:rPr>
        <w:t>المقرر 15/4، المرفق.</w:t>
      </w:r>
    </w:p>
  </w:footnote>
  <w:footnote w:id="3">
    <w:p w14:paraId="4694F373" w14:textId="4406FA36" w:rsidR="00272D0F" w:rsidRPr="00D87325" w:rsidRDefault="00272D0F" w:rsidP="00172F91">
      <w:pPr>
        <w:pStyle w:val="FootnoteText"/>
        <w:bidi/>
        <w:rPr>
          <w:rFonts w:cs="Simplified Arabic"/>
          <w:sz w:val="18"/>
          <w:rtl/>
        </w:rPr>
      </w:pPr>
      <w:r w:rsidRPr="00D87325">
        <w:rPr>
          <w:rStyle w:val="FootnoteReference"/>
          <w:rFonts w:cs="Simplified Arabic"/>
          <w:sz w:val="18"/>
        </w:rPr>
        <w:footnoteRef/>
      </w:r>
      <w:r w:rsidR="00172F91" w:rsidRPr="00D87325">
        <w:rPr>
          <w:rFonts w:cs="Simplified Arabic" w:hint="cs"/>
          <w:sz w:val="18"/>
          <w:rtl/>
        </w:rPr>
        <w:t xml:space="preserve"> </w:t>
      </w:r>
      <w:r w:rsidR="00172F91" w:rsidRPr="00D87325">
        <w:rPr>
          <w:rFonts w:cs="Simplified Arabic"/>
          <w:sz w:val="18"/>
          <w:rtl/>
        </w:rPr>
        <w:t>قرار الجمعية العامة 61/295، المرفق.</w:t>
      </w:r>
      <w:r w:rsidRPr="00D87325">
        <w:rPr>
          <w:rFonts w:cs="Simplified Arabic"/>
          <w:sz w:val="18"/>
        </w:rPr>
        <w:t xml:space="preserve"> </w:t>
      </w:r>
    </w:p>
  </w:footnote>
  <w:footnote w:id="4">
    <w:p w14:paraId="5D044929" w14:textId="3C2E68A7" w:rsidR="008E5762" w:rsidRPr="00D87325" w:rsidRDefault="008E5762" w:rsidP="00C66B86">
      <w:pPr>
        <w:pStyle w:val="FootnoteText"/>
        <w:bidi/>
        <w:rPr>
          <w:rFonts w:cs="Simplified Arabic"/>
          <w:sz w:val="18"/>
        </w:rPr>
      </w:pPr>
      <w:r w:rsidRPr="00D87325">
        <w:rPr>
          <w:rStyle w:val="FootnoteReference"/>
          <w:rFonts w:cs="Simplified Arabic"/>
          <w:sz w:val="18"/>
        </w:rPr>
        <w:footnoteRef/>
      </w:r>
      <w:r w:rsidR="00C66B86" w:rsidRPr="00D87325">
        <w:rPr>
          <w:rFonts w:cs="Simplified Arabic" w:hint="cs"/>
          <w:sz w:val="18"/>
          <w:rtl/>
        </w:rPr>
        <w:t xml:space="preserve"> </w:t>
      </w:r>
      <w:r w:rsidR="00C66B86" w:rsidRPr="00D87325">
        <w:rPr>
          <w:rFonts w:cs="Simplified Arabic"/>
          <w:sz w:val="18"/>
        </w:rPr>
        <w:t>CBD/WG8J/12/7</w:t>
      </w:r>
      <w:r w:rsidR="00C66B86" w:rsidRPr="00D87325">
        <w:rPr>
          <w:rFonts w:cs="Simplified Arabic" w:hint="cs"/>
          <w:sz w:val="18"/>
          <w:rtl/>
        </w:rPr>
        <w:t>.</w:t>
      </w:r>
    </w:p>
  </w:footnote>
  <w:footnote w:id="5">
    <w:p w14:paraId="7CAA2F2E" w14:textId="0343C323" w:rsidR="008E5762" w:rsidRPr="00D87325" w:rsidRDefault="008E5762" w:rsidP="00C66B86">
      <w:pPr>
        <w:pStyle w:val="FootnoteText"/>
        <w:bidi/>
        <w:rPr>
          <w:rFonts w:cs="Simplified Arabic"/>
          <w:sz w:val="18"/>
          <w:rtl/>
        </w:rPr>
      </w:pPr>
      <w:r w:rsidRPr="00D87325">
        <w:rPr>
          <w:rStyle w:val="FootnoteReference"/>
          <w:rFonts w:cs="Simplified Arabic"/>
          <w:sz w:val="18"/>
        </w:rPr>
        <w:footnoteRef/>
      </w:r>
      <w:r w:rsidR="00C66B86" w:rsidRPr="00D87325">
        <w:rPr>
          <w:rFonts w:cs="Simplified Arabic" w:hint="cs"/>
          <w:sz w:val="18"/>
          <w:rtl/>
        </w:rPr>
        <w:t xml:space="preserve"> </w:t>
      </w:r>
      <w:r w:rsidR="00C66B86" w:rsidRPr="00D87325">
        <w:rPr>
          <w:rFonts w:cs="Simplified Arabic"/>
          <w:sz w:val="18"/>
          <w:rtl/>
        </w:rPr>
        <w:t xml:space="preserve">الأمم المتحدة، </w:t>
      </w:r>
      <w:r w:rsidR="00C66B86" w:rsidRPr="00D87325">
        <w:rPr>
          <w:rFonts w:cs="Simplified Arabic"/>
          <w:i/>
          <w:iCs/>
          <w:sz w:val="18"/>
          <w:rtl/>
        </w:rPr>
        <w:t>سلسلة المعاهدات</w:t>
      </w:r>
      <w:r w:rsidR="00C66B86" w:rsidRPr="00D87325">
        <w:rPr>
          <w:rFonts w:cs="Simplified Arabic"/>
          <w:sz w:val="18"/>
          <w:rtl/>
        </w:rPr>
        <w:t>، المجلد 1760، رقم 30619.</w:t>
      </w:r>
      <w:r w:rsidRPr="00D87325">
        <w:rPr>
          <w:rFonts w:cs="Simplified Arabic"/>
          <w:sz w:val="18"/>
        </w:rPr>
        <w:t xml:space="preserve"> </w:t>
      </w:r>
    </w:p>
  </w:footnote>
  <w:footnote w:id="6">
    <w:p w14:paraId="7773990D" w14:textId="7A639D4E" w:rsidR="0029144A" w:rsidRPr="00D87325" w:rsidRDefault="0029144A" w:rsidP="00B55E32">
      <w:pPr>
        <w:pStyle w:val="FootnoteText"/>
        <w:bidi/>
        <w:rPr>
          <w:rFonts w:cs="Simplified Arabic"/>
          <w:sz w:val="18"/>
        </w:rPr>
      </w:pPr>
      <w:r w:rsidRPr="00D87325">
        <w:rPr>
          <w:rFonts w:cs="Simplified Arabic"/>
          <w:sz w:val="18"/>
          <w:vertAlign w:val="superscript"/>
        </w:rPr>
        <w:footnoteRef/>
      </w:r>
      <w:r w:rsidR="00B55E32" w:rsidRPr="00D87325">
        <w:rPr>
          <w:rFonts w:cs="Simplified Arabic" w:hint="cs"/>
          <w:sz w:val="18"/>
          <w:rtl/>
        </w:rPr>
        <w:t xml:space="preserve"> </w:t>
      </w:r>
      <w:hyperlink r:id="rId1" w:history="1">
        <w:r w:rsidR="00B55E32" w:rsidRPr="00D87325">
          <w:rPr>
            <w:rFonts w:cs="Simplified Arabic"/>
            <w:color w:val="0563C1"/>
            <w:sz w:val="18"/>
            <w:u w:val="single"/>
          </w:rPr>
          <w:t>E/C.19/2016/5</w:t>
        </w:r>
      </w:hyperlink>
      <w:r w:rsidR="00B55E32" w:rsidRPr="00D87325">
        <w:rPr>
          <w:rFonts w:cs="Simplified Arabic" w:hint="cs"/>
          <w:sz w:val="18"/>
          <w:rtl/>
        </w:rPr>
        <w:t xml:space="preserve"> و</w:t>
      </w:r>
      <w:hyperlink r:id="rId2" w:history="1">
        <w:r w:rsidR="00B55E32" w:rsidRPr="00D87325">
          <w:rPr>
            <w:rFonts w:cs="Simplified Arabic"/>
            <w:color w:val="0563C1"/>
            <w:sz w:val="18"/>
            <w:u w:val="single"/>
          </w:rPr>
          <w:t>E/C.19/2016/5</w:t>
        </w:r>
      </w:hyperlink>
      <w:r w:rsidR="00B55E32" w:rsidRPr="00D87325">
        <w:rPr>
          <w:rFonts w:cs="Simplified Arabic"/>
          <w:color w:val="0563C1"/>
          <w:sz w:val="18"/>
          <w:u w:val="single"/>
        </w:rPr>
        <w:t>/Corr.1</w:t>
      </w:r>
      <w:r w:rsidR="00B55E32" w:rsidRPr="00D87325">
        <w:rPr>
          <w:rFonts w:cs="Simplified Arabic" w:hint="cs"/>
          <w:sz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37802784"/>
  <w:bookmarkStart w:id="3" w:name="_Hlk137802785"/>
  <w:p w14:paraId="22E5D1DF" w14:textId="09E721A0" w:rsidR="002B559C" w:rsidRPr="002B559C" w:rsidRDefault="005B438C" w:rsidP="00D87325">
    <w:pPr>
      <w:pStyle w:val="Header"/>
      <w:pBdr>
        <w:bottom w:val="single" w:sz="4" w:space="1" w:color="auto"/>
      </w:pBdr>
      <w:spacing w:after="240"/>
      <w:jc w:val="right"/>
      <w:rPr>
        <w:sz w:val="20"/>
        <w:szCs w:val="20"/>
        <w:lang w:val="fr-FR"/>
      </w:rPr>
    </w:pPr>
    <w:sdt>
      <w:sdtPr>
        <w:rPr>
          <w:sz w:val="20"/>
          <w:szCs w:val="20"/>
          <w:lang w:val="fr-FR"/>
        </w:rPr>
        <w:alias w:val="Subject"/>
        <w:tag w:val=""/>
        <w:id w:val="1631671024"/>
        <w:dataBinding w:prefixMappings="xmlns:ns0='http://purl.org/dc/elements/1.1/' xmlns:ns1='http://schemas.openxmlformats.org/package/2006/metadata/core-properties' " w:xpath="/ns1:coreProperties[1]/ns0:subject[1]" w:storeItemID="{6C3C8BC8-F283-45AE-878A-BAB7291924A1}"/>
        <w:text/>
      </w:sdtPr>
      <w:sdtEndPr/>
      <w:sdtContent>
        <w:r w:rsidR="0068114E" w:rsidRPr="0068114E">
          <w:rPr>
            <w:sz w:val="20"/>
            <w:szCs w:val="20"/>
            <w:lang w:val="fr-FR"/>
          </w:rPr>
          <w:t>CBD/WG8J/</w:t>
        </w:r>
        <w:r w:rsidR="00D87325">
          <w:rPr>
            <w:sz w:val="20"/>
            <w:szCs w:val="20"/>
            <w:lang w:val="fr-FR"/>
          </w:rPr>
          <w:t>REC/12/5</w:t>
        </w:r>
      </w:sdtContent>
    </w:sdt>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lang w:val="fr-FR"/>
      </w:rPr>
      <w:alias w:val="Subject"/>
      <w:tag w:val=""/>
      <w:id w:val="229430083"/>
      <w:dataBinding w:prefixMappings="xmlns:ns0='http://purl.org/dc/elements/1.1/' xmlns:ns1='http://schemas.openxmlformats.org/package/2006/metadata/core-properties' " w:xpath="/ns1:coreProperties[1]/ns0:subject[1]" w:storeItemID="{6C3C8BC8-F283-45AE-878A-BAB7291924A1}"/>
      <w:text/>
    </w:sdtPr>
    <w:sdtEndPr/>
    <w:sdtContent>
      <w:p w14:paraId="57068A11" w14:textId="7DDB23DE" w:rsidR="002B559C" w:rsidRPr="00F82154" w:rsidRDefault="00D87325" w:rsidP="00430865">
        <w:pPr>
          <w:pStyle w:val="Header"/>
          <w:pBdr>
            <w:bottom w:val="single" w:sz="4" w:space="1" w:color="auto"/>
          </w:pBdr>
          <w:spacing w:after="240"/>
          <w:jc w:val="left"/>
          <w:rPr>
            <w:sz w:val="20"/>
            <w:szCs w:val="20"/>
            <w:lang w:val="fr-FR"/>
          </w:rPr>
        </w:pPr>
        <w:r>
          <w:rPr>
            <w:sz w:val="20"/>
            <w:szCs w:val="20"/>
            <w:lang w:val="fr-FR"/>
          </w:rPr>
          <w:t>CBD/WG8J/REC/12/5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A6FC5"/>
    <w:multiLevelType w:val="hybridMultilevel"/>
    <w:tmpl w:val="0F881850"/>
    <w:lvl w:ilvl="0" w:tplc="82683D4A">
      <w:start w:val="1"/>
      <w:numFmt w:val="lowerLetter"/>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0364BB7"/>
    <w:multiLevelType w:val="hybridMultilevel"/>
    <w:tmpl w:val="0F881850"/>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F420ACD"/>
    <w:multiLevelType w:val="hybridMultilevel"/>
    <w:tmpl w:val="312E1F20"/>
    <w:lvl w:ilvl="0" w:tplc="A5FEA2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12169C1"/>
    <w:multiLevelType w:val="hybridMultilevel"/>
    <w:tmpl w:val="E15070AE"/>
    <w:lvl w:ilvl="0" w:tplc="58D0AD6C">
      <w:start w:val="1"/>
      <w:numFmt w:val="bullet"/>
      <w:lvlText w:val=""/>
      <w:lvlJc w:val="left"/>
      <w:pPr>
        <w:ind w:left="1440" w:hanging="360"/>
      </w:pPr>
      <w:rPr>
        <w:rFonts w:ascii="Symbol" w:hAnsi="Symbol"/>
      </w:rPr>
    </w:lvl>
    <w:lvl w:ilvl="1" w:tplc="844A8F1C">
      <w:start w:val="1"/>
      <w:numFmt w:val="bullet"/>
      <w:lvlText w:val=""/>
      <w:lvlJc w:val="left"/>
      <w:pPr>
        <w:ind w:left="1440" w:hanging="360"/>
      </w:pPr>
      <w:rPr>
        <w:rFonts w:ascii="Symbol" w:hAnsi="Symbol"/>
      </w:rPr>
    </w:lvl>
    <w:lvl w:ilvl="2" w:tplc="9820A654">
      <w:start w:val="1"/>
      <w:numFmt w:val="bullet"/>
      <w:lvlText w:val=""/>
      <w:lvlJc w:val="left"/>
      <w:pPr>
        <w:ind w:left="1440" w:hanging="360"/>
      </w:pPr>
      <w:rPr>
        <w:rFonts w:ascii="Symbol" w:hAnsi="Symbol"/>
      </w:rPr>
    </w:lvl>
    <w:lvl w:ilvl="3" w:tplc="9898AF86">
      <w:start w:val="1"/>
      <w:numFmt w:val="bullet"/>
      <w:lvlText w:val=""/>
      <w:lvlJc w:val="left"/>
      <w:pPr>
        <w:ind w:left="1440" w:hanging="360"/>
      </w:pPr>
      <w:rPr>
        <w:rFonts w:ascii="Symbol" w:hAnsi="Symbol"/>
      </w:rPr>
    </w:lvl>
    <w:lvl w:ilvl="4" w:tplc="3904DE0E">
      <w:start w:val="1"/>
      <w:numFmt w:val="bullet"/>
      <w:lvlText w:val=""/>
      <w:lvlJc w:val="left"/>
      <w:pPr>
        <w:ind w:left="1440" w:hanging="360"/>
      </w:pPr>
      <w:rPr>
        <w:rFonts w:ascii="Symbol" w:hAnsi="Symbol"/>
      </w:rPr>
    </w:lvl>
    <w:lvl w:ilvl="5" w:tplc="4F6A14EE">
      <w:start w:val="1"/>
      <w:numFmt w:val="bullet"/>
      <w:lvlText w:val=""/>
      <w:lvlJc w:val="left"/>
      <w:pPr>
        <w:ind w:left="1440" w:hanging="360"/>
      </w:pPr>
      <w:rPr>
        <w:rFonts w:ascii="Symbol" w:hAnsi="Symbol"/>
      </w:rPr>
    </w:lvl>
    <w:lvl w:ilvl="6" w:tplc="6CF8C3EE">
      <w:start w:val="1"/>
      <w:numFmt w:val="bullet"/>
      <w:lvlText w:val=""/>
      <w:lvlJc w:val="left"/>
      <w:pPr>
        <w:ind w:left="1440" w:hanging="360"/>
      </w:pPr>
      <w:rPr>
        <w:rFonts w:ascii="Symbol" w:hAnsi="Symbol"/>
      </w:rPr>
    </w:lvl>
    <w:lvl w:ilvl="7" w:tplc="F66AEC7E">
      <w:start w:val="1"/>
      <w:numFmt w:val="bullet"/>
      <w:lvlText w:val=""/>
      <w:lvlJc w:val="left"/>
      <w:pPr>
        <w:ind w:left="1440" w:hanging="360"/>
      </w:pPr>
      <w:rPr>
        <w:rFonts w:ascii="Symbol" w:hAnsi="Symbol"/>
      </w:rPr>
    </w:lvl>
    <w:lvl w:ilvl="8" w:tplc="56928572">
      <w:start w:val="1"/>
      <w:numFmt w:val="bullet"/>
      <w:lvlText w:val=""/>
      <w:lvlJc w:val="left"/>
      <w:pPr>
        <w:ind w:left="1440" w:hanging="360"/>
      </w:pPr>
      <w:rPr>
        <w:rFonts w:ascii="Symbol" w:hAnsi="Symbol"/>
      </w:rPr>
    </w:lvl>
  </w:abstractNum>
  <w:abstractNum w:abstractNumId="6" w15:restartNumberingAfterBreak="0">
    <w:nsid w:val="68B70991"/>
    <w:multiLevelType w:val="hybridMultilevel"/>
    <w:tmpl w:val="B68E05C0"/>
    <w:lvl w:ilvl="0" w:tplc="E48A3268">
      <w:start w:val="1"/>
      <w:numFmt w:val="decimal"/>
      <w:pStyle w:val="Para1"/>
      <w:lvlText w:val="%1."/>
      <w:lvlJc w:val="left"/>
      <w:pPr>
        <w:ind w:left="927" w:hanging="360"/>
      </w:pPr>
      <w:rPr>
        <w:rFonts w:hint="default"/>
        <w:i w:val="0"/>
        <w:iCs/>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7570205B"/>
    <w:multiLevelType w:val="hybridMultilevel"/>
    <w:tmpl w:val="EF24DD64"/>
    <w:lvl w:ilvl="0" w:tplc="D75EB3D8">
      <w:start w:val="1"/>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8"/>
  </w:num>
  <w:num w:numId="5">
    <w:abstractNumId w:val="7"/>
  </w:num>
  <w:num w:numId="6">
    <w:abstractNumId w:val="0"/>
  </w:num>
  <w:num w:numId="7">
    <w:abstractNumId w:val="2"/>
  </w:num>
  <w:num w:numId="8">
    <w:abstractNumId w:val="5"/>
  </w:num>
  <w:num w:numId="9">
    <w:abstractNumId w:val="3"/>
  </w:num>
  <w:num w:numId="10">
    <w:abstractNumId w:val="6"/>
    <w:lvlOverride w:ilvl="0">
      <w:startOverride w:val="1"/>
    </w:lvlOverride>
  </w:num>
  <w:num w:numId="11">
    <w:abstractNumId w:val="6"/>
  </w:num>
  <w:num w:numId="12">
    <w:abstractNumId w:val="6"/>
  </w:num>
  <w:num w:numId="13">
    <w:abstractNumId w:val="6"/>
  </w:num>
  <w:num w:numId="14">
    <w:abstractNumId w:val="1"/>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efaultTabStop w:val="720"/>
  <w:hyphenationZone w:val="425"/>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3MTIyNDSzNDW1NLJU0lEKTi0uzszPAykwrQUApF2vDiwAAAA="/>
  </w:docVars>
  <w:rsids>
    <w:rsidRoot w:val="00EA5361"/>
    <w:rsid w:val="00000FD7"/>
    <w:rsid w:val="00001A17"/>
    <w:rsid w:val="00002178"/>
    <w:rsid w:val="00005E67"/>
    <w:rsid w:val="00007CE8"/>
    <w:rsid w:val="000137E1"/>
    <w:rsid w:val="00016290"/>
    <w:rsid w:val="00040598"/>
    <w:rsid w:val="00042123"/>
    <w:rsid w:val="00042CEC"/>
    <w:rsid w:val="0004356F"/>
    <w:rsid w:val="000473A5"/>
    <w:rsid w:val="000473D7"/>
    <w:rsid w:val="0005497C"/>
    <w:rsid w:val="000653DC"/>
    <w:rsid w:val="00066E66"/>
    <w:rsid w:val="00067BB5"/>
    <w:rsid w:val="00071C81"/>
    <w:rsid w:val="00071E37"/>
    <w:rsid w:val="00073DD4"/>
    <w:rsid w:val="000749E1"/>
    <w:rsid w:val="00081DB7"/>
    <w:rsid w:val="0008206A"/>
    <w:rsid w:val="00083370"/>
    <w:rsid w:val="0008428B"/>
    <w:rsid w:val="00087833"/>
    <w:rsid w:val="00093A01"/>
    <w:rsid w:val="00096C71"/>
    <w:rsid w:val="000A15CB"/>
    <w:rsid w:val="000A5CED"/>
    <w:rsid w:val="000B16FC"/>
    <w:rsid w:val="000B1DCD"/>
    <w:rsid w:val="000B5268"/>
    <w:rsid w:val="000B7E26"/>
    <w:rsid w:val="000C1F11"/>
    <w:rsid w:val="000C3F52"/>
    <w:rsid w:val="000D2746"/>
    <w:rsid w:val="000D6DDF"/>
    <w:rsid w:val="000D7471"/>
    <w:rsid w:val="000D77D5"/>
    <w:rsid w:val="000E0CA5"/>
    <w:rsid w:val="000E2B38"/>
    <w:rsid w:val="000E5478"/>
    <w:rsid w:val="000E6117"/>
    <w:rsid w:val="000F4538"/>
    <w:rsid w:val="000F67D5"/>
    <w:rsid w:val="000F6DF9"/>
    <w:rsid w:val="00100FF2"/>
    <w:rsid w:val="00101DD6"/>
    <w:rsid w:val="00106D18"/>
    <w:rsid w:val="001078DF"/>
    <w:rsid w:val="00111D5A"/>
    <w:rsid w:val="001137A2"/>
    <w:rsid w:val="001269AC"/>
    <w:rsid w:val="00126D26"/>
    <w:rsid w:val="00130611"/>
    <w:rsid w:val="0013177F"/>
    <w:rsid w:val="00132581"/>
    <w:rsid w:val="00135105"/>
    <w:rsid w:val="001427E4"/>
    <w:rsid w:val="00147C85"/>
    <w:rsid w:val="00150018"/>
    <w:rsid w:val="00152672"/>
    <w:rsid w:val="00156B7E"/>
    <w:rsid w:val="00162A88"/>
    <w:rsid w:val="00164F28"/>
    <w:rsid w:val="00167794"/>
    <w:rsid w:val="00172F91"/>
    <w:rsid w:val="00172FB5"/>
    <w:rsid w:val="00180575"/>
    <w:rsid w:val="00182D9E"/>
    <w:rsid w:val="00184909"/>
    <w:rsid w:val="00186E71"/>
    <w:rsid w:val="001A22E3"/>
    <w:rsid w:val="001A3971"/>
    <w:rsid w:val="001B1D37"/>
    <w:rsid w:val="001B6865"/>
    <w:rsid w:val="001C0A60"/>
    <w:rsid w:val="001C1B34"/>
    <w:rsid w:val="001D0885"/>
    <w:rsid w:val="001D3A04"/>
    <w:rsid w:val="001D4A3C"/>
    <w:rsid w:val="001D5BB3"/>
    <w:rsid w:val="001D7A7D"/>
    <w:rsid w:val="001D7D4C"/>
    <w:rsid w:val="001E6A72"/>
    <w:rsid w:val="001F0AA9"/>
    <w:rsid w:val="001F622C"/>
    <w:rsid w:val="00201AF2"/>
    <w:rsid w:val="00204558"/>
    <w:rsid w:val="002148C1"/>
    <w:rsid w:val="002168F8"/>
    <w:rsid w:val="0023226D"/>
    <w:rsid w:val="002362D0"/>
    <w:rsid w:val="00237EAD"/>
    <w:rsid w:val="00240A25"/>
    <w:rsid w:val="00251D25"/>
    <w:rsid w:val="00254528"/>
    <w:rsid w:val="00254AD7"/>
    <w:rsid w:val="00261305"/>
    <w:rsid w:val="00270216"/>
    <w:rsid w:val="00272D0F"/>
    <w:rsid w:val="00274817"/>
    <w:rsid w:val="002768A2"/>
    <w:rsid w:val="002771CF"/>
    <w:rsid w:val="002817CE"/>
    <w:rsid w:val="00286980"/>
    <w:rsid w:val="00286B42"/>
    <w:rsid w:val="0029015B"/>
    <w:rsid w:val="0029144A"/>
    <w:rsid w:val="0029648B"/>
    <w:rsid w:val="002A0584"/>
    <w:rsid w:val="002A3109"/>
    <w:rsid w:val="002A4699"/>
    <w:rsid w:val="002A4D12"/>
    <w:rsid w:val="002B00CA"/>
    <w:rsid w:val="002B0113"/>
    <w:rsid w:val="002B1666"/>
    <w:rsid w:val="002B3F5D"/>
    <w:rsid w:val="002B5099"/>
    <w:rsid w:val="002B559C"/>
    <w:rsid w:val="002B7181"/>
    <w:rsid w:val="002B7A02"/>
    <w:rsid w:val="002C0F49"/>
    <w:rsid w:val="002C3B5B"/>
    <w:rsid w:val="002C3CDD"/>
    <w:rsid w:val="002D593D"/>
    <w:rsid w:val="002E4574"/>
    <w:rsid w:val="002E76F3"/>
    <w:rsid w:val="002F47B8"/>
    <w:rsid w:val="002F507C"/>
    <w:rsid w:val="002F5CE4"/>
    <w:rsid w:val="003033E5"/>
    <w:rsid w:val="003056ED"/>
    <w:rsid w:val="003059BD"/>
    <w:rsid w:val="00310608"/>
    <w:rsid w:val="00310E1A"/>
    <w:rsid w:val="003118E6"/>
    <w:rsid w:val="00311E02"/>
    <w:rsid w:val="0031450D"/>
    <w:rsid w:val="003216DF"/>
    <w:rsid w:val="00321DF5"/>
    <w:rsid w:val="0032248B"/>
    <w:rsid w:val="00323F22"/>
    <w:rsid w:val="003245A4"/>
    <w:rsid w:val="00330146"/>
    <w:rsid w:val="00333A83"/>
    <w:rsid w:val="00333FE1"/>
    <w:rsid w:val="00335746"/>
    <w:rsid w:val="00337EAB"/>
    <w:rsid w:val="003448FF"/>
    <w:rsid w:val="00346905"/>
    <w:rsid w:val="00346B9A"/>
    <w:rsid w:val="003476A9"/>
    <w:rsid w:val="00357D0F"/>
    <w:rsid w:val="00365936"/>
    <w:rsid w:val="00365D81"/>
    <w:rsid w:val="00373927"/>
    <w:rsid w:val="0037673F"/>
    <w:rsid w:val="0038058E"/>
    <w:rsid w:val="00387BD2"/>
    <w:rsid w:val="003968DB"/>
    <w:rsid w:val="003A53D3"/>
    <w:rsid w:val="003A5554"/>
    <w:rsid w:val="003B4D53"/>
    <w:rsid w:val="003B56EB"/>
    <w:rsid w:val="003C1B0D"/>
    <w:rsid w:val="003C6F10"/>
    <w:rsid w:val="003D0C5E"/>
    <w:rsid w:val="003D10CF"/>
    <w:rsid w:val="003D54EC"/>
    <w:rsid w:val="003D6AB7"/>
    <w:rsid w:val="003F40B3"/>
    <w:rsid w:val="003F4E4A"/>
    <w:rsid w:val="00403145"/>
    <w:rsid w:val="00404129"/>
    <w:rsid w:val="0040581A"/>
    <w:rsid w:val="004116A8"/>
    <w:rsid w:val="00412CF2"/>
    <w:rsid w:val="00414153"/>
    <w:rsid w:val="00421E07"/>
    <w:rsid w:val="0042361C"/>
    <w:rsid w:val="0042519E"/>
    <w:rsid w:val="00425EFA"/>
    <w:rsid w:val="00430865"/>
    <w:rsid w:val="004371F9"/>
    <w:rsid w:val="00446E5C"/>
    <w:rsid w:val="004479B4"/>
    <w:rsid w:val="00450BF7"/>
    <w:rsid w:val="00453C4B"/>
    <w:rsid w:val="00454260"/>
    <w:rsid w:val="00456CCA"/>
    <w:rsid w:val="00464FC7"/>
    <w:rsid w:val="00465A80"/>
    <w:rsid w:val="004701EE"/>
    <w:rsid w:val="00471B50"/>
    <w:rsid w:val="00472D45"/>
    <w:rsid w:val="00475E4B"/>
    <w:rsid w:val="00483384"/>
    <w:rsid w:val="00484C6E"/>
    <w:rsid w:val="00487DC8"/>
    <w:rsid w:val="004931AC"/>
    <w:rsid w:val="004A15E5"/>
    <w:rsid w:val="004A2838"/>
    <w:rsid w:val="004A2A2D"/>
    <w:rsid w:val="004B67D2"/>
    <w:rsid w:val="004B7533"/>
    <w:rsid w:val="004C3AEF"/>
    <w:rsid w:val="004D1A94"/>
    <w:rsid w:val="004D67EE"/>
    <w:rsid w:val="004E0748"/>
    <w:rsid w:val="004E2243"/>
    <w:rsid w:val="004E3C6B"/>
    <w:rsid w:val="00506684"/>
    <w:rsid w:val="00516EA4"/>
    <w:rsid w:val="00521B28"/>
    <w:rsid w:val="005316CC"/>
    <w:rsid w:val="005334C9"/>
    <w:rsid w:val="005352E9"/>
    <w:rsid w:val="005368DF"/>
    <w:rsid w:val="00537248"/>
    <w:rsid w:val="00547509"/>
    <w:rsid w:val="005539F4"/>
    <w:rsid w:val="005547C4"/>
    <w:rsid w:val="005605B7"/>
    <w:rsid w:val="00560E66"/>
    <w:rsid w:val="005617F1"/>
    <w:rsid w:val="00564064"/>
    <w:rsid w:val="005759F7"/>
    <w:rsid w:val="005875F4"/>
    <w:rsid w:val="00594AF2"/>
    <w:rsid w:val="005A032D"/>
    <w:rsid w:val="005A206E"/>
    <w:rsid w:val="005A7C43"/>
    <w:rsid w:val="005B0D63"/>
    <w:rsid w:val="005B1462"/>
    <w:rsid w:val="005B1AC0"/>
    <w:rsid w:val="005B30C3"/>
    <w:rsid w:val="005B438C"/>
    <w:rsid w:val="005B670F"/>
    <w:rsid w:val="005C01F3"/>
    <w:rsid w:val="005C0FC9"/>
    <w:rsid w:val="005C5DA0"/>
    <w:rsid w:val="005D1CA4"/>
    <w:rsid w:val="005D4866"/>
    <w:rsid w:val="005D56CE"/>
    <w:rsid w:val="005E0A90"/>
    <w:rsid w:val="005E107D"/>
    <w:rsid w:val="005E2605"/>
    <w:rsid w:val="005E5D55"/>
    <w:rsid w:val="005E6155"/>
    <w:rsid w:val="00602043"/>
    <w:rsid w:val="00605807"/>
    <w:rsid w:val="006105AC"/>
    <w:rsid w:val="006115E2"/>
    <w:rsid w:val="00616D72"/>
    <w:rsid w:val="00617173"/>
    <w:rsid w:val="006213FA"/>
    <w:rsid w:val="00632E3C"/>
    <w:rsid w:val="00636B2D"/>
    <w:rsid w:val="00637067"/>
    <w:rsid w:val="006419E8"/>
    <w:rsid w:val="00642D0E"/>
    <w:rsid w:val="00651022"/>
    <w:rsid w:val="00654FB9"/>
    <w:rsid w:val="00656378"/>
    <w:rsid w:val="00657ED6"/>
    <w:rsid w:val="00662402"/>
    <w:rsid w:val="00666E15"/>
    <w:rsid w:val="00667478"/>
    <w:rsid w:val="00673D57"/>
    <w:rsid w:val="0068114E"/>
    <w:rsid w:val="00682E81"/>
    <w:rsid w:val="00683CAE"/>
    <w:rsid w:val="0068641F"/>
    <w:rsid w:val="006936B2"/>
    <w:rsid w:val="00696396"/>
    <w:rsid w:val="00696522"/>
    <w:rsid w:val="006A1328"/>
    <w:rsid w:val="006A140D"/>
    <w:rsid w:val="006A3100"/>
    <w:rsid w:val="006A711C"/>
    <w:rsid w:val="006A7B64"/>
    <w:rsid w:val="006B0F19"/>
    <w:rsid w:val="006B293D"/>
    <w:rsid w:val="006B683E"/>
    <w:rsid w:val="006C12E0"/>
    <w:rsid w:val="006C4D91"/>
    <w:rsid w:val="006C4FCD"/>
    <w:rsid w:val="006C6590"/>
    <w:rsid w:val="006D2152"/>
    <w:rsid w:val="006D3983"/>
    <w:rsid w:val="006E6B9E"/>
    <w:rsid w:val="006E7B73"/>
    <w:rsid w:val="00700F21"/>
    <w:rsid w:val="00703B12"/>
    <w:rsid w:val="0070487D"/>
    <w:rsid w:val="00706495"/>
    <w:rsid w:val="00710687"/>
    <w:rsid w:val="00710D8A"/>
    <w:rsid w:val="0071342C"/>
    <w:rsid w:val="00713F13"/>
    <w:rsid w:val="00714BD9"/>
    <w:rsid w:val="00717926"/>
    <w:rsid w:val="00721682"/>
    <w:rsid w:val="007255EF"/>
    <w:rsid w:val="007265DF"/>
    <w:rsid w:val="00733E39"/>
    <w:rsid w:val="00747298"/>
    <w:rsid w:val="00753751"/>
    <w:rsid w:val="0077151A"/>
    <w:rsid w:val="007822EF"/>
    <w:rsid w:val="00787FA9"/>
    <w:rsid w:val="00791119"/>
    <w:rsid w:val="007935D4"/>
    <w:rsid w:val="00795128"/>
    <w:rsid w:val="007978E1"/>
    <w:rsid w:val="007A0D08"/>
    <w:rsid w:val="007A25C7"/>
    <w:rsid w:val="007B5762"/>
    <w:rsid w:val="007B585B"/>
    <w:rsid w:val="007B734A"/>
    <w:rsid w:val="007C0E79"/>
    <w:rsid w:val="007C3897"/>
    <w:rsid w:val="007C3E26"/>
    <w:rsid w:val="007C77BC"/>
    <w:rsid w:val="007D53C1"/>
    <w:rsid w:val="007E2488"/>
    <w:rsid w:val="007E701D"/>
    <w:rsid w:val="007F31BC"/>
    <w:rsid w:val="00800006"/>
    <w:rsid w:val="00805E2A"/>
    <w:rsid w:val="00807013"/>
    <w:rsid w:val="008320BE"/>
    <w:rsid w:val="00833C6D"/>
    <w:rsid w:val="00833D9A"/>
    <w:rsid w:val="008354C5"/>
    <w:rsid w:val="0083651B"/>
    <w:rsid w:val="00840AAA"/>
    <w:rsid w:val="00841874"/>
    <w:rsid w:val="00843ABA"/>
    <w:rsid w:val="00851AB6"/>
    <w:rsid w:val="00853389"/>
    <w:rsid w:val="00861050"/>
    <w:rsid w:val="00862343"/>
    <w:rsid w:val="00871E22"/>
    <w:rsid w:val="00874115"/>
    <w:rsid w:val="00874541"/>
    <w:rsid w:val="008935AC"/>
    <w:rsid w:val="0089540D"/>
    <w:rsid w:val="00895B66"/>
    <w:rsid w:val="00896945"/>
    <w:rsid w:val="008A0CD9"/>
    <w:rsid w:val="008A2547"/>
    <w:rsid w:val="008A6981"/>
    <w:rsid w:val="008A7C25"/>
    <w:rsid w:val="008B4614"/>
    <w:rsid w:val="008B7C41"/>
    <w:rsid w:val="008C5AB4"/>
    <w:rsid w:val="008D2CCA"/>
    <w:rsid w:val="008D33FD"/>
    <w:rsid w:val="008D36C5"/>
    <w:rsid w:val="008E0581"/>
    <w:rsid w:val="008E40D7"/>
    <w:rsid w:val="008E5762"/>
    <w:rsid w:val="008F5EE8"/>
    <w:rsid w:val="00901134"/>
    <w:rsid w:val="009019D4"/>
    <w:rsid w:val="009047CC"/>
    <w:rsid w:val="00905F0E"/>
    <w:rsid w:val="00915086"/>
    <w:rsid w:val="0091703D"/>
    <w:rsid w:val="00932E48"/>
    <w:rsid w:val="0093406F"/>
    <w:rsid w:val="00935461"/>
    <w:rsid w:val="0094098C"/>
    <w:rsid w:val="00940FFE"/>
    <w:rsid w:val="00942878"/>
    <w:rsid w:val="00944D29"/>
    <w:rsid w:val="00945A72"/>
    <w:rsid w:val="009511EA"/>
    <w:rsid w:val="009529C9"/>
    <w:rsid w:val="00954564"/>
    <w:rsid w:val="0096019F"/>
    <w:rsid w:val="009727B1"/>
    <w:rsid w:val="00974846"/>
    <w:rsid w:val="009758EB"/>
    <w:rsid w:val="009816A6"/>
    <w:rsid w:val="0098191E"/>
    <w:rsid w:val="009834CD"/>
    <w:rsid w:val="009857AA"/>
    <w:rsid w:val="00995DDC"/>
    <w:rsid w:val="009A5E29"/>
    <w:rsid w:val="009B05A8"/>
    <w:rsid w:val="009B25A2"/>
    <w:rsid w:val="009B551A"/>
    <w:rsid w:val="009C1114"/>
    <w:rsid w:val="009C4796"/>
    <w:rsid w:val="009C7334"/>
    <w:rsid w:val="009D60EC"/>
    <w:rsid w:val="009E06BB"/>
    <w:rsid w:val="009E074D"/>
    <w:rsid w:val="009E62B5"/>
    <w:rsid w:val="009F07F4"/>
    <w:rsid w:val="009F4080"/>
    <w:rsid w:val="00A04B62"/>
    <w:rsid w:val="00A067A2"/>
    <w:rsid w:val="00A10ADB"/>
    <w:rsid w:val="00A12FE0"/>
    <w:rsid w:val="00A22640"/>
    <w:rsid w:val="00A23B80"/>
    <w:rsid w:val="00A254AD"/>
    <w:rsid w:val="00A321E9"/>
    <w:rsid w:val="00A46F51"/>
    <w:rsid w:val="00A52D2E"/>
    <w:rsid w:val="00A53E1B"/>
    <w:rsid w:val="00A54066"/>
    <w:rsid w:val="00A54FA0"/>
    <w:rsid w:val="00A614C8"/>
    <w:rsid w:val="00A625A2"/>
    <w:rsid w:val="00A62D59"/>
    <w:rsid w:val="00A663A0"/>
    <w:rsid w:val="00A66AC6"/>
    <w:rsid w:val="00A70E0D"/>
    <w:rsid w:val="00A72155"/>
    <w:rsid w:val="00A90B7F"/>
    <w:rsid w:val="00A90BF2"/>
    <w:rsid w:val="00A9679D"/>
    <w:rsid w:val="00A96B21"/>
    <w:rsid w:val="00A9778A"/>
    <w:rsid w:val="00AA1C77"/>
    <w:rsid w:val="00AA624D"/>
    <w:rsid w:val="00AA6BA3"/>
    <w:rsid w:val="00AB33EF"/>
    <w:rsid w:val="00AB3825"/>
    <w:rsid w:val="00AC1234"/>
    <w:rsid w:val="00AD0D3F"/>
    <w:rsid w:val="00AD2E47"/>
    <w:rsid w:val="00AD5306"/>
    <w:rsid w:val="00AE0041"/>
    <w:rsid w:val="00AE1A95"/>
    <w:rsid w:val="00AE307A"/>
    <w:rsid w:val="00AE799D"/>
    <w:rsid w:val="00AF1188"/>
    <w:rsid w:val="00AF61CB"/>
    <w:rsid w:val="00AF63D6"/>
    <w:rsid w:val="00AF79A1"/>
    <w:rsid w:val="00B04745"/>
    <w:rsid w:val="00B048F0"/>
    <w:rsid w:val="00B158B7"/>
    <w:rsid w:val="00B26377"/>
    <w:rsid w:val="00B315A7"/>
    <w:rsid w:val="00B32CB6"/>
    <w:rsid w:val="00B33555"/>
    <w:rsid w:val="00B34A22"/>
    <w:rsid w:val="00B36EA9"/>
    <w:rsid w:val="00B37DF5"/>
    <w:rsid w:val="00B414AC"/>
    <w:rsid w:val="00B460E8"/>
    <w:rsid w:val="00B50063"/>
    <w:rsid w:val="00B553C9"/>
    <w:rsid w:val="00B55E32"/>
    <w:rsid w:val="00B5770B"/>
    <w:rsid w:val="00B6694A"/>
    <w:rsid w:val="00B72A4E"/>
    <w:rsid w:val="00B74D66"/>
    <w:rsid w:val="00B753E5"/>
    <w:rsid w:val="00B80021"/>
    <w:rsid w:val="00B80930"/>
    <w:rsid w:val="00B81212"/>
    <w:rsid w:val="00B824CE"/>
    <w:rsid w:val="00B829AA"/>
    <w:rsid w:val="00B82BC2"/>
    <w:rsid w:val="00B832D5"/>
    <w:rsid w:val="00B86989"/>
    <w:rsid w:val="00B95DE8"/>
    <w:rsid w:val="00BA0925"/>
    <w:rsid w:val="00BA2481"/>
    <w:rsid w:val="00BA6235"/>
    <w:rsid w:val="00BA7415"/>
    <w:rsid w:val="00BB48F7"/>
    <w:rsid w:val="00BB69D0"/>
    <w:rsid w:val="00BB7D20"/>
    <w:rsid w:val="00BC3F3B"/>
    <w:rsid w:val="00BC4927"/>
    <w:rsid w:val="00BD26BF"/>
    <w:rsid w:val="00BD4522"/>
    <w:rsid w:val="00BD5AA6"/>
    <w:rsid w:val="00BE06FF"/>
    <w:rsid w:val="00BE1545"/>
    <w:rsid w:val="00BE5A26"/>
    <w:rsid w:val="00BF39FD"/>
    <w:rsid w:val="00BF7871"/>
    <w:rsid w:val="00C120C5"/>
    <w:rsid w:val="00C1226D"/>
    <w:rsid w:val="00C155D1"/>
    <w:rsid w:val="00C230DA"/>
    <w:rsid w:val="00C2354A"/>
    <w:rsid w:val="00C237EC"/>
    <w:rsid w:val="00C35D6F"/>
    <w:rsid w:val="00C376A2"/>
    <w:rsid w:val="00C37E84"/>
    <w:rsid w:val="00C5033D"/>
    <w:rsid w:val="00C515C9"/>
    <w:rsid w:val="00C537FD"/>
    <w:rsid w:val="00C54320"/>
    <w:rsid w:val="00C568B2"/>
    <w:rsid w:val="00C57EC3"/>
    <w:rsid w:val="00C66B86"/>
    <w:rsid w:val="00C672F2"/>
    <w:rsid w:val="00C70BBF"/>
    <w:rsid w:val="00C727EF"/>
    <w:rsid w:val="00C772C2"/>
    <w:rsid w:val="00C80C01"/>
    <w:rsid w:val="00C80E0F"/>
    <w:rsid w:val="00C91B50"/>
    <w:rsid w:val="00CA23BA"/>
    <w:rsid w:val="00CA4164"/>
    <w:rsid w:val="00CA57C2"/>
    <w:rsid w:val="00CA62CC"/>
    <w:rsid w:val="00CB041E"/>
    <w:rsid w:val="00CB4DBA"/>
    <w:rsid w:val="00CB4DD1"/>
    <w:rsid w:val="00CC0CE9"/>
    <w:rsid w:val="00CC2B2C"/>
    <w:rsid w:val="00CE59EE"/>
    <w:rsid w:val="00CE7ABE"/>
    <w:rsid w:val="00CF1AD3"/>
    <w:rsid w:val="00CF1D8F"/>
    <w:rsid w:val="00CF70AB"/>
    <w:rsid w:val="00D00E05"/>
    <w:rsid w:val="00D02A12"/>
    <w:rsid w:val="00D0359D"/>
    <w:rsid w:val="00D0634A"/>
    <w:rsid w:val="00D14CD8"/>
    <w:rsid w:val="00D1696C"/>
    <w:rsid w:val="00D16CF7"/>
    <w:rsid w:val="00D2046D"/>
    <w:rsid w:val="00D25EB7"/>
    <w:rsid w:val="00D3059B"/>
    <w:rsid w:val="00D314C9"/>
    <w:rsid w:val="00D3292D"/>
    <w:rsid w:val="00D36B7E"/>
    <w:rsid w:val="00D40C70"/>
    <w:rsid w:val="00D42F6E"/>
    <w:rsid w:val="00D47726"/>
    <w:rsid w:val="00D56C30"/>
    <w:rsid w:val="00D60046"/>
    <w:rsid w:val="00D619BE"/>
    <w:rsid w:val="00D63FEC"/>
    <w:rsid w:val="00D64A16"/>
    <w:rsid w:val="00D718AE"/>
    <w:rsid w:val="00D71FFB"/>
    <w:rsid w:val="00D76028"/>
    <w:rsid w:val="00D77525"/>
    <w:rsid w:val="00D809F7"/>
    <w:rsid w:val="00D87325"/>
    <w:rsid w:val="00D95348"/>
    <w:rsid w:val="00DA07D0"/>
    <w:rsid w:val="00DA326C"/>
    <w:rsid w:val="00DA4666"/>
    <w:rsid w:val="00DB115B"/>
    <w:rsid w:val="00DB1CE5"/>
    <w:rsid w:val="00DB747D"/>
    <w:rsid w:val="00DB7801"/>
    <w:rsid w:val="00DB79B4"/>
    <w:rsid w:val="00DB7EA5"/>
    <w:rsid w:val="00DC5599"/>
    <w:rsid w:val="00DC7AB8"/>
    <w:rsid w:val="00DD0187"/>
    <w:rsid w:val="00DD3AC1"/>
    <w:rsid w:val="00DE01FD"/>
    <w:rsid w:val="00DE0907"/>
    <w:rsid w:val="00DE4227"/>
    <w:rsid w:val="00E00D58"/>
    <w:rsid w:val="00E03547"/>
    <w:rsid w:val="00E0749F"/>
    <w:rsid w:val="00E13128"/>
    <w:rsid w:val="00E14F11"/>
    <w:rsid w:val="00E1597C"/>
    <w:rsid w:val="00E20624"/>
    <w:rsid w:val="00E215E8"/>
    <w:rsid w:val="00E25FCA"/>
    <w:rsid w:val="00E26963"/>
    <w:rsid w:val="00E446BC"/>
    <w:rsid w:val="00E46731"/>
    <w:rsid w:val="00E530EA"/>
    <w:rsid w:val="00E54786"/>
    <w:rsid w:val="00E60F3B"/>
    <w:rsid w:val="00E64054"/>
    <w:rsid w:val="00E64142"/>
    <w:rsid w:val="00E64767"/>
    <w:rsid w:val="00E752A6"/>
    <w:rsid w:val="00E75530"/>
    <w:rsid w:val="00E756E1"/>
    <w:rsid w:val="00E80440"/>
    <w:rsid w:val="00E81EFE"/>
    <w:rsid w:val="00E82064"/>
    <w:rsid w:val="00E82EB4"/>
    <w:rsid w:val="00E8708D"/>
    <w:rsid w:val="00E9283B"/>
    <w:rsid w:val="00E97C8D"/>
    <w:rsid w:val="00EA1B25"/>
    <w:rsid w:val="00EA3F27"/>
    <w:rsid w:val="00EA5361"/>
    <w:rsid w:val="00EB13B5"/>
    <w:rsid w:val="00EB4088"/>
    <w:rsid w:val="00EB73C6"/>
    <w:rsid w:val="00EB7460"/>
    <w:rsid w:val="00EC2996"/>
    <w:rsid w:val="00EC43F0"/>
    <w:rsid w:val="00EC7830"/>
    <w:rsid w:val="00ED1CF8"/>
    <w:rsid w:val="00ED21B5"/>
    <w:rsid w:val="00ED3849"/>
    <w:rsid w:val="00EE6768"/>
    <w:rsid w:val="00EE684D"/>
    <w:rsid w:val="00EE7B4F"/>
    <w:rsid w:val="00EF30C2"/>
    <w:rsid w:val="00F01EC1"/>
    <w:rsid w:val="00F03033"/>
    <w:rsid w:val="00F050EC"/>
    <w:rsid w:val="00F10330"/>
    <w:rsid w:val="00F1431B"/>
    <w:rsid w:val="00F258FB"/>
    <w:rsid w:val="00F25E41"/>
    <w:rsid w:val="00F332A6"/>
    <w:rsid w:val="00F33FAA"/>
    <w:rsid w:val="00F34510"/>
    <w:rsid w:val="00F35C42"/>
    <w:rsid w:val="00F36160"/>
    <w:rsid w:val="00F3749E"/>
    <w:rsid w:val="00F37588"/>
    <w:rsid w:val="00F41711"/>
    <w:rsid w:val="00F442FD"/>
    <w:rsid w:val="00F46E81"/>
    <w:rsid w:val="00F5110B"/>
    <w:rsid w:val="00F520F4"/>
    <w:rsid w:val="00F52539"/>
    <w:rsid w:val="00F52C2C"/>
    <w:rsid w:val="00F53417"/>
    <w:rsid w:val="00F53E7F"/>
    <w:rsid w:val="00F55141"/>
    <w:rsid w:val="00F55A68"/>
    <w:rsid w:val="00F5799C"/>
    <w:rsid w:val="00F63BFA"/>
    <w:rsid w:val="00F6696D"/>
    <w:rsid w:val="00F82154"/>
    <w:rsid w:val="00F834AE"/>
    <w:rsid w:val="00F84144"/>
    <w:rsid w:val="00F90DB4"/>
    <w:rsid w:val="00F91124"/>
    <w:rsid w:val="00F91202"/>
    <w:rsid w:val="00FA0339"/>
    <w:rsid w:val="00FA18C9"/>
    <w:rsid w:val="00FA45D4"/>
    <w:rsid w:val="00FB45F6"/>
    <w:rsid w:val="00FB4C15"/>
    <w:rsid w:val="00FB7661"/>
    <w:rsid w:val="00FC0032"/>
    <w:rsid w:val="00FC6B7E"/>
    <w:rsid w:val="00FD7D9B"/>
    <w:rsid w:val="00FE46A1"/>
    <w:rsid w:val="00FF17AD"/>
    <w:rsid w:val="00FF1E42"/>
    <w:rsid w:val="00FF294A"/>
    <w:rsid w:val="00FF487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59EF2"/>
  <w15:chartTrackingRefBased/>
  <w15:docId w15:val="{160403B7-C7EA-43C9-B593-799D8C45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D95348"/>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EA5361"/>
    <w:rPr>
      <w:color w:val="0563C1" w:themeColor="hyperlink"/>
      <w:u w:val="single"/>
    </w:rPr>
  </w:style>
  <w:style w:type="character" w:styleId="FollowedHyperlink">
    <w:name w:val="FollowedHyperlink"/>
    <w:basedOn w:val="DefaultParagraphFont"/>
    <w:uiPriority w:val="99"/>
    <w:semiHidden/>
    <w:unhideWhenUsed/>
    <w:rsid w:val="00096C71"/>
    <w:rPr>
      <w:color w:val="954F72" w:themeColor="followedHyperlink"/>
      <w:u w:val="single"/>
    </w:rPr>
  </w:style>
  <w:style w:type="character" w:customStyle="1" w:styleId="UnresolvedMention">
    <w:name w:val="Unresolved Mention"/>
    <w:basedOn w:val="DefaultParagraphFont"/>
    <w:uiPriority w:val="99"/>
    <w:semiHidden/>
    <w:unhideWhenUsed/>
    <w:rsid w:val="00D1696C"/>
    <w:rPr>
      <w:color w:val="605E5C"/>
      <w:shd w:val="clear" w:color="auto" w:fill="E1DFDD"/>
    </w:rPr>
  </w:style>
  <w:style w:type="paragraph" w:styleId="Revision">
    <w:name w:val="Revision"/>
    <w:hidden/>
    <w:uiPriority w:val="99"/>
    <w:semiHidden/>
    <w:rsid w:val="000E2B38"/>
    <w:pPr>
      <w:spacing w:after="0" w:line="240" w:lineRule="auto"/>
    </w:pPr>
    <w:rPr>
      <w:rFonts w:ascii="Times New Roman" w:eastAsia="Times New Roman" w:hAnsi="Times New Roman" w:cs="Times New Roman"/>
      <w:kern w:val="0"/>
      <w:szCs w:val="24"/>
      <w:lang w:val="en-GB"/>
      <w14:ligatures w14:val="non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5E6155"/>
    <w:pPr>
      <w:spacing w:after="160" w:line="240" w:lineRule="exact"/>
      <w:jc w:val="left"/>
    </w:pPr>
    <w:rPr>
      <w:rFonts w:asciiTheme="minorHAnsi" w:eastAsiaTheme="minorHAnsi" w:hAnsiTheme="minorHAnsi" w:cstheme="minorBidi"/>
      <w:kern w:val="2"/>
      <w:szCs w:val="22"/>
      <w:vertAlign w:val="superscript"/>
      <w:lang w:val="en-CA"/>
      <w14:ligatures w14:val="standardContextual"/>
    </w:rPr>
  </w:style>
  <w:style w:type="paragraph" w:styleId="BalloonText">
    <w:name w:val="Balloon Text"/>
    <w:basedOn w:val="Normal"/>
    <w:link w:val="BalloonTextChar"/>
    <w:uiPriority w:val="99"/>
    <w:semiHidden/>
    <w:unhideWhenUsed/>
    <w:rsid w:val="003A5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554"/>
    <w:rPr>
      <w:rFonts w:ascii="Segoe UI" w:eastAsia="Times New Roman" w:hAnsi="Segoe UI" w:cs="Segoe UI"/>
      <w:kern w:val="0"/>
      <w:sz w:val="18"/>
      <w:szCs w:val="18"/>
      <w:lang w:val="en-GB"/>
      <w14:ligatures w14:val="none"/>
    </w:rPr>
  </w:style>
  <w:style w:type="paragraph" w:styleId="ListParagraph">
    <w:name w:val="List Paragraph"/>
    <w:basedOn w:val="Normal"/>
    <w:uiPriority w:val="34"/>
    <w:qFormat/>
    <w:rsid w:val="00291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2461">
      <w:bodyDiv w:val="1"/>
      <w:marLeft w:val="0"/>
      <w:marRight w:val="0"/>
      <w:marTop w:val="0"/>
      <w:marBottom w:val="0"/>
      <w:divBdr>
        <w:top w:val="none" w:sz="0" w:space="0" w:color="auto"/>
        <w:left w:val="none" w:sz="0" w:space="0" w:color="auto"/>
        <w:bottom w:val="none" w:sz="0" w:space="0" w:color="auto"/>
        <w:right w:val="none" w:sz="0" w:space="0" w:color="auto"/>
      </w:divBdr>
    </w:div>
    <w:div w:id="5026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dds-ny.un.org/doc/UNDOC/GEN/N16/126/35/pdf/N1612635.pdf?OpenElement" TargetMode="External"/><Relationship Id="rId1" Type="http://schemas.openxmlformats.org/officeDocument/2006/relationships/hyperlink" Target="https://documents-dds-ny.un.org/doc/UNDOC/GEN/N16/044/09/pdf/N1604409.pdf?OpenEl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wg8j-12-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MediaLengthInSeconds xmlns="358298e0-1b7e-4ebe-8695-94439b74f0d1" xsi:nil="true"/>
    <SharedWithUsers xmlns="13ad741f-c0db-4e29-b5a6-03b4a1bc18ba">
      <UserInfo>
        <DisplayName/>
        <AccountId xsi:nil="true"/>
        <AccountType/>
      </UserInfo>
    </SharedWithUsers>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A661A-1BD7-4E30-B00F-A111DF027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5C94C-C273-4E69-8BAD-0132918C2E0D}">
  <ds:schemaRefs>
    <ds:schemaRef ds:uri="http://schemas.microsoft.com/office/2006/metadata/properties"/>
    <ds:schemaRef ds:uri="http://schemas.microsoft.com/office/infopath/2007/PartnerControls"/>
    <ds:schemaRef ds:uri="985ec44e-1bab-4c0b-9df0-6ba128686fc9"/>
    <ds:schemaRef ds:uri="358298e0-1b7e-4ebe-8695-94439b74f0d1"/>
    <ds:schemaRef ds:uri="13ad741f-c0db-4e29-b5a6-03b4a1bc18ba"/>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8C86F714-E17B-4E76-BD27-AD4FA901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wg8j-12-template.dotm</Template>
  <TotalTime>13</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 of the document</vt:lpstr>
    </vt:vector>
  </TitlesOfParts>
  <Company/>
  <LinksUpToDate>false</LinksUpToDate>
  <CharactersWithSpaces>1940</CharactersWithSpaces>
  <SharedDoc>false</SharedDoc>
  <HLinks>
    <vt:vector size="156" baseType="variant">
      <vt:variant>
        <vt:i4>917578</vt:i4>
      </vt:variant>
      <vt:variant>
        <vt:i4>21</vt:i4>
      </vt:variant>
      <vt:variant>
        <vt:i4>0</vt:i4>
      </vt:variant>
      <vt:variant>
        <vt:i4>5</vt:i4>
      </vt:variant>
      <vt:variant>
        <vt:lpwstr>https://www.cbd.int/doc/decisions/cop-15/cop-15-dec-10-en.pdf</vt:lpwstr>
      </vt:variant>
      <vt:variant>
        <vt:lpwstr/>
      </vt:variant>
      <vt:variant>
        <vt:i4>720971</vt:i4>
      </vt:variant>
      <vt:variant>
        <vt:i4>18</vt:i4>
      </vt:variant>
      <vt:variant>
        <vt:i4>0</vt:i4>
      </vt:variant>
      <vt:variant>
        <vt:i4>5</vt:i4>
      </vt:variant>
      <vt:variant>
        <vt:lpwstr>https://www.cbd.int/doc/decisions/cop-15/cop-15-dec-05-en.pdf</vt:lpwstr>
      </vt:variant>
      <vt:variant>
        <vt:lpwstr/>
      </vt:variant>
      <vt:variant>
        <vt:i4>2228287</vt:i4>
      </vt:variant>
      <vt:variant>
        <vt:i4>12</vt:i4>
      </vt:variant>
      <vt:variant>
        <vt:i4>0</vt:i4>
      </vt:variant>
      <vt:variant>
        <vt:i4>5</vt:i4>
      </vt:variant>
      <vt:variant>
        <vt:lpwstr>https://www.cbd.int/decisions/cop/12/12</vt:lpwstr>
      </vt:variant>
      <vt:variant>
        <vt:lpwstr/>
      </vt:variant>
      <vt:variant>
        <vt:i4>786507</vt:i4>
      </vt:variant>
      <vt:variant>
        <vt:i4>9</vt:i4>
      </vt:variant>
      <vt:variant>
        <vt:i4>0</vt:i4>
      </vt:variant>
      <vt:variant>
        <vt:i4>5</vt:i4>
      </vt:variant>
      <vt:variant>
        <vt:lpwstr>https://www.cbd.int/doc/decisions/cop-14/cop-14-dec-13-en.pdf</vt:lpwstr>
      </vt:variant>
      <vt:variant>
        <vt:lpwstr/>
      </vt:variant>
      <vt:variant>
        <vt:i4>917582</vt:i4>
      </vt:variant>
      <vt:variant>
        <vt:i4>6</vt:i4>
      </vt:variant>
      <vt:variant>
        <vt:i4>0</vt:i4>
      </vt:variant>
      <vt:variant>
        <vt:i4>5</vt:i4>
      </vt:variant>
      <vt:variant>
        <vt:lpwstr>https://www.cbd.int/doc/decisions/cop-11/cop-11-dec-14-en.pdf</vt:lpwstr>
      </vt:variant>
      <vt:variant>
        <vt:lpwstr/>
      </vt:variant>
      <vt:variant>
        <vt:i4>917578</vt:i4>
      </vt:variant>
      <vt:variant>
        <vt:i4>3</vt:i4>
      </vt:variant>
      <vt:variant>
        <vt:i4>0</vt:i4>
      </vt:variant>
      <vt:variant>
        <vt:i4>5</vt:i4>
      </vt:variant>
      <vt:variant>
        <vt:lpwstr>https://www.cbd.int/doc/decisions/cop-15/cop-15-dec-10-en.pdf</vt:lpwstr>
      </vt:variant>
      <vt:variant>
        <vt:lpwstr/>
      </vt:variant>
      <vt:variant>
        <vt:i4>917578</vt:i4>
      </vt:variant>
      <vt:variant>
        <vt:i4>0</vt:i4>
      </vt:variant>
      <vt:variant>
        <vt:i4>0</vt:i4>
      </vt:variant>
      <vt:variant>
        <vt:i4>5</vt:i4>
      </vt:variant>
      <vt:variant>
        <vt:lpwstr>https://www.cbd.int/doc/decisions/cop-15/cop-15-dec-10-en.pdf</vt:lpwstr>
      </vt:variant>
      <vt:variant>
        <vt:lpwstr/>
      </vt:variant>
      <vt:variant>
        <vt:i4>5701639</vt:i4>
      </vt:variant>
      <vt:variant>
        <vt:i4>66</vt:i4>
      </vt:variant>
      <vt:variant>
        <vt:i4>0</vt:i4>
      </vt:variant>
      <vt:variant>
        <vt:i4>5</vt:i4>
      </vt:variant>
      <vt:variant>
        <vt:lpwstr>https://documents-dds-ny.un.org/doc/UNDOC/GEN/N16/044/09/pdf/N1604409.pdf?OpenElement</vt:lpwstr>
      </vt:variant>
      <vt:variant>
        <vt:lpwstr/>
      </vt:variant>
      <vt:variant>
        <vt:i4>589905</vt:i4>
      </vt:variant>
      <vt:variant>
        <vt:i4>60</vt:i4>
      </vt:variant>
      <vt:variant>
        <vt:i4>0</vt:i4>
      </vt:variant>
      <vt:variant>
        <vt:i4>5</vt:i4>
      </vt:variant>
      <vt:variant>
        <vt:lpwstr>http://www.cbd.int/doc/notifications/2023/ntf-2023-040-indicators-en.pdf</vt:lpwstr>
      </vt:variant>
      <vt:variant>
        <vt:lpwstr/>
      </vt:variant>
      <vt:variant>
        <vt:i4>4784137</vt:i4>
      </vt:variant>
      <vt:variant>
        <vt:i4>57</vt:i4>
      </vt:variant>
      <vt:variant>
        <vt:i4>0</vt:i4>
      </vt:variant>
      <vt:variant>
        <vt:i4>5</vt:i4>
      </vt:variant>
      <vt:variant>
        <vt:lpwstr>https://documents-dds-ny.un.org/doc/UNDOC/LTD/N23/127/22/PDF/N2312722.pdf?OpenElement</vt:lpwstr>
      </vt:variant>
      <vt:variant>
        <vt:lpwstr/>
      </vt:variant>
      <vt:variant>
        <vt:i4>720973</vt:i4>
      </vt:variant>
      <vt:variant>
        <vt:i4>51</vt:i4>
      </vt:variant>
      <vt:variant>
        <vt:i4>0</vt:i4>
      </vt:variant>
      <vt:variant>
        <vt:i4>5</vt:i4>
      </vt:variant>
      <vt:variant>
        <vt:lpwstr>https://www.cbd.int/doc/decisions/cop-12/cop-12-dec-12-en.pdf</vt:lpwstr>
      </vt:variant>
      <vt:variant>
        <vt:lpwstr/>
      </vt:variant>
      <vt:variant>
        <vt:i4>7864432</vt:i4>
      </vt:variant>
      <vt:variant>
        <vt:i4>48</vt:i4>
      </vt:variant>
      <vt:variant>
        <vt:i4>0</vt:i4>
      </vt:variant>
      <vt:variant>
        <vt:i4>5</vt:i4>
      </vt:variant>
      <vt:variant>
        <vt:lpwstr>https://www.cbd.int/doc/meetings/tk/wg8j-07/official/wg8j-07-08-add1-en.pdf</vt:lpwstr>
      </vt:variant>
      <vt:variant>
        <vt:lpwstr/>
      </vt:variant>
      <vt:variant>
        <vt:i4>6946850</vt:i4>
      </vt:variant>
      <vt:variant>
        <vt:i4>42</vt:i4>
      </vt:variant>
      <vt:variant>
        <vt:i4>0</vt:i4>
      </vt:variant>
      <vt:variant>
        <vt:i4>5</vt:i4>
      </vt:variant>
      <vt:variant>
        <vt:lpwstr>see: undocs.org/Home/Mobile?FinalSymbol=E%2F2022%2F43&amp;Language=E&amp;DeviceType=Desktop&amp;LangRequested=False</vt:lpwstr>
      </vt:variant>
      <vt:variant>
        <vt:lpwstr/>
      </vt:variant>
      <vt:variant>
        <vt:i4>262165</vt:i4>
      </vt:variant>
      <vt:variant>
        <vt:i4>39</vt:i4>
      </vt:variant>
      <vt:variant>
        <vt:i4>0</vt:i4>
      </vt:variant>
      <vt:variant>
        <vt:i4>5</vt:i4>
      </vt:variant>
      <vt:variant>
        <vt:lpwstr>http://See: www.cbd.int/meetings/POST2020-WS-2021-01</vt:lpwstr>
      </vt:variant>
      <vt:variant>
        <vt:lpwstr/>
      </vt:variant>
      <vt:variant>
        <vt:i4>1900610</vt:i4>
      </vt:variant>
      <vt:variant>
        <vt:i4>36</vt:i4>
      </vt:variant>
      <vt:variant>
        <vt:i4>0</vt:i4>
      </vt:variant>
      <vt:variant>
        <vt:i4>5</vt:i4>
      </vt:variant>
      <vt:variant>
        <vt:lpwstr>www.cbd.int/meetings/POST2020-WS-2020-05</vt:lpwstr>
      </vt:variant>
      <vt:variant>
        <vt:lpwstr/>
      </vt:variant>
      <vt:variant>
        <vt:i4>1638474</vt:i4>
      </vt:variant>
      <vt:variant>
        <vt:i4>33</vt:i4>
      </vt:variant>
      <vt:variant>
        <vt:i4>0</vt:i4>
      </vt:variant>
      <vt:variant>
        <vt:i4>5</vt:i4>
      </vt:variant>
      <vt:variant>
        <vt:lpwstr>www.cbd.int/meetings/POST2020-WS-2019-12</vt:lpwstr>
      </vt:variant>
      <vt:variant>
        <vt:lpwstr/>
      </vt:variant>
      <vt:variant>
        <vt:i4>5242952</vt:i4>
      </vt:variant>
      <vt:variant>
        <vt:i4>21</vt:i4>
      </vt:variant>
      <vt:variant>
        <vt:i4>0</vt:i4>
      </vt:variant>
      <vt:variant>
        <vt:i4>5</vt:i4>
      </vt:variant>
      <vt:variant>
        <vt:lpwstr>https://www.cbd.int/doc/notifications/2022/ntf-2022-066-cop15-iplc-en.pdf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852043</vt:i4>
      </vt:variant>
      <vt:variant>
        <vt:i4>15</vt:i4>
      </vt:variant>
      <vt:variant>
        <vt:i4>0</vt:i4>
      </vt:variant>
      <vt:variant>
        <vt:i4>5</vt:i4>
      </vt:variant>
      <vt:variant>
        <vt:lpwstr>https://www.cbd.int/doc/decisions/cop-14/cop-14-dec-12-en.pdf</vt:lpwstr>
      </vt:variant>
      <vt:variant>
        <vt:lpwstr/>
      </vt:variant>
      <vt:variant>
        <vt:i4>76</vt:i4>
      </vt:variant>
      <vt:variant>
        <vt:i4>12</vt:i4>
      </vt:variant>
      <vt:variant>
        <vt:i4>0</vt:i4>
      </vt:variant>
      <vt:variant>
        <vt:i4>5</vt:i4>
      </vt:variant>
      <vt:variant>
        <vt:lpwstr>https://www.cbd.int/doc/decisions/cop-13/cop-13-dec-18-en.pdf</vt:lpwstr>
      </vt:variant>
      <vt:variant>
        <vt:lpwstr/>
      </vt:variant>
      <vt:variant>
        <vt:i4>589898</vt:i4>
      </vt:variant>
      <vt:variant>
        <vt:i4>9</vt:i4>
      </vt:variant>
      <vt:variant>
        <vt:i4>0</vt:i4>
      </vt:variant>
      <vt:variant>
        <vt:i4>5</vt:i4>
      </vt:variant>
      <vt:variant>
        <vt:lpwstr>https://www.cbd.int/doc/decisions/cop-10/cop-10-dec-42-en.pdf</vt:lpwstr>
      </vt:variant>
      <vt:variant>
        <vt:lpwstr/>
      </vt:variant>
      <vt:variant>
        <vt:i4>720969</vt:i4>
      </vt:variant>
      <vt:variant>
        <vt:i4>6</vt:i4>
      </vt:variant>
      <vt:variant>
        <vt:i4>0</vt:i4>
      </vt:variant>
      <vt:variant>
        <vt:i4>5</vt:i4>
      </vt:variant>
      <vt:variant>
        <vt:lpwstr>https://www.cbd.int/doc/decisions/cop-07/cop-07-dec-16-en.pdf</vt:lpwstr>
      </vt:variant>
      <vt:variant>
        <vt:lpwstr/>
      </vt:variant>
      <vt:variant>
        <vt:i4>5767176</vt:i4>
      </vt:variant>
      <vt:variant>
        <vt:i4>0</vt:i4>
      </vt:variant>
      <vt:variant>
        <vt:i4>0</vt:i4>
      </vt:variant>
      <vt:variant>
        <vt:i4>5</vt:i4>
      </vt:variant>
      <vt:variant>
        <vt:lpwstr>https://documents-dds-ny.un.org/doc/UNDOC/GEN/N21/114/57/PDF/N2111457.pdf?OpenElement</vt:lpwstr>
      </vt:variant>
      <vt:variant>
        <vt:lpwstr/>
      </vt:variant>
      <vt:variant>
        <vt:i4>3080314</vt:i4>
      </vt:variant>
      <vt:variant>
        <vt:i4>6</vt:i4>
      </vt:variant>
      <vt:variant>
        <vt:i4>0</vt:i4>
      </vt:variant>
      <vt:variant>
        <vt:i4>5</vt:i4>
      </vt:variant>
      <vt:variant>
        <vt:lpwstr>https://eur02.safelinks.protection.outlook.com/?url=https%3A%2F%2Fwww.undocs.org%2FHome%2FMobile%3FFinalSymbol%3DE%252FC.19%252F2023%252F7%26Language%3DE%26DeviceType%3DDesktop%26LangRequested%3DFalse&amp;data=05%7C01%7Cveronique.lefebvre%40un.org%7Cc807c5d1a21d483e2b7508dbba6b0c6b%7C0f9e35db544f4f60bdcc5ea416e6dc70%7C0%7C0%7C638308741931261379%7CUnknown%7CTWFpbGZsb3d8eyJWIjoiMC4wLjAwMDAiLCJQIjoiV2luMzIiLCJBTiI6Ik1haWwiLCJXVCI6Mn0%3D%7C3000%7C%7C%7C&amp;sdata=4p87Qxw1IRMcpHFSgBiFW86Rkb4imzaF%2Bsr7nlGanZM%3D&amp;reserved=0</vt:lpwstr>
      </vt:variant>
      <vt:variant>
        <vt:lpwstr/>
      </vt:variant>
      <vt:variant>
        <vt:i4>8323199</vt:i4>
      </vt:variant>
      <vt:variant>
        <vt:i4>3</vt:i4>
      </vt:variant>
      <vt:variant>
        <vt:i4>0</vt:i4>
      </vt:variant>
      <vt:variant>
        <vt:i4>5</vt:i4>
      </vt:variant>
      <vt:variant>
        <vt:lpwstr>https://eur02.safelinks.protection.outlook.com/?url=https%3A%2F%2Fundocs.org%2FHome%2FMobile%3FFinalSymbol%3DE%252F2022%252F43%26Language%3DE%26DeviceType%3DDesktop%26LangRequested%3DFalse&amp;data=05%7C01%7Cveronique.lefebvre%40un.org%7Cc807c5d1a21d483e2b7508dbba6b0c6b%7C0f9e35db544f4f60bdcc5ea416e6dc70%7C0%7C0%7C638308741931261379%7CUnknown%7CTWFpbGZsb3d8eyJWIjoiMC4wLjAwMDAiLCJQIjoiV2luMzIiLCJBTiI6Ik1haWwiLCJXVCI6Mn0%3D%7C3000%7C%7C%7C&amp;sdata=COFswWCiZtpl2rZNPqwF9te4GCcYZoWowbN8TQej7ao%3D&amp;reserved=0</vt:lpwstr>
      </vt:variant>
      <vt:variant>
        <vt:lpwstr/>
      </vt:variant>
      <vt:variant>
        <vt:i4>8323196</vt:i4>
      </vt:variant>
      <vt:variant>
        <vt:i4>0</vt:i4>
      </vt:variant>
      <vt:variant>
        <vt:i4>0</vt:i4>
      </vt:variant>
      <vt:variant>
        <vt:i4>5</vt:i4>
      </vt:variant>
      <vt:variant>
        <vt:lpwstr>https://eur02.safelinks.protection.outlook.com/?url=https%3A%2F%2Fundocs.org%2FHome%2FMobile%3FFinalSymbol%3DE%252F2021%252F43%26Language%3DE%26DeviceType%3DDesktop%26LangRequested%3DFalse&amp;data=05%7C01%7Cveronique.lefebvre%40un.org%7Cc807c5d1a21d483e2b7508dbba6b0c6b%7C0f9e35db544f4f60bdcc5ea416e6dc70%7C0%7C0%7C638308741931261379%7CUnknown%7CTWFpbGZsb3d8eyJWIjoiMC4wLjAwMDAiLCJQIjoiV2luMzIiLCJBTiI6Ik1haWwiLCJXVCI6Mn0%3D%7C3000%7C%7C%7C&amp;sdata=rfosNIkve9xb1zWn1gaG6HNTHh15y%2BuW3nroUlZVrdA%3D&amp;reserve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dc:title>
  <dc:subject>CBD/WG8J/REC/12/5</dc:subject>
  <dc:creator>Q"apaj Conde</dc:creator>
  <cp:keywords>Ad Hoc Open-ended Working Group on Article 8(j) and Related Provisions</cp:keywords>
  <dc:description/>
  <cp:lastModifiedBy>Ahmed OSMAN</cp:lastModifiedBy>
  <cp:revision>5</cp:revision>
  <cp:lastPrinted>2023-12-13T08:25:00Z</cp:lastPrinted>
  <dcterms:created xsi:type="dcterms:W3CDTF">2023-11-16T14:09:00Z</dcterms:created>
  <dcterms:modified xsi:type="dcterms:W3CDTF">2023-12-13T08:25:00Z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