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4435"/>
        <w:gridCol w:w="5376"/>
      </w:tblGrid>
      <w:tr w:rsidR="00A96B21" w:rsidRPr="001535BA" w14:paraId="5FF6239C" w14:textId="77777777" w:rsidTr="009134E0">
        <w:trPr>
          <w:trHeight w:val="851"/>
        </w:trPr>
        <w:tc>
          <w:tcPr>
            <w:tcW w:w="465" w:type="pct"/>
            <w:tcBorders>
              <w:bottom w:val="single" w:sz="8" w:space="0" w:color="auto"/>
            </w:tcBorders>
            <w:vAlign w:val="bottom"/>
          </w:tcPr>
          <w:p w14:paraId="76278E41" w14:textId="77777777" w:rsidR="00A96B21" w:rsidRPr="001535BA" w:rsidRDefault="00A96B21" w:rsidP="009134E0">
            <w:pPr>
              <w:spacing w:after="120"/>
              <w:jc w:val="left"/>
            </w:pPr>
            <w:bookmarkStart w:id="0" w:name="_Hlk137651738"/>
            <w:r>
              <w:rPr>
                <w:noProof/>
                <w:lang w:val="fr-FR" w:eastAsia="fr-FR"/>
              </w:rPr>
              <w:drawing>
                <wp:anchor distT="0" distB="0" distL="114300" distR="114300" simplePos="0" relativeHeight="251658240" behindDoc="0" locked="0" layoutInCell="1" allowOverlap="1" wp14:anchorId="66C20F1A" wp14:editId="179DC974">
                  <wp:simplePos x="0" y="0"/>
                  <wp:positionH relativeFrom="column">
                    <wp:posOffset>36195</wp:posOffset>
                  </wp:positionH>
                  <wp:positionV relativeFrom="paragraph">
                    <wp:posOffset>-262255</wp:posOffset>
                  </wp:positionV>
                  <wp:extent cx="438150" cy="369570"/>
                  <wp:effectExtent l="0" t="0" r="0" b="0"/>
                  <wp:wrapNone/>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2" w:type="pct"/>
            <w:tcBorders>
              <w:bottom w:val="single" w:sz="8" w:space="0" w:color="auto"/>
            </w:tcBorders>
            <w:shd w:val="clear" w:color="auto" w:fill="auto"/>
            <w:tcFitText/>
            <w:vAlign w:val="bottom"/>
          </w:tcPr>
          <w:p w14:paraId="66894F78" w14:textId="6F860059" w:rsidR="00A96B21" w:rsidRPr="001535BA" w:rsidRDefault="008F6C22" w:rsidP="009134E0">
            <w:pPr>
              <w:spacing w:after="120"/>
              <w:jc w:val="left"/>
            </w:pPr>
            <w:r>
              <w:rPr>
                <w:noProof/>
                <w:lang w:val="fr-FR" w:eastAsia="fr-FR"/>
              </w:rPr>
              <w:drawing>
                <wp:anchor distT="0" distB="0" distL="114300" distR="114300" simplePos="0" relativeHeight="251659264" behindDoc="0" locked="0" layoutInCell="1" allowOverlap="1" wp14:anchorId="02C83E30" wp14:editId="1809133C">
                  <wp:simplePos x="0" y="0"/>
                  <wp:positionH relativeFrom="column">
                    <wp:posOffset>116205</wp:posOffset>
                  </wp:positionH>
                  <wp:positionV relativeFrom="paragraph">
                    <wp:posOffset>-235585</wp:posOffset>
                  </wp:positionV>
                  <wp:extent cx="596900" cy="342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3" w:type="pct"/>
            <w:tcBorders>
              <w:bottom w:val="single" w:sz="8" w:space="0" w:color="auto"/>
            </w:tcBorders>
            <w:vAlign w:val="bottom"/>
          </w:tcPr>
          <w:p w14:paraId="3CBAA91A" w14:textId="0E2A63D6" w:rsidR="00A96B21" w:rsidRPr="001535BA" w:rsidRDefault="00A96B21" w:rsidP="00184909">
            <w:pPr>
              <w:spacing w:after="120"/>
              <w:ind w:left="2021"/>
              <w:jc w:val="right"/>
              <w:rPr>
                <w:szCs w:val="22"/>
              </w:rPr>
            </w:pPr>
            <w:r>
              <w:rPr>
                <w:sz w:val="40"/>
                <w:szCs w:val="40"/>
              </w:rPr>
              <w:t>CBD</w:t>
            </w:r>
            <w:r>
              <w:t>/WG8J/</w:t>
            </w:r>
            <w:r w:rsidR="00033EBF">
              <w:t>REC/</w:t>
            </w:r>
            <w:r>
              <w:t>12</w:t>
            </w:r>
            <w:r w:rsidR="00033EBF">
              <w:t>/3</w:t>
            </w:r>
          </w:p>
        </w:tc>
      </w:tr>
      <w:tr w:rsidR="00A96B21" w:rsidRPr="00A370C4" w14:paraId="54C9ED4A" w14:textId="77777777" w:rsidTr="009134E0">
        <w:tc>
          <w:tcPr>
            <w:tcW w:w="2297" w:type="pct"/>
            <w:gridSpan w:val="2"/>
            <w:tcBorders>
              <w:top w:val="single" w:sz="8" w:space="0" w:color="auto"/>
              <w:bottom w:val="single" w:sz="12" w:space="0" w:color="auto"/>
            </w:tcBorders>
          </w:tcPr>
          <w:p w14:paraId="00C0F75C" w14:textId="30C6915D" w:rsidR="00A96B21" w:rsidRPr="001535BA" w:rsidRDefault="008F6C22" w:rsidP="009134E0">
            <w:pPr>
              <w:pStyle w:val="Cornernotation"/>
              <w:suppressLineNumbers/>
              <w:suppressAutoHyphens/>
              <w:spacing w:before="120" w:after="120"/>
              <w:ind w:left="0" w:right="0" w:firstLine="0"/>
            </w:pPr>
            <w:r>
              <w:rPr>
                <w:noProof/>
                <w:lang w:val="fr-FR" w:eastAsia="fr-FR"/>
              </w:rPr>
              <w:drawing>
                <wp:inline distT="0" distB="0" distL="0" distR="0" wp14:anchorId="4CC3573B" wp14:editId="7CF63FFB">
                  <wp:extent cx="2857500" cy="1079500"/>
                  <wp:effectExtent l="0" t="0" r="0" b="6350"/>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95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5DE362E" w14:textId="1FD09961" w:rsidR="00A96B21" w:rsidRPr="00B33C36" w:rsidRDefault="00A96B21" w:rsidP="003C6F10">
            <w:pPr>
              <w:ind w:left="2584"/>
              <w:rPr>
                <w:sz w:val="22"/>
                <w:szCs w:val="22"/>
              </w:rPr>
            </w:pPr>
            <w:r w:rsidRPr="00B33C36">
              <w:rPr>
                <w:sz w:val="22"/>
                <w:szCs w:val="22"/>
              </w:rPr>
              <w:t>Distr.</w:t>
            </w:r>
            <w:r w:rsidR="007E2E8E" w:rsidRPr="00B33C36">
              <w:rPr>
                <w:sz w:val="22"/>
                <w:szCs w:val="22"/>
              </w:rPr>
              <w:t> </w:t>
            </w:r>
            <w:r w:rsidR="00033EBF">
              <w:rPr>
                <w:sz w:val="22"/>
                <w:szCs w:val="22"/>
              </w:rPr>
              <w:t>: G</w:t>
            </w:r>
            <w:r w:rsidRPr="00B33C36">
              <w:rPr>
                <w:sz w:val="22"/>
                <w:szCs w:val="22"/>
              </w:rPr>
              <w:t>é</w:t>
            </w:r>
            <w:r w:rsidR="00033EBF">
              <w:rPr>
                <w:sz w:val="22"/>
                <w:szCs w:val="22"/>
              </w:rPr>
              <w:t>néral</w:t>
            </w:r>
            <w:r w:rsidRPr="00B33C36">
              <w:rPr>
                <w:sz w:val="22"/>
                <w:szCs w:val="22"/>
              </w:rPr>
              <w:t>e</w:t>
            </w:r>
          </w:p>
          <w:p w14:paraId="38D12734" w14:textId="14B6849A" w:rsidR="00A96B21" w:rsidRPr="00B33C36" w:rsidRDefault="00292BF7" w:rsidP="003C6F10">
            <w:pPr>
              <w:ind w:left="2584"/>
              <w:rPr>
                <w:sz w:val="22"/>
                <w:szCs w:val="22"/>
              </w:rPr>
            </w:pPr>
            <w:r w:rsidRPr="00B33C36">
              <w:rPr>
                <w:sz w:val="22"/>
                <w:szCs w:val="22"/>
              </w:rPr>
              <w:t>1</w:t>
            </w:r>
            <w:r w:rsidR="005F6991" w:rsidRPr="00B33C36">
              <w:rPr>
                <w:sz w:val="22"/>
                <w:szCs w:val="22"/>
              </w:rPr>
              <w:t>6</w:t>
            </w:r>
            <w:r w:rsidR="007E2E8E" w:rsidRPr="00B33C36">
              <w:rPr>
                <w:sz w:val="22"/>
                <w:szCs w:val="22"/>
              </w:rPr>
              <w:t> </w:t>
            </w:r>
            <w:r w:rsidRPr="00B33C36">
              <w:rPr>
                <w:sz w:val="22"/>
                <w:szCs w:val="22"/>
              </w:rPr>
              <w:t>novembre 2023</w:t>
            </w:r>
          </w:p>
          <w:p w14:paraId="4AD9C679" w14:textId="2AA029EC" w:rsidR="00A96B21" w:rsidRPr="001535BA" w:rsidRDefault="00A96B21" w:rsidP="003C6F10">
            <w:pPr>
              <w:ind w:left="2584"/>
              <w:rPr>
                <w:sz w:val="22"/>
                <w:szCs w:val="22"/>
                <w:lang w:val="fr-FR"/>
              </w:rPr>
            </w:pPr>
          </w:p>
          <w:p w14:paraId="5D750365" w14:textId="0CF87B0C" w:rsidR="008F6C22" w:rsidRPr="001535BA" w:rsidRDefault="008F6C22" w:rsidP="003C6F10">
            <w:pPr>
              <w:ind w:left="2584"/>
              <w:rPr>
                <w:sz w:val="22"/>
                <w:szCs w:val="22"/>
              </w:rPr>
            </w:pPr>
            <w:r>
              <w:rPr>
                <w:sz w:val="22"/>
                <w:szCs w:val="22"/>
              </w:rPr>
              <w:t>Français</w:t>
            </w:r>
          </w:p>
          <w:p w14:paraId="1F9FDC9C" w14:textId="37365446" w:rsidR="00A96B21" w:rsidRPr="001535BA" w:rsidRDefault="008F6C22" w:rsidP="003C6F10">
            <w:pPr>
              <w:ind w:left="2584"/>
              <w:rPr>
                <w:sz w:val="22"/>
                <w:szCs w:val="22"/>
              </w:rPr>
            </w:pPr>
            <w:r>
              <w:t>Original</w:t>
            </w:r>
            <w:r w:rsidR="007E2E8E">
              <w:t> </w:t>
            </w:r>
            <w:r>
              <w:t xml:space="preserve">: Anglais </w:t>
            </w:r>
          </w:p>
          <w:p w14:paraId="52DF1F8B" w14:textId="77777777" w:rsidR="00A96B21" w:rsidRPr="001535BA" w:rsidRDefault="00A96B21" w:rsidP="009134E0">
            <w:pPr>
              <w:rPr>
                <w:lang w:val="fr-FR"/>
              </w:rPr>
            </w:pPr>
          </w:p>
        </w:tc>
      </w:tr>
    </w:tbl>
    <w:p w14:paraId="61A108E5" w14:textId="647B3AE4" w:rsidR="00874541" w:rsidRPr="001535BA" w:rsidRDefault="008F6C22" w:rsidP="00BD5AA6">
      <w:pPr>
        <w:pStyle w:val="Cornernotation"/>
        <w:tabs>
          <w:tab w:val="left" w:pos="5529"/>
        </w:tabs>
        <w:ind w:left="0" w:right="4540" w:firstLine="0"/>
        <w:rPr>
          <w:bCs/>
        </w:rPr>
      </w:pPr>
      <w:r>
        <w:t>Groupe de travail spécial intersessions à composition non limitée sur l’article 8</w:t>
      </w:r>
      <w:r w:rsidR="007E2E8E">
        <w:t> </w:t>
      </w:r>
      <w:r>
        <w:t xml:space="preserve">j) et les dispositions connexes de la Convention sur la diversité biologique </w:t>
      </w:r>
    </w:p>
    <w:p w14:paraId="79DF314C" w14:textId="65F58050" w:rsidR="00A96B21" w:rsidRPr="001535BA" w:rsidRDefault="008F6C22" w:rsidP="00BD5AA6">
      <w:pPr>
        <w:pStyle w:val="Cornernotation"/>
        <w:ind w:left="0" w:firstLine="0"/>
        <w:rPr>
          <w:bCs/>
          <w:sz w:val="22"/>
          <w:szCs w:val="22"/>
        </w:rPr>
      </w:pPr>
      <w:r>
        <w:rPr>
          <w:bCs/>
          <w:sz w:val="22"/>
          <w:szCs w:val="22"/>
        </w:rPr>
        <w:t>Douzième réunion</w:t>
      </w:r>
    </w:p>
    <w:p w14:paraId="02733756" w14:textId="437AC382" w:rsidR="00A96B21" w:rsidRPr="001535BA" w:rsidRDefault="00BD5AA6" w:rsidP="00A96B21">
      <w:pPr>
        <w:pStyle w:val="Venuedate"/>
      </w:pPr>
      <w:r>
        <w:t>Genève, 12–16</w:t>
      </w:r>
      <w:r w:rsidR="007E2E8E">
        <w:t> </w:t>
      </w:r>
      <w:r>
        <w:t>novembre 2023</w:t>
      </w:r>
    </w:p>
    <w:p w14:paraId="191E8223" w14:textId="5D58F340" w:rsidR="00A96B21" w:rsidRPr="001535BA" w:rsidRDefault="008F6C22" w:rsidP="00A96B21">
      <w:pPr>
        <w:pStyle w:val="Cornernotation-Item"/>
      </w:pPr>
      <w:r>
        <w:rPr>
          <w:b w:val="0"/>
          <w:bCs w:val="0"/>
        </w:rPr>
        <w:t>Point</w:t>
      </w:r>
      <w:r w:rsidR="007E2E8E">
        <w:rPr>
          <w:b w:val="0"/>
          <w:bCs w:val="0"/>
        </w:rPr>
        <w:t> </w:t>
      </w:r>
      <w:r>
        <w:rPr>
          <w:b w:val="0"/>
          <w:bCs w:val="0"/>
        </w:rPr>
        <w:t>5 de l’ordre du jour provisoire</w:t>
      </w:r>
    </w:p>
    <w:p w14:paraId="42732C6B" w14:textId="071D18FC" w:rsidR="00A96B21" w:rsidRDefault="008F6C22" w:rsidP="00E12F85">
      <w:pPr>
        <w:pStyle w:val="Cornernotation-Item"/>
        <w:ind w:left="0" w:right="4398" w:firstLine="0"/>
      </w:pPr>
      <w:r>
        <w:t xml:space="preserve">Composante de gestion des connaissances du Cadre mondial de la biodiversité de Kunming-Montréal </w:t>
      </w:r>
    </w:p>
    <w:p w14:paraId="1BA20992" w14:textId="77777777" w:rsidR="00033EBF" w:rsidRDefault="00033EBF" w:rsidP="00E12F85">
      <w:pPr>
        <w:pStyle w:val="Cornernotation-Item"/>
        <w:ind w:left="0" w:right="4398" w:firstLine="0"/>
      </w:pPr>
    </w:p>
    <w:p w14:paraId="6C882B6F" w14:textId="2A1B3A3D" w:rsidR="00033EBF" w:rsidRPr="00033EBF" w:rsidRDefault="00033EBF" w:rsidP="00033EBF">
      <w:pPr>
        <w:pStyle w:val="Cornernotation-Item"/>
        <w:ind w:left="0" w:right="146" w:firstLine="0"/>
        <w:jc w:val="center"/>
        <w:rPr>
          <w:sz w:val="28"/>
          <w:szCs w:val="28"/>
        </w:rPr>
      </w:pPr>
      <w:r w:rsidRPr="00033EBF">
        <w:rPr>
          <w:sz w:val="28"/>
          <w:szCs w:val="28"/>
        </w:rPr>
        <w:t>Recommandation adoptée par le Groupe de travail le 16 novembre 2023</w:t>
      </w:r>
    </w:p>
    <w:bookmarkEnd w:id="0"/>
    <w:p w14:paraId="577BDC16" w14:textId="6754CA36" w:rsidR="00A96B21" w:rsidRPr="001535BA" w:rsidRDefault="006027D0" w:rsidP="00033EBF">
      <w:pPr>
        <w:pStyle w:val="Title"/>
        <w:ind w:left="1134" w:right="4" w:hanging="850"/>
        <w:jc w:val="left"/>
      </w:pPr>
      <w:sdt>
        <w:sdtPr>
          <w:alias w:val="Title"/>
          <w:tag w:val=""/>
          <w:id w:val="-1975355689"/>
          <w:placeholder>
            <w:docPart w:val="41C2E245203C462EA1BEF26ACF7FEF21"/>
          </w:placeholder>
          <w:dataBinding w:prefixMappings="xmlns:ns0='http://purl.org/dc/elements/1.1/' xmlns:ns1='http://schemas.openxmlformats.org/package/2006/metadata/core-properties' " w:xpath="/ns1:coreProperties[1]/ns0:title[1]" w:storeItemID="{6C3C8BC8-F283-45AE-878A-BAB7291924A1}"/>
          <w:text/>
        </w:sdtPr>
        <w:sdtContent>
          <w:r w:rsidR="00033EBF">
            <w:t xml:space="preserve">12/3.    </w:t>
          </w:r>
          <w:r w:rsidR="008F083E">
            <w:rPr>
              <w:lang w:val="fr-FR"/>
            </w:rPr>
            <w:t>P</w:t>
          </w:r>
          <w:r w:rsidR="009F66EF">
            <w:rPr>
              <w:lang w:val="fr-FR"/>
            </w:rPr>
            <w:t>rojet actualisé</w:t>
          </w:r>
          <w:r w:rsidR="008F083E">
            <w:rPr>
              <w:lang w:val="fr-FR"/>
            </w:rPr>
            <w:t xml:space="preserve"> de la composante de gestion des connaissances du Cadre mondial de la biodiversité de Kunming-Montréal</w:t>
          </w:r>
        </w:sdtContent>
      </w:sdt>
    </w:p>
    <w:p w14:paraId="1A352DD8" w14:textId="70C41DD2" w:rsidR="0036141D" w:rsidRPr="001535BA" w:rsidRDefault="0036141D" w:rsidP="007A0C1D">
      <w:pPr>
        <w:pStyle w:val="Para10"/>
        <w:numPr>
          <w:ilvl w:val="0"/>
          <w:numId w:val="0"/>
        </w:numPr>
        <w:ind w:left="567"/>
        <w:rPr>
          <w:lang w:val="fr-FR"/>
        </w:rPr>
        <w:sectPr w:rsidR="0036141D" w:rsidRPr="001535BA" w:rsidSect="002C49E6">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pPr>
    </w:p>
    <w:p w14:paraId="6D2377DB" w14:textId="5701176F" w:rsidR="00652B78" w:rsidRPr="001535BA" w:rsidRDefault="008F6C22" w:rsidP="00E12F85">
      <w:pPr>
        <w:pStyle w:val="Para10"/>
        <w:numPr>
          <w:ilvl w:val="0"/>
          <w:numId w:val="0"/>
        </w:numPr>
        <w:tabs>
          <w:tab w:val="clear" w:pos="1134"/>
        </w:tabs>
        <w:ind w:left="567" w:firstLine="567"/>
        <w:rPr>
          <w:i/>
          <w:iCs/>
        </w:rPr>
      </w:pPr>
      <w:r>
        <w:rPr>
          <w:i/>
          <w:iCs/>
        </w:rPr>
        <w:t>Le Groupe de travail spécial intersessions à composition non limitée sur l’article</w:t>
      </w:r>
      <w:r w:rsidR="00254EEB">
        <w:rPr>
          <w:i/>
          <w:iCs/>
        </w:rPr>
        <w:t> </w:t>
      </w:r>
      <w:r>
        <w:rPr>
          <w:i/>
          <w:iCs/>
        </w:rPr>
        <w:t>8</w:t>
      </w:r>
      <w:r w:rsidR="007E2E8E">
        <w:rPr>
          <w:i/>
          <w:iCs/>
        </w:rPr>
        <w:t> </w:t>
      </w:r>
      <w:r>
        <w:rPr>
          <w:i/>
          <w:iCs/>
        </w:rPr>
        <w:t xml:space="preserve">j) et les dispositions connexes de la Convention sur la diversité biologique, </w:t>
      </w:r>
    </w:p>
    <w:p w14:paraId="04BA01AD" w14:textId="11227CFC" w:rsidR="00652B78" w:rsidRPr="001535BA" w:rsidRDefault="00221574" w:rsidP="00E12F85">
      <w:pPr>
        <w:pStyle w:val="Para10"/>
        <w:numPr>
          <w:ilvl w:val="0"/>
          <w:numId w:val="73"/>
        </w:numPr>
        <w:tabs>
          <w:tab w:val="clear" w:pos="1134"/>
          <w:tab w:val="left" w:pos="1701"/>
        </w:tabs>
        <w:ind w:left="567" w:firstLine="567"/>
      </w:pPr>
      <w:r>
        <w:rPr>
          <w:i/>
          <w:iCs/>
        </w:rPr>
        <w:t xml:space="preserve">Prend note </w:t>
      </w:r>
      <w:r>
        <w:t>des progrès réalisés dans l’élaboration du projet de stratégie de gestion des connai</w:t>
      </w:r>
      <w:r w:rsidR="00707AB1">
        <w:t xml:space="preserve">ssances à l’appui de la mise en </w:t>
      </w:r>
      <w:r>
        <w:t>œuvre du Cadre m</w:t>
      </w:r>
      <w:bookmarkStart w:id="3" w:name="_GoBack"/>
      <w:bookmarkEnd w:id="3"/>
      <w:r>
        <w:t>ondial de la biodiversité de Kunming-Montréal, et des observations formulées par les Parties sur l</w:t>
      </w:r>
      <w:r w:rsidR="00033EBF">
        <w:t>e projet de stratégie à sa</w:t>
      </w:r>
      <w:r>
        <w:t xml:space="preserve"> douzième réunion, qui ont été</w:t>
      </w:r>
      <w:r w:rsidR="00707AB1">
        <w:t xml:space="preserve"> pris en compte dans le projet d</w:t>
      </w:r>
      <w:r>
        <w:t>e stratégie présenté en annexe à la présente recommandation;</w:t>
      </w:r>
    </w:p>
    <w:p w14:paraId="1C8E42D2" w14:textId="273AEDAC" w:rsidR="008D05B4" w:rsidRPr="001535BA" w:rsidRDefault="00221574" w:rsidP="0076325C">
      <w:pPr>
        <w:pStyle w:val="Para10"/>
        <w:numPr>
          <w:ilvl w:val="0"/>
          <w:numId w:val="73"/>
        </w:numPr>
        <w:tabs>
          <w:tab w:val="clear" w:pos="1134"/>
          <w:tab w:val="left" w:pos="1701"/>
        </w:tabs>
        <w:ind w:left="567" w:firstLine="567"/>
      </w:pPr>
      <w:r>
        <w:rPr>
          <w:i/>
          <w:iCs/>
        </w:rPr>
        <w:t>Prie</w:t>
      </w:r>
      <w:r w:rsidR="00046519">
        <w:t xml:space="preserve"> le Secrétaire exécutif</w:t>
      </w:r>
      <w:r>
        <w:t>, lors de la mise à jour du projet de stratégie en vue d</w:t>
      </w:r>
      <w:r w:rsidR="007E2E8E">
        <w:t>’</w:t>
      </w:r>
      <w:r w:rsidR="00046519">
        <w:t>un nouvel examen par d</w:t>
      </w:r>
      <w:r>
        <w:t>es pairs des Parties et d’une présentation subséquente à l’Organe subsidiaire chargé d</w:t>
      </w:r>
      <w:r w:rsidR="00046519">
        <w:t>e l’application lors de</w:t>
      </w:r>
      <w:r>
        <w:t xml:space="preserve"> sa quatrième réunion, d</w:t>
      </w:r>
      <w:r w:rsidR="007E2E8E">
        <w:t>’</w:t>
      </w:r>
      <w:r>
        <w:t>ajouter un plan de travail biennal pour accompagner les actions du projet de stratégie, assortis de délais précis pour leur mise en œuvre jusqu</w:t>
      </w:r>
      <w:r w:rsidR="007E2E8E">
        <w:t>’</w:t>
      </w:r>
      <w:r>
        <w:t>en 2030;</w:t>
      </w:r>
    </w:p>
    <w:p w14:paraId="70BE2F49" w14:textId="70B9DA63" w:rsidR="001535BA" w:rsidRPr="001535BA" w:rsidRDefault="00652B78" w:rsidP="003F0E17">
      <w:pPr>
        <w:pStyle w:val="Para10"/>
        <w:tabs>
          <w:tab w:val="clear" w:pos="1134"/>
          <w:tab w:val="left" w:pos="1701"/>
        </w:tabs>
        <w:ind w:left="567" w:firstLine="545"/>
      </w:pPr>
      <w:r>
        <w:rPr>
          <w:i/>
          <w:iCs/>
        </w:rPr>
        <w:t>Recommande</w:t>
      </w:r>
      <w:r>
        <w:t xml:space="preserve"> que l’Organe subsidiaire chargé de l’application, à sa quatrième réunion, et la Conférence des Parties à la Convention sur la diversité biologique, à sa seizième réunion, lors de leur examen et de la finalisation de la stratégie, accordent une attention particulière aux questions relatives aux connaissances, innovations et pratiques traditionnelles des peuples autochtones et des communautés locales, sur la base des observations formulées par les Parties lors de la douzième réunion du Groupe de travail spécial intersessions à composition non limitée sur l’article</w:t>
      </w:r>
      <w:r w:rsidR="007E2E8E">
        <w:t> </w:t>
      </w:r>
      <w:r>
        <w:t>8</w:t>
      </w:r>
      <w:r w:rsidR="007E2E8E">
        <w:t> </w:t>
      </w:r>
      <w:r>
        <w:t xml:space="preserve">j) et les dispositions </w:t>
      </w:r>
      <w:r w:rsidR="002D44B8">
        <w:t>connexes de la Convention, telles que reflétées dans l’</w:t>
      </w:r>
      <w:r>
        <w:t xml:space="preserve">annexe. </w:t>
      </w:r>
    </w:p>
    <w:p w14:paraId="2E493C8E" w14:textId="695E6645" w:rsidR="009D0C9C" w:rsidRPr="002D44B8" w:rsidRDefault="009D0C9C" w:rsidP="00E14951">
      <w:pPr>
        <w:pStyle w:val="Para10"/>
        <w:numPr>
          <w:ilvl w:val="0"/>
          <w:numId w:val="0"/>
        </w:numPr>
        <w:tabs>
          <w:tab w:val="clear" w:pos="1134"/>
          <w:tab w:val="left" w:pos="1701"/>
        </w:tabs>
        <w:ind w:left="567"/>
      </w:pPr>
    </w:p>
    <w:p w14:paraId="6AFCD261" w14:textId="77777777" w:rsidR="00E14951" w:rsidRDefault="00E14951" w:rsidP="00E14951">
      <w:pPr>
        <w:pStyle w:val="Para10"/>
        <w:numPr>
          <w:ilvl w:val="0"/>
          <w:numId w:val="0"/>
        </w:numPr>
        <w:tabs>
          <w:tab w:val="clear" w:pos="1134"/>
          <w:tab w:val="left" w:pos="1701"/>
        </w:tabs>
        <w:ind w:left="567"/>
        <w:rPr>
          <w:lang w:val="fr-FR"/>
        </w:rPr>
      </w:pPr>
    </w:p>
    <w:p w14:paraId="6038E536" w14:textId="77777777" w:rsidR="00E14951" w:rsidRDefault="00E14951" w:rsidP="00E14951">
      <w:pPr>
        <w:pStyle w:val="Para10"/>
        <w:numPr>
          <w:ilvl w:val="0"/>
          <w:numId w:val="0"/>
        </w:numPr>
        <w:tabs>
          <w:tab w:val="clear" w:pos="1134"/>
          <w:tab w:val="left" w:pos="1701"/>
        </w:tabs>
        <w:ind w:left="567"/>
        <w:rPr>
          <w:lang w:val="fr-FR"/>
        </w:rPr>
      </w:pPr>
    </w:p>
    <w:p w14:paraId="490C179A" w14:textId="77777777" w:rsidR="00E14951" w:rsidRPr="00E12F85" w:rsidRDefault="00E14951" w:rsidP="00E14951">
      <w:pPr>
        <w:pStyle w:val="Heading1"/>
        <w:numPr>
          <w:ilvl w:val="0"/>
          <w:numId w:val="0"/>
        </w:numPr>
        <w:ind w:left="567"/>
      </w:pPr>
      <w:r>
        <w:lastRenderedPageBreak/>
        <w:t>Annexe</w:t>
      </w:r>
    </w:p>
    <w:p w14:paraId="6FF24FE6" w14:textId="79E623E5" w:rsidR="00E14951" w:rsidRPr="00E12F85" w:rsidRDefault="00E14951" w:rsidP="00E14951">
      <w:pPr>
        <w:pStyle w:val="Heading1"/>
        <w:numPr>
          <w:ilvl w:val="0"/>
          <w:numId w:val="0"/>
        </w:numPr>
        <w:ind w:left="567"/>
      </w:pPr>
      <w:r>
        <w:t>Projet de stratégie de gestion des connaissan</w:t>
      </w:r>
      <w:r w:rsidR="00FA1747">
        <w:t xml:space="preserve">ces en appui à </w:t>
      </w:r>
      <w:r>
        <w:t>la mise en œuvre du Cadre mondial de la biodiversité de Kunming-Montréal</w:t>
      </w:r>
      <w:r w:rsidRPr="007E2E8E">
        <w:rPr>
          <w:rStyle w:val="FootnoteReference"/>
        </w:rPr>
        <w:footnoteReference w:customMarkFollows="1" w:id="2"/>
        <w:t>*</w:t>
      </w:r>
    </w:p>
    <w:p w14:paraId="3DF02C68" w14:textId="77777777" w:rsidR="00E14951" w:rsidRPr="00E12F85" w:rsidRDefault="00E14951" w:rsidP="00E14951">
      <w:pPr>
        <w:pStyle w:val="Heading1"/>
        <w:numPr>
          <w:ilvl w:val="0"/>
          <w:numId w:val="78"/>
        </w:numPr>
        <w:ind w:left="567" w:hanging="567"/>
      </w:pPr>
      <w:r>
        <w:t xml:space="preserve">Historique et contexte </w:t>
      </w:r>
    </w:p>
    <w:p w14:paraId="41E46361" w14:textId="62ABD160" w:rsidR="00E14951" w:rsidRPr="00E12F85" w:rsidRDefault="00E14951" w:rsidP="00E14951">
      <w:pPr>
        <w:pStyle w:val="Para10"/>
        <w:numPr>
          <w:ilvl w:val="0"/>
          <w:numId w:val="16"/>
        </w:numPr>
        <w:ind w:left="540" w:firstLine="27"/>
      </w:pPr>
      <w:r>
        <w:t>La gestion des connaissances e</w:t>
      </w:r>
      <w:r w:rsidR="000E6900">
        <w:t>st l’une des principales approches stratégiques de mise en œuvre qui appuieront la réalisation</w:t>
      </w:r>
      <w:r>
        <w:t xml:space="preserve"> des objectifs et des cibles du Cadre mondial de la biodiversité de Kunming-Montréal, comme le reconnaissent la cible</w:t>
      </w:r>
      <w:r w:rsidR="007E2E8E">
        <w:t> </w:t>
      </w:r>
      <w:r>
        <w:t>21</w:t>
      </w:r>
      <w:r w:rsidRPr="00E12F85">
        <w:rPr>
          <w:rStyle w:val="FootnoteReference"/>
          <w:lang w:val="en-GB"/>
        </w:rPr>
        <w:footnoteReference w:id="3"/>
      </w:r>
      <w:r>
        <w:t xml:space="preserve"> et la partie K du Cadre. </w:t>
      </w:r>
    </w:p>
    <w:p w14:paraId="71C552A8" w14:textId="47D1BAD8" w:rsidR="00E14951" w:rsidRPr="00E12F85" w:rsidRDefault="00E14951" w:rsidP="00E14951">
      <w:pPr>
        <w:pStyle w:val="Para10"/>
        <w:numPr>
          <w:ilvl w:val="0"/>
          <w:numId w:val="2"/>
        </w:numPr>
        <w:ind w:left="540" w:firstLine="27"/>
      </w:pPr>
      <w:r>
        <w:t xml:space="preserve">La stratégie de gestion des connaissances favorise la mise en œuvre fructueuse du Cadre et complète son cadre de suivi, le cadre stratégique à long terme pour le renforcement et le développement des capacités, le mécanisme de coopération technique et scientifique et les centres d’échange </w:t>
      </w:r>
      <w:r w:rsidR="000E6900">
        <w:t xml:space="preserve">d’information </w:t>
      </w:r>
      <w:r>
        <w:t>de la Convention.</w:t>
      </w:r>
    </w:p>
    <w:p w14:paraId="3A00EFBE" w14:textId="77777777" w:rsidR="00E14951" w:rsidRPr="00C217D8" w:rsidRDefault="00E14951" w:rsidP="00E14951">
      <w:pPr>
        <w:pStyle w:val="Heading1"/>
        <w:numPr>
          <w:ilvl w:val="0"/>
          <w:numId w:val="78"/>
        </w:numPr>
        <w:ind w:left="567" w:hanging="567"/>
      </w:pPr>
      <w:r>
        <w:t xml:space="preserve">Composantes </w:t>
      </w:r>
    </w:p>
    <w:p w14:paraId="50FA177A" w14:textId="3DCCA1D1" w:rsidR="00E14951" w:rsidRPr="00E12F85" w:rsidRDefault="00E14951" w:rsidP="00E14951">
      <w:pPr>
        <w:pStyle w:val="Para10"/>
        <w:numPr>
          <w:ilvl w:val="0"/>
          <w:numId w:val="2"/>
        </w:numPr>
        <w:ind w:left="567" w:firstLine="0"/>
        <w:rPr>
          <w:i/>
          <w:iCs/>
        </w:rPr>
      </w:pPr>
      <w:r>
        <w:t>La gestion des connaissances englobe divers processus, stratégies et pratiques qui permettent</w:t>
      </w:r>
      <w:r w:rsidR="007E2E8E">
        <w:t> </w:t>
      </w:r>
      <w:r>
        <w:t>: de produi</w:t>
      </w:r>
      <w:r w:rsidR="000E6900">
        <w:t xml:space="preserve">re et recueillir les données, les </w:t>
      </w:r>
      <w:r>
        <w:t>information</w:t>
      </w:r>
      <w:r w:rsidR="000E6900">
        <w:t>s</w:t>
      </w:r>
      <w:r>
        <w:t xml:space="preserve"> et les connaissances relatives à la biodiversité; d’organiser, de conserver, de stocker e</w:t>
      </w:r>
      <w:r w:rsidR="000E6900">
        <w:t>t de partager ces données, ces</w:t>
      </w:r>
      <w:r>
        <w:t xml:space="preserve"> information</w:t>
      </w:r>
      <w:r w:rsidR="000E6900">
        <w:t>s</w:t>
      </w:r>
      <w:r>
        <w:t xml:space="preserve"> et ces connaissances</w:t>
      </w:r>
      <w:r w:rsidR="000E6900">
        <w:t xml:space="preserve">; </w:t>
      </w:r>
      <w:r>
        <w:t xml:space="preserve">d’utiliser ou d’appliquer celles-ci pour atteindre les objectifs et </w:t>
      </w:r>
      <w:r w:rsidR="000E6900">
        <w:t xml:space="preserve">les </w:t>
      </w:r>
      <w:r>
        <w:t>résultats en matière de conservation de la biodiversité.</w:t>
      </w:r>
    </w:p>
    <w:p w14:paraId="256379CA" w14:textId="4084FAD7" w:rsidR="00E14951" w:rsidRPr="00E12F85" w:rsidRDefault="000E6900" w:rsidP="00E14951">
      <w:pPr>
        <w:pStyle w:val="Para10"/>
        <w:numPr>
          <w:ilvl w:val="0"/>
          <w:numId w:val="2"/>
        </w:numPr>
        <w:ind w:left="567" w:firstLine="0"/>
      </w:pPr>
      <w:r>
        <w:t>La stratégie reconnaî</w:t>
      </w:r>
      <w:r w:rsidR="00E14951">
        <w:t>t les quatre composantes interdépendantes de la gestion des connaissances, à savoir</w:t>
      </w:r>
      <w:r w:rsidR="007E2E8E">
        <w:t> </w:t>
      </w:r>
      <w:r w:rsidR="00E14951">
        <w:t>: a) les</w:t>
      </w:r>
      <w:r>
        <w:t xml:space="preserve"> personnes, y compris différents</w:t>
      </w:r>
      <w:r w:rsidR="00E14951">
        <w:t xml:space="preserve"> acteurs, comme les détenteurs de connaissances, les peuples autochtones et les communautés locales, les gestionnaires, les conservateurs et les utilisateurs; b) les processus, c’est-à-dire les procédures, normes et politiques pertinentes; c) les technologies, y compris les outils, systèmes et plateformes technologiques</w:t>
      </w:r>
      <w:r>
        <w:t xml:space="preserve">; d) le contenu, c’est-à-dire les données, les </w:t>
      </w:r>
      <w:r w:rsidR="00E14951">
        <w:t>information</w:t>
      </w:r>
      <w:r>
        <w:t>s</w:t>
      </w:r>
      <w:r w:rsidR="00E14951">
        <w:t xml:space="preserve"> et les connaissances relatives à la biodiversité, y compris la façon dont elles sont gérées, par exemple au moyen d’un catalogage, d’un marquage et d’une indexation, ainsi que d’une numérisation et d’une organisation.</w:t>
      </w:r>
    </w:p>
    <w:p w14:paraId="74440562" w14:textId="77777777" w:rsidR="00E14951" w:rsidRPr="00C217D8" w:rsidRDefault="00E14951" w:rsidP="00E14951">
      <w:pPr>
        <w:pStyle w:val="Heading1"/>
        <w:numPr>
          <w:ilvl w:val="0"/>
          <w:numId w:val="78"/>
        </w:numPr>
        <w:ind w:left="567" w:hanging="567"/>
      </w:pPr>
      <w:r>
        <w:t>Principes</w:t>
      </w:r>
    </w:p>
    <w:p w14:paraId="708F79FC" w14:textId="73FC3226" w:rsidR="00E14951" w:rsidRPr="00E12F85" w:rsidRDefault="00E14951" w:rsidP="00E14951">
      <w:pPr>
        <w:pStyle w:val="Para10"/>
        <w:numPr>
          <w:ilvl w:val="0"/>
          <w:numId w:val="2"/>
        </w:numPr>
        <w:ind w:left="567" w:firstLine="0"/>
      </w:pPr>
      <w:r>
        <w:t xml:space="preserve">La stratégie reconnaît </w:t>
      </w:r>
      <w:r w:rsidR="000E6900">
        <w:t>que pour contribuer à la réalisation</w:t>
      </w:r>
      <w:r>
        <w:t xml:space="preserve"> des objectifs et cibles du Cadre, il e</w:t>
      </w:r>
      <w:r w:rsidR="000E6900">
        <w:t xml:space="preserve">st important que les données, les </w:t>
      </w:r>
      <w:r>
        <w:t>information</w:t>
      </w:r>
      <w:r w:rsidR="000E6900">
        <w:t>s</w:t>
      </w:r>
      <w:r>
        <w:t xml:space="preserve"> et les connaissances, de même que les </w:t>
      </w:r>
      <w:r w:rsidRPr="007E2E8E">
        <w:t>connaissances</w:t>
      </w:r>
      <w:r w:rsidR="007E2E8E">
        <w:t>,</w:t>
      </w:r>
      <w:r>
        <w:t xml:space="preserve"> innovations et pratiques traditionnelles des peuples autochtones et des commun</w:t>
      </w:r>
      <w:r w:rsidR="009A10FE">
        <w:t>autés locales qui sont mises à disposition</w:t>
      </w:r>
      <w:r>
        <w:t xml:space="preserve"> avec leur consente</w:t>
      </w:r>
      <w:r w:rsidR="009A10FE">
        <w:t>ment préalable, donné librement et en connaissance de cause</w:t>
      </w:r>
      <w:r w:rsidR="007E2E8E">
        <w:rPr>
          <w:rStyle w:val="FootnoteReference"/>
          <w:lang w:val="en-GB"/>
        </w:rPr>
        <w:footnoteReference w:id="4"/>
      </w:r>
      <w:r>
        <w:t>, soient mises à disposition et rendu</w:t>
      </w:r>
      <w:r w:rsidR="009A10FE">
        <w:t>e</w:t>
      </w:r>
      <w:r>
        <w:t>s accessibles en temps opportun aux décideurs, aux praticiens et au public</w:t>
      </w:r>
      <w:r w:rsidR="009A10FE">
        <w:t>,</w:t>
      </w:r>
      <w:r>
        <w:t xml:space="preserve"> et soient prises en compte par la Plateforme intergouvernementale scientifique et politique sur la biodiversité et les services écosystémiqu</w:t>
      </w:r>
      <w:r w:rsidR="009A10FE">
        <w:t>es dans l’élaboration de</w:t>
      </w:r>
      <w:r>
        <w:t>s</w:t>
      </w:r>
      <w:r w:rsidR="009A10FE">
        <w:t xml:space="preserve"> différentes</w:t>
      </w:r>
      <w:r>
        <w:t xml:space="preserve"> évaluations de la </w:t>
      </w:r>
      <w:r>
        <w:lastRenderedPageBreak/>
        <w:t>biodiversité et des services écosystémiques. Il est également important que les connaissances soient adaptées à leur usage prévu en termes de contenu et de format de transmission.</w:t>
      </w:r>
    </w:p>
    <w:p w14:paraId="4B479C47" w14:textId="13FB2878" w:rsidR="00E14951" w:rsidRPr="00E12F85" w:rsidRDefault="00E14951" w:rsidP="00E14951">
      <w:pPr>
        <w:pStyle w:val="Para10"/>
        <w:numPr>
          <w:ilvl w:val="0"/>
          <w:numId w:val="2"/>
        </w:numPr>
        <w:ind w:left="567" w:firstLine="0"/>
      </w:pPr>
      <w:r>
        <w:t xml:space="preserve">Qui plus est, il est important que les Parties, les autres gouvernements et </w:t>
      </w:r>
      <w:r w:rsidR="0013008D">
        <w:t xml:space="preserve">les </w:t>
      </w:r>
      <w:r>
        <w:t>parties prenantes fassent la promotion d’une culture de partage des connaissa</w:t>
      </w:r>
      <w:r w:rsidR="0013008D">
        <w:t>nces, d’apprentissage continu par l’expérience</w:t>
      </w:r>
      <w:r>
        <w:t xml:space="preserve"> et de maintien et réutilisation des connaissances</w:t>
      </w:r>
      <w:r w:rsidR="0013008D">
        <w:t>,</w:t>
      </w:r>
      <w:r>
        <w:t xml:space="preserve"> afin d’améliorer les processus et </w:t>
      </w:r>
      <w:r w:rsidR="0013008D">
        <w:t xml:space="preserve">les </w:t>
      </w:r>
      <w:r>
        <w:t xml:space="preserve">pratiques de mise en </w:t>
      </w:r>
      <w:r w:rsidR="007E2E8E">
        <w:t>œuvre</w:t>
      </w:r>
      <w:r>
        <w:t>.</w:t>
      </w:r>
    </w:p>
    <w:p w14:paraId="154320A5" w14:textId="5611FCCA" w:rsidR="00E14951" w:rsidRPr="00E12F85" w:rsidRDefault="00E14951" w:rsidP="00E14951">
      <w:pPr>
        <w:pStyle w:val="Para10"/>
        <w:numPr>
          <w:ilvl w:val="0"/>
          <w:numId w:val="2"/>
        </w:numPr>
        <w:ind w:left="567" w:firstLine="0"/>
      </w:pPr>
      <w:r>
        <w:t>La stratégique reconnaît en outre que la gestion efficace des connaissances nécessite de reconnaître et d’optimis</w:t>
      </w:r>
      <w:r w:rsidR="00A35270">
        <w:t>er les contributions des différente</w:t>
      </w:r>
      <w:r>
        <w:t>s institutions gouvernementales et non gouvernementales, des organisations régionales et internationales, des chercheurs, des praticiens, des peuples autochtones et des communautés locales et des parties prenantes concernées</w:t>
      </w:r>
      <w:r w:rsidR="00A35270">
        <w:t>,</w:t>
      </w:r>
      <w:r>
        <w:t xml:space="preserve"> afin de favoriser des sociétés du savoir diversifiées et inclusives.</w:t>
      </w:r>
    </w:p>
    <w:p w14:paraId="4B480D0B" w14:textId="2D83C7DF" w:rsidR="00E14951" w:rsidRPr="00E12F85" w:rsidRDefault="00E14951" w:rsidP="00E14951">
      <w:pPr>
        <w:pStyle w:val="Para10"/>
        <w:numPr>
          <w:ilvl w:val="0"/>
          <w:numId w:val="2"/>
        </w:numPr>
        <w:ind w:left="567" w:firstLine="0"/>
      </w:pPr>
      <w:r>
        <w:t>La stratégie promeut les pr</w:t>
      </w:r>
      <w:r w:rsidR="00082E4E">
        <w:t>incipes d’information facile</w:t>
      </w:r>
      <w:r>
        <w:t xml:space="preserve"> </w:t>
      </w:r>
      <w:r w:rsidR="00082E4E">
        <w:t>à trouver</w:t>
      </w:r>
      <w:r>
        <w:t xml:space="preserve">, accessible, interopérable </w:t>
      </w:r>
      <w:r w:rsidR="00082E4E">
        <w:t>et réutilisable, en vue</w:t>
      </w:r>
      <w:r>
        <w:t xml:space="preserve"> de favoriser le </w:t>
      </w:r>
      <w:r w:rsidR="00082E4E">
        <w:t xml:space="preserve">libre partage des données, des </w:t>
      </w:r>
      <w:r>
        <w:t>information</w:t>
      </w:r>
      <w:r w:rsidR="00082E4E">
        <w:t>s</w:t>
      </w:r>
      <w:r>
        <w:t xml:space="preserve"> et des connaissances. </w:t>
      </w:r>
    </w:p>
    <w:p w14:paraId="26293431" w14:textId="459207A2" w:rsidR="00E14951" w:rsidRPr="00E12F85" w:rsidRDefault="00E14951" w:rsidP="00E14951">
      <w:pPr>
        <w:pStyle w:val="Para10"/>
        <w:numPr>
          <w:ilvl w:val="0"/>
          <w:numId w:val="2"/>
        </w:numPr>
        <w:ind w:left="567" w:firstLine="0"/>
      </w:pPr>
      <w:r>
        <w:t xml:space="preserve">De plus, afin de garantir que l’accès aux connaissances, innovations, pratiques et technologies traditionnelles des peuples autochtones et </w:t>
      </w:r>
      <w:r w:rsidR="00082E4E">
        <w:t xml:space="preserve">des </w:t>
      </w:r>
      <w:r>
        <w:t>communautés locales soit accordé avec leur consente</w:t>
      </w:r>
      <w:r w:rsidR="00082E4E">
        <w:t>ment préalable, donné librement et en connaissance de cause</w:t>
      </w:r>
      <w:r>
        <w:t>, la stratégie appuie é</w:t>
      </w:r>
      <w:r w:rsidR="00082E4E">
        <w:t>galement les principes de bénéfice</w:t>
      </w:r>
      <w:r>
        <w:t xml:space="preserve"> collectif, de droit de regard par les </w:t>
      </w:r>
      <w:r w:rsidRPr="007E2E8E">
        <w:t>peuples autochtones et les communautés locales</w:t>
      </w:r>
      <w:r>
        <w:t>, de responsabilité</w:t>
      </w:r>
      <w:r w:rsidRPr="007E2E8E">
        <w:t>, de réciprocité</w:t>
      </w:r>
      <w:r>
        <w:t xml:space="preserve"> et d’éthique.</w:t>
      </w:r>
    </w:p>
    <w:p w14:paraId="15C4036F" w14:textId="77777777" w:rsidR="00E14951" w:rsidRPr="00C217D8" w:rsidRDefault="00E14951" w:rsidP="00E14951">
      <w:pPr>
        <w:pStyle w:val="Heading1"/>
        <w:numPr>
          <w:ilvl w:val="0"/>
          <w:numId w:val="78"/>
        </w:numPr>
        <w:ind w:left="567" w:hanging="567"/>
      </w:pPr>
      <w:r>
        <w:t>Objet</w:t>
      </w:r>
    </w:p>
    <w:p w14:paraId="1BC485AE" w14:textId="60ED3EF6" w:rsidR="00E14951" w:rsidRPr="00E12F85" w:rsidRDefault="00E14951" w:rsidP="00E14951">
      <w:pPr>
        <w:pStyle w:val="Para10"/>
        <w:numPr>
          <w:ilvl w:val="0"/>
          <w:numId w:val="2"/>
        </w:numPr>
        <w:ind w:left="567" w:firstLine="0"/>
      </w:pPr>
      <w:r>
        <w:t>La stratégie vise à aborder c</w:t>
      </w:r>
      <w:r w:rsidR="00A576A0">
        <w:t>ertains défis et besoins recensés par les Parties,</w:t>
      </w:r>
      <w:r>
        <w:t xml:space="preserve"> afin de</w:t>
      </w:r>
      <w:r w:rsidR="006F6F15">
        <w:t xml:space="preserve"> faciliter l’application effectiv</w:t>
      </w:r>
      <w:r>
        <w:t>e du Cadre de la Conférence des Parties et des décisions qui s’y rapportent, no</w:t>
      </w:r>
      <w:r w:rsidR="00A576A0">
        <w:t>tamment en accomplissant</w:t>
      </w:r>
      <w:r>
        <w:t xml:space="preserve"> ce qui suit :</w:t>
      </w:r>
    </w:p>
    <w:p w14:paraId="5D491B35" w14:textId="08954F31" w:rsidR="00E14951" w:rsidRPr="00E12F85" w:rsidRDefault="00A576A0" w:rsidP="00E14951">
      <w:pPr>
        <w:pStyle w:val="Para10"/>
        <w:numPr>
          <w:ilvl w:val="0"/>
          <w:numId w:val="53"/>
        </w:numPr>
        <w:tabs>
          <w:tab w:val="clear" w:pos="1134"/>
          <w:tab w:val="left" w:pos="1701"/>
        </w:tabs>
        <w:ind w:left="567" w:firstLine="567"/>
      </w:pPr>
      <w:r>
        <w:t>Aborde</w:t>
      </w:r>
      <w:r w:rsidR="00E14951">
        <w:t>r les disparités dans la disponibilité et l’accessibilité des données et de</w:t>
      </w:r>
      <w:r>
        <w:t xml:space="preserve">s </w:t>
      </w:r>
      <w:r w:rsidR="00E14951">
        <w:t>information</w:t>
      </w:r>
      <w:r>
        <w:t>s</w:t>
      </w:r>
      <w:r w:rsidR="00E14951">
        <w:t xml:space="preserve"> entre les pays</w:t>
      </w:r>
      <w:r>
        <w:t>, et supprime</w:t>
      </w:r>
      <w:r w:rsidR="00E14951">
        <w:t xml:space="preserve">r les obstacles à l’utilisation efficace des données, </w:t>
      </w:r>
      <w:r w:rsidR="007E2E8E">
        <w:t>de</w:t>
      </w:r>
      <w:r>
        <w:t xml:space="preserve">s </w:t>
      </w:r>
      <w:r w:rsidR="00E14951">
        <w:t>information</w:t>
      </w:r>
      <w:r>
        <w:t>s</w:t>
      </w:r>
      <w:r w:rsidR="00E14951">
        <w:t xml:space="preserve"> et </w:t>
      </w:r>
      <w:r w:rsidR="007E2E8E">
        <w:t xml:space="preserve">des </w:t>
      </w:r>
      <w:r w:rsidR="00E14951">
        <w:t>connaissances relatives à la biodiversité, en tenant compte des défis particuliers auxquels sont confrontés les pays en développement et les pays à économie en transition;</w:t>
      </w:r>
    </w:p>
    <w:p w14:paraId="58A5A688" w14:textId="16064A9B" w:rsidR="00E14951" w:rsidRPr="00E12F85" w:rsidRDefault="00E14951" w:rsidP="00E14951">
      <w:pPr>
        <w:pStyle w:val="Para10"/>
        <w:numPr>
          <w:ilvl w:val="0"/>
          <w:numId w:val="53"/>
        </w:numPr>
        <w:tabs>
          <w:tab w:val="clear" w:pos="1134"/>
          <w:tab w:val="left" w:pos="1701"/>
        </w:tabs>
        <w:ind w:left="567" w:firstLine="567"/>
      </w:pPr>
      <w:r>
        <w:t xml:space="preserve">Renforcer les </w:t>
      </w:r>
      <w:r w:rsidRPr="007E2E8E">
        <w:t xml:space="preserve">capacités, </w:t>
      </w:r>
      <w:r w:rsidR="00A576A0">
        <w:t xml:space="preserve">les </w:t>
      </w:r>
      <w:r w:rsidRPr="007E2E8E">
        <w:t xml:space="preserve">systèmes et </w:t>
      </w:r>
      <w:r w:rsidR="00A576A0">
        <w:t xml:space="preserve">les </w:t>
      </w:r>
      <w:r w:rsidRPr="007E2E8E">
        <w:t xml:space="preserve">mécanismes </w:t>
      </w:r>
      <w:r w:rsidR="00A576A0">
        <w:t>nationaux et, selon qu’il convient</w:t>
      </w:r>
      <w:r>
        <w:t>, infranationaux</w:t>
      </w:r>
      <w:r w:rsidR="00A576A0">
        <w:t xml:space="preserve"> pour la gestion des données, des </w:t>
      </w:r>
      <w:r>
        <w:t>information</w:t>
      </w:r>
      <w:r w:rsidR="00A576A0">
        <w:t>s</w:t>
      </w:r>
      <w:r>
        <w:t xml:space="preserve"> et des connaissances relatives à l</w:t>
      </w:r>
      <w:r w:rsidR="00A576A0">
        <w:t>a biodiversité, afin d’appuyer</w:t>
      </w:r>
      <w:r>
        <w:t xml:space="preserve"> la prise de décisions et de mesures fondées sur des données probant</w:t>
      </w:r>
      <w:r w:rsidR="00A576A0">
        <w:t>es, et pour assurer le suivi et l’établissement de rapports sur les progrès accomplis dans la réalisation des cibles nationales comme contribution à la réalisation des</w:t>
      </w:r>
      <w:r>
        <w:t xml:space="preserve"> objectifs et </w:t>
      </w:r>
      <w:r w:rsidR="00A576A0">
        <w:t xml:space="preserve">des </w:t>
      </w:r>
      <w:r>
        <w:t xml:space="preserve">cibles du </w:t>
      </w:r>
      <w:r w:rsidR="007E2E8E">
        <w:t>Cadre</w:t>
      </w:r>
      <w:r>
        <w:t>;</w:t>
      </w:r>
    </w:p>
    <w:p w14:paraId="65F286EC" w14:textId="2E6C2B15" w:rsidR="00E14951" w:rsidRPr="00E12F85" w:rsidRDefault="00E14951" w:rsidP="00E14951">
      <w:pPr>
        <w:pStyle w:val="Para10"/>
        <w:numPr>
          <w:ilvl w:val="0"/>
          <w:numId w:val="53"/>
        </w:numPr>
        <w:tabs>
          <w:tab w:val="clear" w:pos="1134"/>
          <w:tab w:val="left" w:pos="1701"/>
        </w:tabs>
        <w:ind w:left="567" w:firstLine="567"/>
      </w:pPr>
      <w:r>
        <w:t>Augmenter le niveau de normalisation pour parvenir à une</w:t>
      </w:r>
      <w:r w:rsidR="00A576A0">
        <w:t xml:space="preserve"> plus grande harmonisation et interopérabilité </w:t>
      </w:r>
      <w:r>
        <w:t>entre les systèmes, outils et platef</w:t>
      </w:r>
      <w:r w:rsidR="00E60AA0">
        <w:t>ormes d’information</w:t>
      </w:r>
      <w:r>
        <w:t xml:space="preserve"> nationaux</w:t>
      </w:r>
      <w:r w:rsidR="00E60AA0">
        <w:t xml:space="preserve"> et régionaux</w:t>
      </w:r>
      <w:r>
        <w:t xml:space="preserve"> sur</w:t>
      </w:r>
      <w:r w:rsidR="00E60AA0">
        <w:t xml:space="preserve"> la biodiversité, afin</w:t>
      </w:r>
      <w:r>
        <w:t xml:space="preserve"> que les données puissent circ</w:t>
      </w:r>
      <w:r w:rsidR="00E60AA0">
        <w:t>uler librement pour appuyer la planification, la mise en œuvre</w:t>
      </w:r>
      <w:r>
        <w:t xml:space="preserve">, le </w:t>
      </w:r>
      <w:r w:rsidR="00630C8D">
        <w:t>suivi et l’établissement des rapports</w:t>
      </w:r>
      <w:r>
        <w:t xml:space="preserve">; </w:t>
      </w:r>
    </w:p>
    <w:p w14:paraId="242EEB92" w14:textId="06BD8DD6" w:rsidR="00E14951" w:rsidRPr="00E12F85" w:rsidRDefault="00E14951" w:rsidP="00E14951">
      <w:pPr>
        <w:pStyle w:val="Para10"/>
        <w:numPr>
          <w:ilvl w:val="0"/>
          <w:numId w:val="53"/>
        </w:numPr>
        <w:tabs>
          <w:tab w:val="clear" w:pos="1134"/>
          <w:tab w:val="left" w:pos="1701"/>
        </w:tabs>
        <w:ind w:left="567" w:firstLine="567"/>
      </w:pPr>
      <w:r>
        <w:t xml:space="preserve">Concevoir des politiques et </w:t>
      </w:r>
      <w:r w:rsidR="00630C8D">
        <w:t xml:space="preserve">des </w:t>
      </w:r>
      <w:r>
        <w:t xml:space="preserve">stratégies nationales appropriées pour soutenir </w:t>
      </w:r>
      <w:r w:rsidRPr="007E2E8E">
        <w:t xml:space="preserve">la production de </w:t>
      </w:r>
      <w:r>
        <w:t xml:space="preserve">données </w:t>
      </w:r>
      <w:r w:rsidRPr="007E2E8E">
        <w:t xml:space="preserve">et </w:t>
      </w:r>
      <w:r>
        <w:t>d’information</w:t>
      </w:r>
      <w:r w:rsidR="00E60AA0">
        <w:t>s</w:t>
      </w:r>
      <w:r>
        <w:t xml:space="preserve"> et la gestion des connaissances; </w:t>
      </w:r>
    </w:p>
    <w:p w14:paraId="370FFFBB" w14:textId="0A3B1450" w:rsidR="00E14951" w:rsidRPr="00E12F85" w:rsidRDefault="00E14951" w:rsidP="00E14951">
      <w:pPr>
        <w:pStyle w:val="Para10"/>
        <w:numPr>
          <w:ilvl w:val="0"/>
          <w:numId w:val="53"/>
        </w:numPr>
        <w:tabs>
          <w:tab w:val="clear" w:pos="1134"/>
          <w:tab w:val="left" w:pos="1701"/>
        </w:tabs>
        <w:ind w:left="567" w:firstLine="567"/>
      </w:pPr>
      <w:r>
        <w:t xml:space="preserve">Renforcer la coordination et </w:t>
      </w:r>
      <w:r w:rsidR="00E60AA0">
        <w:t>la collaboration entre les différente</w:t>
      </w:r>
      <w:r>
        <w:t>s initiatives, outils et plateformes en matière de connaissances sur la biodiversité</w:t>
      </w:r>
      <w:r w:rsidR="00E60AA0">
        <w:t>,</w:t>
      </w:r>
      <w:r>
        <w:t xml:space="preserve"> afin d’éviter le</w:t>
      </w:r>
      <w:r w:rsidR="0052657C">
        <w:t>ur</w:t>
      </w:r>
      <w:r>
        <w:t>s doubles emplois et d’en favoriser l’efficacité et la durabilité;</w:t>
      </w:r>
    </w:p>
    <w:p w14:paraId="7BD26B8B" w14:textId="1B979F55" w:rsidR="00E14951" w:rsidRDefault="00E14951" w:rsidP="00E14951">
      <w:pPr>
        <w:pStyle w:val="Para10"/>
        <w:numPr>
          <w:ilvl w:val="0"/>
          <w:numId w:val="53"/>
        </w:numPr>
        <w:tabs>
          <w:tab w:val="clear" w:pos="1134"/>
          <w:tab w:val="left" w:pos="1701"/>
        </w:tabs>
        <w:ind w:left="567" w:firstLine="567"/>
      </w:pPr>
      <w:r>
        <w:t xml:space="preserve">Tirer parti des initiatives et </w:t>
      </w:r>
      <w:r w:rsidR="0052657C">
        <w:t xml:space="preserve">des </w:t>
      </w:r>
      <w:r>
        <w:t>réseaux existants en matière de connaissances sur la biodiversité</w:t>
      </w:r>
      <w:r w:rsidR="0052657C">
        <w:t>,</w:t>
      </w:r>
      <w:r>
        <w:t xml:space="preserve"> en comblant les lacunes qui empêchent de les utiliser de manière exhaustive et efficace</w:t>
      </w:r>
      <w:r w:rsidR="0052657C">
        <w:t>, et améliorer</w:t>
      </w:r>
      <w:r>
        <w:t xml:space="preserve"> la coordination et la collaboration entre eux</w:t>
      </w:r>
      <w:r w:rsidRPr="007E2E8E">
        <w:t>, notamment en renforçant les syne</w:t>
      </w:r>
      <w:r w:rsidR="0052657C">
        <w:t>rgies entre les conventions relative</w:t>
      </w:r>
      <w:r w:rsidRPr="007E2E8E">
        <w:t>s à la biodiversité pour fa</w:t>
      </w:r>
      <w:r w:rsidR="0052657C">
        <w:t xml:space="preserve">voriser une plus grande coordination dans </w:t>
      </w:r>
      <w:r w:rsidR="0052657C">
        <w:lastRenderedPageBreak/>
        <w:t>l’établissement des rapports</w:t>
      </w:r>
      <w:r>
        <w:t>,</w:t>
      </w:r>
      <w:r w:rsidRPr="007E2E8E">
        <w:t xml:space="preserve"> conformément à leurs mandats, leur autorité légale et leurs responsabilités</w:t>
      </w:r>
      <w:r w:rsidR="0052657C">
        <w:t xml:space="preserve"> respectifs</w:t>
      </w:r>
      <w:r>
        <w:t>;</w:t>
      </w:r>
    </w:p>
    <w:p w14:paraId="52749FB1" w14:textId="1ED7B789" w:rsidR="00E14951" w:rsidRPr="00E12F85" w:rsidRDefault="00E14951" w:rsidP="00E14951">
      <w:pPr>
        <w:pStyle w:val="Para10"/>
        <w:numPr>
          <w:ilvl w:val="0"/>
          <w:numId w:val="53"/>
        </w:numPr>
        <w:tabs>
          <w:tab w:val="clear" w:pos="1134"/>
          <w:tab w:val="left" w:pos="1701"/>
        </w:tabs>
        <w:ind w:left="567" w:firstLine="567"/>
      </w:pPr>
      <w:r>
        <w:t>Renforcer les capacités des pays en développement et des pays à</w:t>
      </w:r>
      <w:r w:rsidR="0052657C">
        <w:t xml:space="preserve"> économie en transition en matière de production de données, d’</w:t>
      </w:r>
      <w:r>
        <w:t>information</w:t>
      </w:r>
      <w:r w:rsidR="0052657C">
        <w:t>s</w:t>
      </w:r>
      <w:r>
        <w:t xml:space="preserve"> et de connaissances relatives à la biodiversité.</w:t>
      </w:r>
    </w:p>
    <w:p w14:paraId="5F1F2E3A" w14:textId="15CA5DD7" w:rsidR="00E14951" w:rsidRPr="00E12F85" w:rsidRDefault="0052657C" w:rsidP="00E14951">
      <w:pPr>
        <w:pStyle w:val="Para10"/>
        <w:numPr>
          <w:ilvl w:val="0"/>
          <w:numId w:val="2"/>
        </w:numPr>
        <w:ind w:left="567" w:firstLine="0"/>
      </w:pPr>
      <w:r>
        <w:t xml:space="preserve">Au bout du compte, la stratégie vise à </w:t>
      </w:r>
      <w:r w:rsidR="00E14951">
        <w:t>améliorer l</w:t>
      </w:r>
      <w:r>
        <w:t xml:space="preserve">’accessibilité aux données, aux </w:t>
      </w:r>
      <w:r w:rsidR="00E14951">
        <w:t>information</w:t>
      </w:r>
      <w:r>
        <w:t>s</w:t>
      </w:r>
      <w:r w:rsidR="00E14951">
        <w:t xml:space="preserve"> et aux connaissances pertinentes et l’utilisation de celles-ci, y compris les connaissances traditionnelles auxquelles les peuples autochtones donnent accès avec leur consente</w:t>
      </w:r>
      <w:r w:rsidR="007E2E8E">
        <w:t>me</w:t>
      </w:r>
      <w:r>
        <w:t>nt préalable, donné librement et en connaissance de cause, aux fins d’</w:t>
      </w:r>
      <w:r w:rsidR="00E14951">
        <w:t>élaboration de politiques</w:t>
      </w:r>
      <w:r w:rsidR="00FF08E3">
        <w:t xml:space="preserve"> générales, de planification,</w:t>
      </w:r>
      <w:r w:rsidR="00E14951">
        <w:t xml:space="preserve"> de prise d</w:t>
      </w:r>
      <w:r>
        <w:t>e décisions et de mesures éclairée</w:t>
      </w:r>
      <w:r w:rsidR="00E14951">
        <w:t>s</w:t>
      </w:r>
      <w:r>
        <w:t>, pour appuyer la mise en œuvre</w:t>
      </w:r>
      <w:r w:rsidR="00E14951">
        <w:t xml:space="preserve"> et le suivi du Cadre à tous les niveaux. Elle a ég</w:t>
      </w:r>
      <w:r w:rsidR="00FF08E3">
        <w:t>alement pour but de renforcer la communication</w:t>
      </w:r>
      <w:r w:rsidR="00E14951">
        <w:t>, la sensibilisati</w:t>
      </w:r>
      <w:r w:rsidR="00FF08E3">
        <w:t>on, l’éducation, la création de</w:t>
      </w:r>
      <w:r w:rsidR="00E14951">
        <w:t xml:space="preserve"> capacités, le partage des connaissances et l’apprentissage organisationnel.</w:t>
      </w:r>
    </w:p>
    <w:p w14:paraId="4A3D5A9C" w14:textId="77777777" w:rsidR="00E14951" w:rsidRPr="00C217D8" w:rsidRDefault="00E14951" w:rsidP="00E14951">
      <w:pPr>
        <w:pStyle w:val="Heading1"/>
        <w:numPr>
          <w:ilvl w:val="0"/>
          <w:numId w:val="78"/>
        </w:numPr>
        <w:ind w:left="567" w:hanging="567"/>
      </w:pPr>
      <w:r>
        <w:t xml:space="preserve">Résultats </w:t>
      </w:r>
    </w:p>
    <w:p w14:paraId="2EC9EFF5" w14:textId="11CDBDBB" w:rsidR="00E14951" w:rsidRPr="00E12F85" w:rsidRDefault="00E14951" w:rsidP="00E14951">
      <w:pPr>
        <w:pStyle w:val="Para10"/>
        <w:numPr>
          <w:ilvl w:val="0"/>
          <w:numId w:val="2"/>
        </w:numPr>
        <w:ind w:left="567" w:firstLine="0"/>
      </w:pPr>
      <w:r>
        <w:t xml:space="preserve">La mise en </w:t>
      </w:r>
      <w:r w:rsidR="007E2E8E">
        <w:t>œuvre</w:t>
      </w:r>
      <w:r w:rsidR="00FF08E3">
        <w:t xml:space="preserve"> de la stratégie vise à obtenir les résultats suivants : </w:t>
      </w:r>
      <w:r>
        <w:t xml:space="preserve">une </w:t>
      </w:r>
      <w:r w:rsidR="00FF08E3">
        <w:t xml:space="preserve">plus grande capacité </w:t>
      </w:r>
      <w:r>
        <w:t xml:space="preserve">des gouvernements, </w:t>
      </w:r>
      <w:r w:rsidR="00FF08E3">
        <w:t xml:space="preserve">des </w:t>
      </w:r>
      <w:r>
        <w:t xml:space="preserve">peuples autochtones et communautés locales et </w:t>
      </w:r>
      <w:r w:rsidR="00FF08E3">
        <w:t xml:space="preserve">des </w:t>
      </w:r>
      <w:r>
        <w:t>parties prenantes concernées à saisir, gérer et utilis</w:t>
      </w:r>
      <w:r w:rsidR="00FF08E3">
        <w:t xml:space="preserve">er des données, des </w:t>
      </w:r>
      <w:r>
        <w:t>information</w:t>
      </w:r>
      <w:r w:rsidR="00FF08E3">
        <w:t>s</w:t>
      </w:r>
      <w:r>
        <w:t xml:space="preserve"> et des connaissances relatives à la biodiversité</w:t>
      </w:r>
      <w:r w:rsidR="00FF08E3">
        <w:t xml:space="preserve">; </w:t>
      </w:r>
      <w:r>
        <w:t>une base de connaissances élargie</w:t>
      </w:r>
      <w:r w:rsidR="00FF08E3">
        <w:t>; l’</w:t>
      </w:r>
      <w:r>
        <w:t>augme</w:t>
      </w:r>
      <w:r w:rsidR="00FF08E3">
        <w:t xml:space="preserve">ntation de la disponibilité, de l’accessibilité et de l’utilisation des données, des </w:t>
      </w:r>
      <w:r>
        <w:t>information</w:t>
      </w:r>
      <w:r w:rsidR="00FF08E3">
        <w:t>s</w:t>
      </w:r>
      <w:r>
        <w:t xml:space="preserve"> et des connaissances pertinentes </w:t>
      </w:r>
      <w:r w:rsidR="00FF08E3">
        <w:t>à tous les niveaux, en vue de favorise</w:t>
      </w:r>
      <w:r>
        <w:t>r la conception de programmes et de politiques fondées sur des données probantes, la prise de déci</w:t>
      </w:r>
      <w:r w:rsidR="00FF08E3">
        <w:t>sions éclairées, et la mise en œuvre et le suivi efficaces</w:t>
      </w:r>
      <w:r>
        <w:t xml:space="preserve"> du Cadre.</w:t>
      </w:r>
    </w:p>
    <w:p w14:paraId="14076951" w14:textId="36227D1C" w:rsidR="00E14951" w:rsidRPr="00E12F85" w:rsidRDefault="00E14951" w:rsidP="00E14951">
      <w:pPr>
        <w:pStyle w:val="Para10"/>
        <w:numPr>
          <w:ilvl w:val="0"/>
          <w:numId w:val="2"/>
        </w:numPr>
        <w:ind w:left="567" w:firstLine="0"/>
      </w:pPr>
      <w:r>
        <w:t xml:space="preserve">Les objectifs stratégiques, </w:t>
      </w:r>
      <w:r w:rsidR="00C82BF5">
        <w:t>les actions</w:t>
      </w:r>
      <w:r w:rsidR="00FA1747">
        <w:t xml:space="preserve"> co</w:t>
      </w:r>
      <w:r w:rsidR="00C82BF5">
        <w:t>nstitutive</w:t>
      </w:r>
      <w:r w:rsidR="00FA1747">
        <w:t>s</w:t>
      </w:r>
      <w:r>
        <w:t xml:space="preserve"> et </w:t>
      </w:r>
      <w:r w:rsidR="00FF08E3">
        <w:t xml:space="preserve">les </w:t>
      </w:r>
      <w:r>
        <w:t>principaux acteurs nécessaires pour att</w:t>
      </w:r>
      <w:r w:rsidR="00FF08E3">
        <w:t>eindre ces résultats sont indiqu</w:t>
      </w:r>
      <w:r>
        <w:t>és dans le tableau ci-dessous.</w:t>
      </w:r>
    </w:p>
    <w:p w14:paraId="7B5FFDB2" w14:textId="6B4AC654" w:rsidR="00E14951" w:rsidRPr="00C217D8" w:rsidRDefault="00E14951" w:rsidP="00E14951">
      <w:pPr>
        <w:pStyle w:val="Heading1"/>
        <w:numPr>
          <w:ilvl w:val="0"/>
          <w:numId w:val="78"/>
        </w:numPr>
        <w:ind w:left="567" w:hanging="567"/>
      </w:pPr>
      <w:r>
        <w:t xml:space="preserve">Mise en </w:t>
      </w:r>
      <w:r w:rsidR="007E2E8E">
        <w:t>œuvre</w:t>
      </w:r>
      <w:r>
        <w:t xml:space="preserve"> </w:t>
      </w:r>
    </w:p>
    <w:p w14:paraId="2C949B7D" w14:textId="1A63BDF5" w:rsidR="00E14951" w:rsidRPr="00E12F85" w:rsidRDefault="00E14951" w:rsidP="00E14951">
      <w:pPr>
        <w:pStyle w:val="Para10"/>
        <w:numPr>
          <w:ilvl w:val="0"/>
          <w:numId w:val="2"/>
        </w:numPr>
        <w:tabs>
          <w:tab w:val="clear" w:pos="1134"/>
          <w:tab w:val="left" w:pos="720"/>
        </w:tabs>
        <w:ind w:left="567" w:firstLine="0"/>
      </w:pPr>
      <w:r>
        <w:t xml:space="preserve">La stratégie sera mise en </w:t>
      </w:r>
      <w:r w:rsidR="007E2E8E">
        <w:t>œuvre</w:t>
      </w:r>
      <w:r w:rsidR="00FF08E3">
        <w:t>, selon qu’il convient</w:t>
      </w:r>
      <w:r>
        <w:t>, par les gouvernements, les peuples autochto</w:t>
      </w:r>
      <w:r w:rsidR="00FF08E3">
        <w:t>nes et communautés locales et l</w:t>
      </w:r>
      <w:r>
        <w:t>es parties prenantes concernées, y compris les gouvernements infranationaux, les villes, les autres autorités locale</w:t>
      </w:r>
      <w:r w:rsidR="00FF08E3">
        <w:t xml:space="preserve">s et le secteur privé, </w:t>
      </w:r>
      <w:r>
        <w:t xml:space="preserve">avec le soutien du Secrétariat, conformément aux priorités définies dans les stratégies et plans </w:t>
      </w:r>
      <w:r w:rsidR="00FF08E3">
        <w:t xml:space="preserve">d’action nationaux pour la </w:t>
      </w:r>
      <w:r>
        <w:t>diversité</w:t>
      </w:r>
      <w:r w:rsidR="00FF08E3">
        <w:t xml:space="preserve"> biologique</w:t>
      </w:r>
      <w:r>
        <w:t>, le Cadre et les décisions pertinentes de la Conférence des Parties, en faisant pleinement usage des ressources existante</w:t>
      </w:r>
      <w:r w:rsidR="007E2E8E">
        <w:t>s</w:t>
      </w:r>
      <w:r w:rsidR="00FF08E3">
        <w:t xml:space="preserve"> et de la </w:t>
      </w:r>
      <w:r>
        <w:t xml:space="preserve">coopération avec les organisations et </w:t>
      </w:r>
      <w:r w:rsidR="00FF08E3">
        <w:t>les processus concerné</w:t>
      </w:r>
      <w:r>
        <w:t>s, et en notant q</w:t>
      </w:r>
      <w:r w:rsidR="00FF08E3">
        <w:t>ue toute activité nouvelle et additionnelle sera entreprise dans la limite des ressources disponible</w:t>
      </w:r>
      <w:r>
        <w:t>s. La st</w:t>
      </w:r>
      <w:r w:rsidR="00AB1986">
        <w:t>ratégie tiendra compte des lacune</w:t>
      </w:r>
      <w:r>
        <w:t>s dans les capacités, les technologies et les as</w:t>
      </w:r>
      <w:r w:rsidR="00AB1986">
        <w:t>pects financiers qui restreign</w:t>
      </w:r>
      <w:r w:rsidR="00741F83">
        <w:t>ent les</w:t>
      </w:r>
      <w:r>
        <w:t xml:space="preserve"> capacités des pays, </w:t>
      </w:r>
      <w:r w:rsidR="00741F83">
        <w:t>en particulier des pays</w:t>
      </w:r>
      <w:r>
        <w:t xml:space="preserve"> en développement et </w:t>
      </w:r>
      <w:r w:rsidR="00741F83">
        <w:t xml:space="preserve">des pays </w:t>
      </w:r>
      <w:r>
        <w:t>à éc</w:t>
      </w:r>
      <w:r w:rsidR="00AB1986">
        <w:t>onomie en transition, en ce qui concerne la production de données, d’</w:t>
      </w:r>
      <w:r>
        <w:t>information</w:t>
      </w:r>
      <w:r w:rsidR="00AB1986">
        <w:t>s et de</w:t>
      </w:r>
      <w:r>
        <w:t xml:space="preserve"> connaissances relative</w:t>
      </w:r>
      <w:r w:rsidR="00AB1986">
        <w:t>s à la biodiversité et</w:t>
      </w:r>
      <w:r>
        <w:t xml:space="preserve"> </w:t>
      </w:r>
      <w:r w:rsidR="00AB1986">
        <w:t xml:space="preserve">l’obtention d’un </w:t>
      </w:r>
      <w:r>
        <w:t>accès à celles-ci. La s</w:t>
      </w:r>
      <w:r w:rsidR="00AB1986">
        <w:t>tratégie tiendra compte également</w:t>
      </w:r>
      <w:r>
        <w:t xml:space="preserve"> de la nécessité d’inclure les peuples autochtones, les communautés locales, les femmes, les jeunes et les groupes en situation </w:t>
      </w:r>
      <w:r w:rsidR="007E2E8E">
        <w:t>de vulnérabilité</w:t>
      </w:r>
      <w:r>
        <w:t xml:space="preserve"> dans les programmes de recherche sur la conservation et l’utilisation durable de la biodiversité.</w:t>
      </w:r>
    </w:p>
    <w:p w14:paraId="5C1DCDC5" w14:textId="77777777" w:rsidR="00E14951" w:rsidRPr="00C217D8" w:rsidRDefault="00E14951" w:rsidP="00E14951">
      <w:pPr>
        <w:pStyle w:val="Heading1"/>
        <w:numPr>
          <w:ilvl w:val="0"/>
          <w:numId w:val="78"/>
        </w:numPr>
        <w:ind w:left="567" w:hanging="567"/>
      </w:pPr>
      <w:r>
        <w:t>Suivi</w:t>
      </w:r>
    </w:p>
    <w:p w14:paraId="7E6BE3B7" w14:textId="26F2A2CB" w:rsidR="00E14951" w:rsidRPr="00E12F85" w:rsidRDefault="00E14951" w:rsidP="00E14951">
      <w:pPr>
        <w:pStyle w:val="Para10"/>
        <w:numPr>
          <w:ilvl w:val="0"/>
          <w:numId w:val="2"/>
        </w:numPr>
        <w:ind w:left="567" w:firstLine="0"/>
      </w:pPr>
      <w:r>
        <w:t xml:space="preserve">La mise en </w:t>
      </w:r>
      <w:r w:rsidR="007E2E8E">
        <w:t>œuvre</w:t>
      </w:r>
      <w:r>
        <w:t xml:space="preserve"> de la stratégie fera l’objet d’un</w:t>
      </w:r>
      <w:r w:rsidR="00AB1986">
        <w:t xml:space="preserve"> suivi axé sur les information</w:t>
      </w:r>
      <w:r>
        <w:t>s fourni</w:t>
      </w:r>
      <w:r w:rsidR="00AB1986">
        <w:t>e</w:t>
      </w:r>
      <w:r>
        <w:t>s par les Parties dans leurs rapports nation</w:t>
      </w:r>
      <w:r w:rsidR="00254EEB">
        <w:t>aux</w:t>
      </w:r>
      <w:r>
        <w:t xml:space="preserve"> et sur </w:t>
      </w:r>
      <w:r w:rsidR="00AB1986">
        <w:t>les indicateurs inclus dans le c</w:t>
      </w:r>
      <w:r>
        <w:t>adre de suivi du Cadre mondial de la biodiversité de Kunming-Montréal. Les acteurs gouvernementaux et non gouvernementaux peuvent adapter et utiliser le</w:t>
      </w:r>
      <w:r w:rsidR="00AB1986">
        <w:t>s indicateurs pour surveiller,</w:t>
      </w:r>
      <w:r>
        <w:t xml:space="preserve"> évaluer</w:t>
      </w:r>
      <w:r w:rsidR="00AB1986">
        <w:t xml:space="preserve"> et rendre compte</w:t>
      </w:r>
      <w:r>
        <w:t xml:space="preserve"> </w:t>
      </w:r>
      <w:r w:rsidR="00AB1986">
        <w:t>d</w:t>
      </w:r>
      <w:r>
        <w:t xml:space="preserve">es résultats et </w:t>
      </w:r>
      <w:r w:rsidR="00AB1986">
        <w:t>de l’impact de leurs initiatives</w:t>
      </w:r>
      <w:r>
        <w:t xml:space="preserve"> de gestio</w:t>
      </w:r>
      <w:r w:rsidR="00AB1986">
        <w:t xml:space="preserve">n des connaissances aux niveaux national, régional et mondial. Les </w:t>
      </w:r>
      <w:r>
        <w:t>information</w:t>
      </w:r>
      <w:r w:rsidR="00AB1986">
        <w:t>s</w:t>
      </w:r>
      <w:r>
        <w:t xml:space="preserve"> produite</w:t>
      </w:r>
      <w:r w:rsidR="00AB1986">
        <w:t>s</w:t>
      </w:r>
      <w:r>
        <w:t xml:space="preserve"> dans le </w:t>
      </w:r>
      <w:r w:rsidR="00AB1986">
        <w:t>cadre du processus de suivi seront</w:t>
      </w:r>
      <w:r>
        <w:t xml:space="preserve"> utilisée</w:t>
      </w:r>
      <w:r w:rsidR="00AB1986">
        <w:t>s</w:t>
      </w:r>
      <w:r>
        <w:t xml:space="preserve"> pour étayer l’examen et la mise à jour</w:t>
      </w:r>
      <w:r w:rsidR="00AB1986">
        <w:t xml:space="preserve"> de la stratégie, selon qu’il convient</w:t>
      </w:r>
      <w:r>
        <w:t>, en 2030.</w:t>
      </w:r>
    </w:p>
    <w:p w14:paraId="0C0BEBEE" w14:textId="7D35E5F3" w:rsidR="00E14951" w:rsidRDefault="00AB1986" w:rsidP="00AB1986">
      <w:pPr>
        <w:keepNext/>
        <w:spacing w:after="120"/>
        <w:ind w:right="390"/>
        <w:jc w:val="left"/>
        <w:outlineLvl w:val="3"/>
        <w:rPr>
          <w:b/>
          <w:kern w:val="22"/>
          <w:szCs w:val="22"/>
        </w:rPr>
      </w:pPr>
      <w:r>
        <w:rPr>
          <w:b/>
          <w:szCs w:val="22"/>
        </w:rPr>
        <w:lastRenderedPageBreak/>
        <w:t>Objectifs stratégiques, action</w:t>
      </w:r>
      <w:r w:rsidR="00E14951">
        <w:rPr>
          <w:b/>
          <w:szCs w:val="22"/>
        </w:rPr>
        <w:t xml:space="preserve">s et acteurs </w:t>
      </w:r>
    </w:p>
    <w:tbl>
      <w:tblPr>
        <w:tblStyle w:val="TableGrid"/>
        <w:tblW w:w="0" w:type="auto"/>
        <w:tblLook w:val="04A0" w:firstRow="1" w:lastRow="0" w:firstColumn="1" w:lastColumn="0" w:noHBand="0" w:noVBand="1"/>
      </w:tblPr>
      <w:tblGrid>
        <w:gridCol w:w="2689"/>
        <w:gridCol w:w="4677"/>
        <w:gridCol w:w="1984"/>
      </w:tblGrid>
      <w:tr w:rsidR="00E14951" w:rsidRPr="00B76C00" w14:paraId="506D745C" w14:textId="77777777" w:rsidTr="006027D0">
        <w:trPr>
          <w:tblHeader/>
        </w:trPr>
        <w:tc>
          <w:tcPr>
            <w:tcW w:w="2689" w:type="dxa"/>
          </w:tcPr>
          <w:p w14:paraId="4066B418" w14:textId="77777777" w:rsidR="00E14951" w:rsidRPr="00B76C00" w:rsidRDefault="00E14951" w:rsidP="006027D0">
            <w:pPr>
              <w:spacing w:before="60" w:after="60"/>
              <w:rPr>
                <w:rFonts w:asciiTheme="majorBidi" w:hAnsiTheme="majorBidi" w:cstheme="majorBidi"/>
                <w:szCs w:val="22"/>
              </w:rPr>
            </w:pPr>
            <w:r>
              <w:rPr>
                <w:rFonts w:asciiTheme="majorBidi" w:hAnsiTheme="majorBidi"/>
                <w:bCs/>
                <w:i/>
                <w:iCs/>
                <w:snapToGrid w:val="0"/>
                <w:szCs w:val="22"/>
              </w:rPr>
              <w:t>Objectifs stratégiques</w:t>
            </w:r>
          </w:p>
        </w:tc>
        <w:tc>
          <w:tcPr>
            <w:tcW w:w="4677" w:type="dxa"/>
          </w:tcPr>
          <w:p w14:paraId="3F17E41F" w14:textId="0BD01FCD" w:rsidR="00E14951" w:rsidRPr="00B76C00" w:rsidRDefault="00254EEB" w:rsidP="006027D0">
            <w:pPr>
              <w:spacing w:before="60" w:after="60"/>
              <w:rPr>
                <w:rFonts w:asciiTheme="majorBidi" w:hAnsiTheme="majorBidi" w:cstheme="majorBidi"/>
                <w:szCs w:val="22"/>
              </w:rPr>
            </w:pPr>
            <w:r>
              <w:rPr>
                <w:rFonts w:asciiTheme="majorBidi" w:hAnsiTheme="majorBidi"/>
                <w:i/>
                <w:iCs/>
                <w:szCs w:val="22"/>
              </w:rPr>
              <w:t>Actions</w:t>
            </w:r>
            <w:r w:rsidR="00C82BF5">
              <w:rPr>
                <w:rFonts w:asciiTheme="majorBidi" w:hAnsiTheme="majorBidi"/>
                <w:i/>
                <w:iCs/>
                <w:szCs w:val="22"/>
              </w:rPr>
              <w:t xml:space="preserve"> constitutives</w:t>
            </w:r>
          </w:p>
        </w:tc>
        <w:tc>
          <w:tcPr>
            <w:tcW w:w="1984" w:type="dxa"/>
          </w:tcPr>
          <w:p w14:paraId="12974637" w14:textId="77777777" w:rsidR="00E14951" w:rsidRPr="00B76C00" w:rsidRDefault="00E14951" w:rsidP="006027D0">
            <w:pPr>
              <w:spacing w:before="60" w:after="60"/>
              <w:rPr>
                <w:rFonts w:asciiTheme="majorBidi" w:hAnsiTheme="majorBidi" w:cstheme="majorBidi"/>
                <w:szCs w:val="22"/>
              </w:rPr>
            </w:pPr>
            <w:r>
              <w:rPr>
                <w:rFonts w:asciiTheme="majorBidi" w:hAnsiTheme="majorBidi"/>
                <w:bCs/>
                <w:i/>
                <w:iCs/>
                <w:snapToGrid w:val="0"/>
                <w:szCs w:val="22"/>
              </w:rPr>
              <w:t>Principaux acteurs</w:t>
            </w:r>
          </w:p>
        </w:tc>
      </w:tr>
      <w:tr w:rsidR="00E14951" w:rsidRPr="00B76C00" w14:paraId="2572083E" w14:textId="77777777" w:rsidTr="006027D0">
        <w:tc>
          <w:tcPr>
            <w:tcW w:w="2689" w:type="dxa"/>
            <w:tcBorders>
              <w:bottom w:val="nil"/>
            </w:tcBorders>
          </w:tcPr>
          <w:p w14:paraId="1215D919" w14:textId="77777777" w:rsidR="00E14951" w:rsidRPr="00B76C00" w:rsidRDefault="00E14951" w:rsidP="006027D0">
            <w:pPr>
              <w:tabs>
                <w:tab w:val="left" w:pos="380"/>
              </w:tabs>
              <w:spacing w:before="60" w:after="60"/>
              <w:jc w:val="left"/>
              <w:rPr>
                <w:rFonts w:asciiTheme="majorBidi" w:hAnsiTheme="majorBidi" w:cstheme="majorBidi"/>
                <w:szCs w:val="22"/>
              </w:rPr>
            </w:pPr>
            <w:r>
              <w:rPr>
                <w:rFonts w:asciiTheme="majorBidi" w:hAnsiTheme="majorBidi"/>
                <w:bCs/>
                <w:snapToGrid w:val="0"/>
                <w:szCs w:val="22"/>
              </w:rPr>
              <w:t>A.</w:t>
            </w:r>
            <w:r>
              <w:rPr>
                <w:rFonts w:asciiTheme="majorBidi" w:hAnsiTheme="majorBidi"/>
                <w:bCs/>
                <w:snapToGrid w:val="0"/>
                <w:szCs w:val="22"/>
              </w:rPr>
              <w:tab/>
              <w:t>Définition de la portée et du cadre de la situation et des besoins</w:t>
            </w:r>
          </w:p>
        </w:tc>
        <w:tc>
          <w:tcPr>
            <w:tcW w:w="4677" w:type="dxa"/>
          </w:tcPr>
          <w:p w14:paraId="6B36483B" w14:textId="4A70F6FC" w:rsidR="00E14951" w:rsidRPr="00B76C00" w:rsidRDefault="00E14951" w:rsidP="006027D0">
            <w:pPr>
              <w:spacing w:before="60" w:after="60"/>
              <w:jc w:val="left"/>
              <w:rPr>
                <w:rFonts w:asciiTheme="majorBidi" w:hAnsiTheme="majorBidi" w:cstheme="majorBidi"/>
                <w:kern w:val="22"/>
                <w:szCs w:val="22"/>
              </w:rPr>
            </w:pPr>
            <w:r>
              <w:rPr>
                <w:rFonts w:asciiTheme="majorBidi" w:hAnsiTheme="majorBidi"/>
                <w:szCs w:val="22"/>
              </w:rPr>
              <w:t xml:space="preserve">a) </w:t>
            </w:r>
            <w:r w:rsidR="00254EEB">
              <w:rPr>
                <w:rFonts w:asciiTheme="majorBidi" w:hAnsiTheme="majorBidi"/>
                <w:szCs w:val="22"/>
              </w:rPr>
              <w:t>Inventorier</w:t>
            </w:r>
            <w:r>
              <w:rPr>
                <w:rFonts w:asciiTheme="majorBidi" w:hAnsiTheme="majorBidi"/>
                <w:szCs w:val="22"/>
              </w:rPr>
              <w:t xml:space="preserve"> les connaissances, </w:t>
            </w:r>
            <w:r w:rsidR="00AB1986">
              <w:rPr>
                <w:rFonts w:asciiTheme="majorBidi" w:hAnsiTheme="majorBidi"/>
                <w:szCs w:val="22"/>
              </w:rPr>
              <w:t xml:space="preserve">les </w:t>
            </w:r>
            <w:r>
              <w:rPr>
                <w:rFonts w:asciiTheme="majorBidi" w:hAnsiTheme="majorBidi"/>
                <w:szCs w:val="22"/>
              </w:rPr>
              <w:t xml:space="preserve">détenteurs de connaissances, </w:t>
            </w:r>
            <w:r w:rsidR="00AB1986">
              <w:rPr>
                <w:rFonts w:asciiTheme="majorBidi" w:hAnsiTheme="majorBidi"/>
                <w:szCs w:val="22"/>
              </w:rPr>
              <w:t xml:space="preserve">les </w:t>
            </w:r>
            <w:r>
              <w:rPr>
                <w:rFonts w:asciiTheme="majorBidi" w:hAnsiTheme="majorBidi"/>
                <w:szCs w:val="22"/>
              </w:rPr>
              <w:t xml:space="preserve">conservateurs et </w:t>
            </w:r>
            <w:r w:rsidR="00AB1986">
              <w:rPr>
                <w:rFonts w:asciiTheme="majorBidi" w:hAnsiTheme="majorBidi"/>
                <w:szCs w:val="22"/>
              </w:rPr>
              <w:t xml:space="preserve">les </w:t>
            </w:r>
            <w:r>
              <w:rPr>
                <w:rFonts w:asciiTheme="majorBidi" w:hAnsiTheme="majorBidi"/>
                <w:szCs w:val="22"/>
              </w:rPr>
              <w:t>sources</w:t>
            </w:r>
            <w:r w:rsidR="004862CC" w:rsidRPr="001A4635">
              <w:rPr>
                <w:rFonts w:asciiTheme="majorBidi" w:hAnsiTheme="majorBidi" w:cstheme="majorBidi"/>
                <w:i/>
                <w:iCs/>
                <w:kern w:val="22"/>
                <w:szCs w:val="22"/>
                <w:vertAlign w:val="superscript"/>
              </w:rPr>
              <w:t>a</w:t>
            </w:r>
            <w:r>
              <w:rPr>
                <w:rFonts w:asciiTheme="majorBidi" w:hAnsiTheme="majorBidi"/>
                <w:szCs w:val="22"/>
              </w:rPr>
              <w:t xml:space="preserve"> </w:t>
            </w:r>
            <w:r w:rsidR="007E2E8E">
              <w:rPr>
                <w:rFonts w:asciiTheme="majorBidi" w:hAnsiTheme="majorBidi"/>
                <w:szCs w:val="22"/>
              </w:rPr>
              <w:t>existants</w:t>
            </w:r>
            <w:r w:rsidR="00AB1986">
              <w:rPr>
                <w:rFonts w:asciiTheme="majorBidi" w:hAnsiTheme="majorBidi"/>
                <w:szCs w:val="22"/>
              </w:rPr>
              <w:t xml:space="preserve"> qui intéressent le</w:t>
            </w:r>
            <w:r>
              <w:rPr>
                <w:rFonts w:asciiTheme="majorBidi" w:hAnsiTheme="majorBidi"/>
                <w:szCs w:val="22"/>
              </w:rPr>
              <w:t xml:space="preserve"> Cadre mondial de la biodive</w:t>
            </w:r>
            <w:r w:rsidR="00AB1986">
              <w:rPr>
                <w:rFonts w:asciiTheme="majorBidi" w:hAnsiTheme="majorBidi"/>
                <w:szCs w:val="22"/>
              </w:rPr>
              <w:t>rsité de Kunming-Montréal et les</w:t>
            </w:r>
            <w:r>
              <w:rPr>
                <w:rFonts w:asciiTheme="majorBidi" w:hAnsiTheme="majorBidi"/>
                <w:szCs w:val="22"/>
              </w:rPr>
              <w:t xml:space="preserve"> stratégies et pl</w:t>
            </w:r>
            <w:r w:rsidR="00AB1986">
              <w:rPr>
                <w:rFonts w:asciiTheme="majorBidi" w:hAnsiTheme="majorBidi"/>
                <w:szCs w:val="22"/>
              </w:rPr>
              <w:t>ans d’action nationaux pour la</w:t>
            </w:r>
            <w:r>
              <w:rPr>
                <w:rFonts w:asciiTheme="majorBidi" w:hAnsiTheme="majorBidi"/>
                <w:szCs w:val="22"/>
              </w:rPr>
              <w:t xml:space="preserve"> </w:t>
            </w:r>
            <w:r>
              <w:rPr>
                <w:rFonts w:asciiTheme="majorBidi" w:hAnsiTheme="majorBidi"/>
                <w:snapToGrid w:val="0"/>
                <w:szCs w:val="22"/>
              </w:rPr>
              <w:t>diversité</w:t>
            </w:r>
            <w:r w:rsidR="00AB1986">
              <w:rPr>
                <w:rFonts w:asciiTheme="majorBidi" w:hAnsiTheme="majorBidi"/>
                <w:snapToGrid w:val="0"/>
                <w:szCs w:val="22"/>
              </w:rPr>
              <w:t xml:space="preserve"> biologique</w:t>
            </w:r>
          </w:p>
        </w:tc>
        <w:tc>
          <w:tcPr>
            <w:tcW w:w="1984" w:type="dxa"/>
          </w:tcPr>
          <w:p w14:paraId="1C7DE976"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bCs/>
                <w:snapToGrid w:val="0"/>
                <w:szCs w:val="22"/>
              </w:rPr>
              <w:t xml:space="preserve">Parties, </w:t>
            </w:r>
            <w:r>
              <w:rPr>
                <w:rFonts w:asciiTheme="majorBidi" w:hAnsiTheme="majorBidi"/>
                <w:szCs w:val="22"/>
              </w:rPr>
              <w:t xml:space="preserve">peuples autochtones et </w:t>
            </w:r>
            <w:r>
              <w:rPr>
                <w:rFonts w:asciiTheme="majorBidi" w:hAnsiTheme="majorBidi"/>
                <w:snapToGrid w:val="0"/>
                <w:szCs w:val="22"/>
              </w:rPr>
              <w:t>communautés locales, Secrétariat</w:t>
            </w:r>
          </w:p>
        </w:tc>
      </w:tr>
      <w:tr w:rsidR="00E14951" w:rsidRPr="00B76C00" w14:paraId="39EACDF8" w14:textId="77777777" w:rsidTr="006027D0">
        <w:tc>
          <w:tcPr>
            <w:tcW w:w="2689" w:type="dxa"/>
            <w:tcBorders>
              <w:top w:val="nil"/>
              <w:bottom w:val="nil"/>
            </w:tcBorders>
          </w:tcPr>
          <w:p w14:paraId="22B30B17" w14:textId="77777777" w:rsidR="00E14951" w:rsidRPr="00B76C00" w:rsidRDefault="00E14951" w:rsidP="006027D0">
            <w:pPr>
              <w:rPr>
                <w:rFonts w:asciiTheme="majorBidi" w:hAnsiTheme="majorBidi" w:cstheme="majorBidi"/>
                <w:szCs w:val="22"/>
              </w:rPr>
            </w:pPr>
          </w:p>
        </w:tc>
        <w:tc>
          <w:tcPr>
            <w:tcW w:w="4677" w:type="dxa"/>
          </w:tcPr>
          <w:p w14:paraId="49BD3FA8" w14:textId="19222B93" w:rsidR="00E14951" w:rsidRPr="00B76C00" w:rsidRDefault="00AB1986" w:rsidP="006027D0">
            <w:pPr>
              <w:spacing w:before="60" w:after="60"/>
              <w:jc w:val="left"/>
              <w:rPr>
                <w:rFonts w:asciiTheme="majorBidi" w:hAnsiTheme="majorBidi" w:cstheme="majorBidi"/>
                <w:kern w:val="22"/>
                <w:szCs w:val="22"/>
              </w:rPr>
            </w:pPr>
            <w:r>
              <w:rPr>
                <w:rFonts w:asciiTheme="majorBidi" w:hAnsiTheme="majorBidi"/>
                <w:szCs w:val="22"/>
              </w:rPr>
              <w:t>b) Recense</w:t>
            </w:r>
            <w:r w:rsidR="00E14951">
              <w:rPr>
                <w:rFonts w:asciiTheme="majorBidi" w:hAnsiTheme="majorBidi"/>
                <w:szCs w:val="22"/>
              </w:rPr>
              <w:t xml:space="preserve">r les </w:t>
            </w:r>
            <w:r w:rsidR="00E14951">
              <w:rPr>
                <w:rFonts w:asciiTheme="majorBidi" w:hAnsiTheme="majorBidi"/>
                <w:snapToGrid w:val="0"/>
                <w:szCs w:val="22"/>
              </w:rPr>
              <w:t>besoins</w:t>
            </w:r>
            <w:r w:rsidR="00E14951">
              <w:rPr>
                <w:rFonts w:asciiTheme="majorBidi" w:hAnsiTheme="majorBidi"/>
                <w:szCs w:val="22"/>
              </w:rPr>
              <w:t xml:space="preserve"> et </w:t>
            </w:r>
            <w:r>
              <w:rPr>
                <w:rFonts w:asciiTheme="majorBidi" w:hAnsiTheme="majorBidi"/>
                <w:szCs w:val="22"/>
              </w:rPr>
              <w:t xml:space="preserve">les </w:t>
            </w:r>
            <w:r w:rsidR="00E14951">
              <w:rPr>
                <w:rFonts w:asciiTheme="majorBidi" w:hAnsiTheme="majorBidi"/>
                <w:szCs w:val="22"/>
              </w:rPr>
              <w:t>priorités en matière de connaissances</w:t>
            </w:r>
          </w:p>
        </w:tc>
        <w:tc>
          <w:tcPr>
            <w:tcW w:w="1984" w:type="dxa"/>
          </w:tcPr>
          <w:p w14:paraId="7C3FE2C0"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 peuples autochtones et communautés locales, organisations</w:t>
            </w:r>
          </w:p>
        </w:tc>
      </w:tr>
      <w:tr w:rsidR="00E14951" w:rsidRPr="00B76C00" w14:paraId="0E38784A" w14:textId="77777777" w:rsidTr="006027D0">
        <w:tc>
          <w:tcPr>
            <w:tcW w:w="2689" w:type="dxa"/>
            <w:tcBorders>
              <w:top w:val="nil"/>
              <w:bottom w:val="nil"/>
            </w:tcBorders>
          </w:tcPr>
          <w:p w14:paraId="7FEC846C" w14:textId="77777777" w:rsidR="00E14951" w:rsidRPr="00B76C00" w:rsidRDefault="00E14951" w:rsidP="006027D0">
            <w:pPr>
              <w:rPr>
                <w:rFonts w:asciiTheme="majorBidi" w:hAnsiTheme="majorBidi" w:cstheme="majorBidi"/>
                <w:szCs w:val="22"/>
              </w:rPr>
            </w:pPr>
          </w:p>
        </w:tc>
        <w:tc>
          <w:tcPr>
            <w:tcW w:w="4677" w:type="dxa"/>
          </w:tcPr>
          <w:p w14:paraId="2FA12191" w14:textId="4F5CEB2F" w:rsidR="00E14951" w:rsidRPr="00B76C00" w:rsidRDefault="00AB1986" w:rsidP="006027D0">
            <w:pPr>
              <w:spacing w:before="60" w:after="60"/>
              <w:jc w:val="left"/>
              <w:rPr>
                <w:rFonts w:asciiTheme="majorBidi" w:hAnsiTheme="majorBidi" w:cstheme="majorBidi"/>
                <w:kern w:val="22"/>
                <w:szCs w:val="22"/>
              </w:rPr>
            </w:pPr>
            <w:r>
              <w:rPr>
                <w:rFonts w:asciiTheme="majorBidi" w:hAnsiTheme="majorBidi"/>
                <w:szCs w:val="22"/>
              </w:rPr>
              <w:t>c) Recenser les options pour</w:t>
            </w:r>
            <w:r w:rsidR="00E14951">
              <w:rPr>
                <w:rFonts w:asciiTheme="majorBidi" w:hAnsiTheme="majorBidi"/>
                <w:szCs w:val="22"/>
              </w:rPr>
              <w:t xml:space="preserve"> </w:t>
            </w:r>
            <w:r w:rsidR="00E14951">
              <w:rPr>
                <w:rFonts w:asciiTheme="majorBidi" w:hAnsiTheme="majorBidi"/>
                <w:snapToGrid w:val="0"/>
                <w:szCs w:val="22"/>
              </w:rPr>
              <w:t>combler</w:t>
            </w:r>
            <w:r w:rsidR="00E14951">
              <w:rPr>
                <w:rFonts w:asciiTheme="majorBidi" w:hAnsiTheme="majorBidi"/>
                <w:szCs w:val="22"/>
              </w:rPr>
              <w:t xml:space="preserve"> les lacunes dans les connaissances</w:t>
            </w:r>
          </w:p>
        </w:tc>
        <w:tc>
          <w:tcPr>
            <w:tcW w:w="1984" w:type="dxa"/>
          </w:tcPr>
          <w:p w14:paraId="539174BE"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 organisations</w:t>
            </w:r>
          </w:p>
        </w:tc>
      </w:tr>
      <w:tr w:rsidR="00E14951" w:rsidRPr="00B76C00" w14:paraId="74504022" w14:textId="77777777" w:rsidTr="007E2E8E">
        <w:tc>
          <w:tcPr>
            <w:tcW w:w="2689" w:type="dxa"/>
            <w:vMerge w:val="restart"/>
            <w:tcBorders>
              <w:top w:val="nil"/>
            </w:tcBorders>
          </w:tcPr>
          <w:p w14:paraId="276B6B80" w14:textId="77777777" w:rsidR="00E14951" w:rsidRPr="00B76C00" w:rsidRDefault="00E14951" w:rsidP="006027D0">
            <w:pPr>
              <w:rPr>
                <w:rFonts w:asciiTheme="majorBidi" w:hAnsiTheme="majorBidi" w:cstheme="majorBidi"/>
                <w:szCs w:val="22"/>
              </w:rPr>
            </w:pPr>
          </w:p>
        </w:tc>
        <w:tc>
          <w:tcPr>
            <w:tcW w:w="4677" w:type="dxa"/>
          </w:tcPr>
          <w:p w14:paraId="5F07E550" w14:textId="32398FD6" w:rsidR="00E14951" w:rsidRPr="00B76C00" w:rsidRDefault="00E14951" w:rsidP="006027D0">
            <w:pPr>
              <w:spacing w:before="60" w:after="60"/>
              <w:jc w:val="left"/>
              <w:rPr>
                <w:rFonts w:asciiTheme="majorBidi" w:hAnsiTheme="majorBidi" w:cstheme="majorBidi"/>
                <w:szCs w:val="22"/>
              </w:rPr>
            </w:pPr>
            <w:r>
              <w:rPr>
                <w:rFonts w:asciiTheme="majorBidi" w:hAnsiTheme="majorBidi"/>
                <w:szCs w:val="22"/>
              </w:rPr>
              <w:t xml:space="preserve">d) Concevoir des stratégies et </w:t>
            </w:r>
            <w:r w:rsidR="00AB1986">
              <w:rPr>
                <w:rFonts w:asciiTheme="majorBidi" w:hAnsiTheme="majorBidi"/>
                <w:szCs w:val="22"/>
              </w:rPr>
              <w:t>programmes</w:t>
            </w:r>
            <w:r>
              <w:rPr>
                <w:rFonts w:asciiTheme="majorBidi" w:hAnsiTheme="majorBidi"/>
                <w:szCs w:val="22"/>
              </w:rPr>
              <w:t xml:space="preserve"> de </w:t>
            </w:r>
            <w:r>
              <w:rPr>
                <w:rFonts w:asciiTheme="majorBidi" w:hAnsiTheme="majorBidi"/>
                <w:snapToGrid w:val="0"/>
                <w:szCs w:val="22"/>
              </w:rPr>
              <w:t>gestion</w:t>
            </w:r>
            <w:r>
              <w:rPr>
                <w:rFonts w:asciiTheme="majorBidi" w:hAnsiTheme="majorBidi"/>
                <w:szCs w:val="22"/>
              </w:rPr>
              <w:t xml:space="preserve"> des connaissances</w:t>
            </w:r>
          </w:p>
        </w:tc>
        <w:tc>
          <w:tcPr>
            <w:tcW w:w="1984" w:type="dxa"/>
          </w:tcPr>
          <w:p w14:paraId="4CF529C5"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E14951" w:rsidRPr="00B76C00" w14:paraId="56D87576" w14:textId="77777777" w:rsidTr="006027D0">
        <w:tc>
          <w:tcPr>
            <w:tcW w:w="2689" w:type="dxa"/>
            <w:vMerge/>
          </w:tcPr>
          <w:p w14:paraId="45B942D3" w14:textId="77777777" w:rsidR="00E14951" w:rsidRPr="00B76C00" w:rsidRDefault="00E14951" w:rsidP="006027D0">
            <w:pPr>
              <w:rPr>
                <w:rFonts w:asciiTheme="majorBidi" w:hAnsiTheme="majorBidi" w:cstheme="majorBidi"/>
                <w:szCs w:val="22"/>
              </w:rPr>
            </w:pPr>
          </w:p>
        </w:tc>
        <w:tc>
          <w:tcPr>
            <w:tcW w:w="4677" w:type="dxa"/>
          </w:tcPr>
          <w:p w14:paraId="6F4576D6" w14:textId="6471FCD5" w:rsidR="00E14951" w:rsidRPr="00B76C00" w:rsidRDefault="00AB1986" w:rsidP="006027D0">
            <w:pPr>
              <w:spacing w:before="60" w:after="60"/>
              <w:jc w:val="left"/>
              <w:rPr>
                <w:rFonts w:asciiTheme="majorBidi" w:hAnsiTheme="majorBidi" w:cstheme="majorBidi"/>
                <w:kern w:val="22"/>
                <w:szCs w:val="22"/>
              </w:rPr>
            </w:pPr>
            <w:r>
              <w:t xml:space="preserve">e) </w:t>
            </w:r>
            <w:r w:rsidR="008607B1">
              <w:t>Inventorie</w:t>
            </w:r>
            <w:r w:rsidR="00E14951">
              <w:t xml:space="preserve">r les systèmes et </w:t>
            </w:r>
            <w:r>
              <w:t xml:space="preserve">les </w:t>
            </w:r>
            <w:r w:rsidR="00E14951">
              <w:t xml:space="preserve">plateformes existants de gestion des connaissances aux </w:t>
            </w:r>
            <w:r w:rsidR="007E2E8E">
              <w:t>niveaux</w:t>
            </w:r>
            <w:r w:rsidR="00E14951">
              <w:t xml:space="preserve"> mondial, régional, national et infranational</w:t>
            </w:r>
          </w:p>
        </w:tc>
        <w:tc>
          <w:tcPr>
            <w:tcW w:w="1984" w:type="dxa"/>
          </w:tcPr>
          <w:p w14:paraId="56ECD5F1" w14:textId="46086F02" w:rsidR="00E14951" w:rsidRPr="00064438" w:rsidRDefault="00E14951" w:rsidP="006027D0">
            <w:pPr>
              <w:spacing w:before="60" w:after="60"/>
              <w:jc w:val="left"/>
              <w:rPr>
                <w:rFonts w:asciiTheme="majorBidi" w:eastAsia="MS Mincho" w:hAnsiTheme="majorBidi" w:cstheme="majorBidi"/>
                <w:noProof/>
                <w:snapToGrid w:val="0"/>
                <w:kern w:val="22"/>
                <w:szCs w:val="22"/>
              </w:rPr>
            </w:pPr>
            <w:r>
              <w:rPr>
                <w:bCs/>
                <w:snapToGrid w:val="0"/>
                <w:szCs w:val="22"/>
              </w:rPr>
              <w:t xml:space="preserve">Parties, gouvernements infranationaux, </w:t>
            </w:r>
            <w:r>
              <w:t xml:space="preserve">peuples autochtones et </w:t>
            </w:r>
            <w:r>
              <w:rPr>
                <w:snapToGrid w:val="0"/>
                <w:szCs w:val="22"/>
              </w:rPr>
              <w:t>communautés locales</w:t>
            </w:r>
            <w:r>
              <w:rPr>
                <w:bCs/>
                <w:snapToGrid w:val="0"/>
                <w:szCs w:val="22"/>
              </w:rPr>
              <w:t xml:space="preserve">, Secrétariat, </w:t>
            </w:r>
            <w:r w:rsidR="006E3CB7">
              <w:rPr>
                <w:snapToGrid w:val="0"/>
                <w:szCs w:val="22"/>
              </w:rPr>
              <w:t>selon qu’il convient</w:t>
            </w:r>
          </w:p>
        </w:tc>
      </w:tr>
      <w:tr w:rsidR="002770DF" w:rsidRPr="00B76C00" w14:paraId="3CCB1F82" w14:textId="77777777" w:rsidTr="006027D0">
        <w:tc>
          <w:tcPr>
            <w:tcW w:w="2689" w:type="dxa"/>
            <w:vMerge w:val="restart"/>
          </w:tcPr>
          <w:p w14:paraId="491F13D2" w14:textId="77777777" w:rsidR="002770DF" w:rsidRPr="00B76C00" w:rsidRDefault="002770DF" w:rsidP="006027D0">
            <w:pPr>
              <w:tabs>
                <w:tab w:val="left" w:pos="407"/>
              </w:tabs>
              <w:spacing w:before="60" w:after="60"/>
              <w:jc w:val="left"/>
              <w:rPr>
                <w:rFonts w:asciiTheme="majorBidi" w:hAnsiTheme="majorBidi" w:cstheme="majorBidi"/>
                <w:szCs w:val="22"/>
              </w:rPr>
            </w:pPr>
            <w:r>
              <w:rPr>
                <w:rFonts w:asciiTheme="majorBidi" w:hAnsiTheme="majorBidi"/>
                <w:bCs/>
                <w:snapToGrid w:val="0"/>
                <w:szCs w:val="22"/>
              </w:rPr>
              <w:t>B.</w:t>
            </w:r>
            <w:r>
              <w:rPr>
                <w:rFonts w:asciiTheme="majorBidi" w:hAnsiTheme="majorBidi"/>
                <w:bCs/>
                <w:snapToGrid w:val="0"/>
                <w:szCs w:val="22"/>
              </w:rPr>
              <w:tab/>
              <w:t>Promo</w:t>
            </w:r>
            <w:r>
              <w:rPr>
                <w:rFonts w:asciiTheme="majorBidi" w:hAnsiTheme="majorBidi"/>
                <w:snapToGrid w:val="0"/>
                <w:szCs w:val="22"/>
              </w:rPr>
              <w:t>uvoir la production et la synthèse des connaissances</w:t>
            </w:r>
          </w:p>
        </w:tc>
        <w:tc>
          <w:tcPr>
            <w:tcW w:w="4677" w:type="dxa"/>
          </w:tcPr>
          <w:p w14:paraId="484844F7" w14:textId="402F69E1" w:rsidR="002770DF" w:rsidRPr="00B76C00" w:rsidRDefault="002770DF" w:rsidP="006027D0">
            <w:pPr>
              <w:spacing w:before="60" w:after="60"/>
              <w:jc w:val="left"/>
              <w:rPr>
                <w:rFonts w:asciiTheme="majorBidi" w:hAnsiTheme="majorBidi" w:cstheme="majorBidi"/>
                <w:szCs w:val="22"/>
              </w:rPr>
            </w:pPr>
            <w:r>
              <w:rPr>
                <w:rFonts w:asciiTheme="majorBidi" w:hAnsiTheme="majorBidi"/>
                <w:szCs w:val="22"/>
              </w:rPr>
              <w:t xml:space="preserve">a) Mettre en place des processus de cocréation des </w:t>
            </w:r>
            <w:r>
              <w:rPr>
                <w:rFonts w:asciiTheme="majorBidi" w:hAnsiTheme="majorBidi"/>
                <w:snapToGrid w:val="0"/>
                <w:szCs w:val="22"/>
              </w:rPr>
              <w:t>connaissances</w:t>
            </w:r>
          </w:p>
        </w:tc>
        <w:tc>
          <w:tcPr>
            <w:tcW w:w="1984" w:type="dxa"/>
          </w:tcPr>
          <w:p w14:paraId="178AA43B"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bCs/>
                <w:snapToGrid w:val="0"/>
                <w:szCs w:val="22"/>
              </w:rPr>
              <w:t xml:space="preserve">Parties, </w:t>
            </w:r>
            <w:r>
              <w:rPr>
                <w:rFonts w:asciiTheme="majorBidi" w:hAnsiTheme="majorBidi"/>
                <w:szCs w:val="22"/>
              </w:rPr>
              <w:t xml:space="preserve">peuples autochtones </w:t>
            </w:r>
            <w:r>
              <w:rPr>
                <w:rFonts w:asciiTheme="majorBidi" w:hAnsiTheme="majorBidi"/>
                <w:snapToGrid w:val="0"/>
                <w:szCs w:val="22"/>
              </w:rPr>
              <w:t>et</w:t>
            </w:r>
            <w:r>
              <w:rPr>
                <w:rFonts w:asciiTheme="majorBidi" w:hAnsiTheme="majorBidi"/>
                <w:szCs w:val="22"/>
              </w:rPr>
              <w:t xml:space="preserve"> communautés locales,</w:t>
            </w:r>
            <w:r>
              <w:rPr>
                <w:rFonts w:asciiTheme="majorBidi" w:hAnsiTheme="majorBidi"/>
                <w:bCs/>
                <w:snapToGrid w:val="0"/>
                <w:szCs w:val="22"/>
              </w:rPr>
              <w:t xml:space="preserve"> organisations</w:t>
            </w:r>
          </w:p>
        </w:tc>
      </w:tr>
      <w:tr w:rsidR="002770DF" w:rsidRPr="00B76C00" w14:paraId="5A3F04DF" w14:textId="77777777" w:rsidTr="006027D0">
        <w:tc>
          <w:tcPr>
            <w:tcW w:w="2689" w:type="dxa"/>
            <w:vMerge/>
          </w:tcPr>
          <w:p w14:paraId="5784A148" w14:textId="77777777" w:rsidR="002770DF" w:rsidRPr="00B76C00" w:rsidRDefault="002770DF" w:rsidP="006027D0">
            <w:pPr>
              <w:rPr>
                <w:rFonts w:asciiTheme="majorBidi" w:hAnsiTheme="majorBidi" w:cstheme="majorBidi"/>
                <w:szCs w:val="22"/>
              </w:rPr>
            </w:pPr>
          </w:p>
        </w:tc>
        <w:tc>
          <w:tcPr>
            <w:tcW w:w="4677" w:type="dxa"/>
          </w:tcPr>
          <w:p w14:paraId="162C25F2" w14:textId="04AC41F6" w:rsidR="002770DF" w:rsidRPr="00B76C00" w:rsidRDefault="002770DF" w:rsidP="006027D0">
            <w:pPr>
              <w:spacing w:before="60" w:after="60"/>
              <w:jc w:val="left"/>
              <w:rPr>
                <w:rFonts w:asciiTheme="majorBidi" w:hAnsiTheme="majorBidi" w:cstheme="majorBidi"/>
                <w:szCs w:val="22"/>
              </w:rPr>
            </w:pPr>
            <w:r>
              <w:rPr>
                <w:rFonts w:asciiTheme="majorBidi" w:hAnsiTheme="majorBidi"/>
                <w:szCs w:val="22"/>
              </w:rPr>
              <w:t xml:space="preserve">b) Renforcer la collaboration entre les organisations, les initiatives et les processus afin de </w:t>
            </w:r>
            <w:r>
              <w:rPr>
                <w:rFonts w:asciiTheme="majorBidi" w:hAnsiTheme="majorBidi"/>
                <w:snapToGrid w:val="0"/>
                <w:szCs w:val="22"/>
              </w:rPr>
              <w:t>favoriser</w:t>
            </w:r>
            <w:r>
              <w:rPr>
                <w:rFonts w:asciiTheme="majorBidi" w:hAnsiTheme="majorBidi"/>
                <w:szCs w:val="22"/>
              </w:rPr>
              <w:t xml:space="preserve"> la production de connaissances</w:t>
            </w:r>
          </w:p>
        </w:tc>
        <w:tc>
          <w:tcPr>
            <w:tcW w:w="1984" w:type="dxa"/>
          </w:tcPr>
          <w:p w14:paraId="36B85FC6"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Parties, peuples autochtones et communautés locales, organisations</w:t>
            </w:r>
          </w:p>
        </w:tc>
      </w:tr>
      <w:tr w:rsidR="002770DF" w:rsidRPr="00B76C00" w14:paraId="44C5FB58" w14:textId="77777777" w:rsidTr="006027D0">
        <w:tc>
          <w:tcPr>
            <w:tcW w:w="2689" w:type="dxa"/>
            <w:vMerge/>
          </w:tcPr>
          <w:p w14:paraId="3EAAC5F7" w14:textId="77777777" w:rsidR="002770DF" w:rsidRPr="00B76C00" w:rsidRDefault="002770DF" w:rsidP="006027D0">
            <w:pPr>
              <w:rPr>
                <w:rFonts w:asciiTheme="majorBidi" w:hAnsiTheme="majorBidi" w:cstheme="majorBidi"/>
                <w:szCs w:val="22"/>
              </w:rPr>
            </w:pPr>
          </w:p>
        </w:tc>
        <w:tc>
          <w:tcPr>
            <w:tcW w:w="4677" w:type="dxa"/>
          </w:tcPr>
          <w:p w14:paraId="38795E3C" w14:textId="66ED4852" w:rsidR="002770DF" w:rsidRPr="00B76C00" w:rsidRDefault="002770DF" w:rsidP="006027D0">
            <w:pPr>
              <w:spacing w:before="60" w:after="60"/>
              <w:jc w:val="left"/>
              <w:rPr>
                <w:rFonts w:asciiTheme="majorBidi" w:hAnsiTheme="majorBidi" w:cstheme="majorBidi"/>
                <w:szCs w:val="22"/>
              </w:rPr>
            </w:pPr>
            <w:r>
              <w:t xml:space="preserve">c) </w:t>
            </w:r>
            <w:r w:rsidR="008607B1">
              <w:rPr>
                <w:rFonts w:asciiTheme="majorBidi" w:hAnsiTheme="majorBidi"/>
                <w:szCs w:val="22"/>
              </w:rPr>
              <w:t>Renforcer la communication</w:t>
            </w:r>
            <w:r>
              <w:rPr>
                <w:rFonts w:asciiTheme="majorBidi" w:hAnsiTheme="majorBidi"/>
                <w:szCs w:val="22"/>
              </w:rPr>
              <w:t xml:space="preserve"> </w:t>
            </w:r>
            <w:r>
              <w:rPr>
                <w:rFonts w:asciiTheme="majorBidi" w:hAnsiTheme="majorBidi"/>
                <w:snapToGrid w:val="0"/>
                <w:szCs w:val="22"/>
              </w:rPr>
              <w:t xml:space="preserve">auprès des </w:t>
            </w:r>
            <w:r>
              <w:rPr>
                <w:rFonts w:asciiTheme="majorBidi" w:hAnsiTheme="majorBidi"/>
                <w:szCs w:val="22"/>
              </w:rPr>
              <w:t>communautés de cher</w:t>
            </w:r>
            <w:r w:rsidR="008607B1">
              <w:rPr>
                <w:rFonts w:asciiTheme="majorBidi" w:hAnsiTheme="majorBidi"/>
                <w:szCs w:val="22"/>
              </w:rPr>
              <w:t>cheurs et universitaires et d’</w:t>
            </w:r>
            <w:r>
              <w:rPr>
                <w:rFonts w:asciiTheme="majorBidi" w:hAnsiTheme="majorBidi"/>
                <w:szCs w:val="22"/>
              </w:rPr>
              <w:t>autres instit</w:t>
            </w:r>
            <w:r w:rsidR="008607B1">
              <w:rPr>
                <w:rFonts w:asciiTheme="majorBidi" w:hAnsiTheme="majorBidi"/>
                <w:szCs w:val="22"/>
              </w:rPr>
              <w:t>utions et communautés concernée</w:t>
            </w:r>
            <w:r>
              <w:rPr>
                <w:rFonts w:asciiTheme="majorBidi" w:hAnsiTheme="majorBidi"/>
                <w:szCs w:val="22"/>
              </w:rPr>
              <w:t>s</w:t>
            </w:r>
            <w:r w:rsidR="008607B1">
              <w:rPr>
                <w:rFonts w:asciiTheme="majorBidi" w:hAnsiTheme="majorBidi"/>
                <w:szCs w:val="22"/>
              </w:rPr>
              <w:t>,</w:t>
            </w:r>
            <w:r>
              <w:rPr>
                <w:rFonts w:asciiTheme="majorBidi" w:hAnsiTheme="majorBidi"/>
                <w:szCs w:val="22"/>
              </w:rPr>
              <w:t xml:space="preserve"> afin de les encourager à entreprendre des recherches </w:t>
            </w:r>
            <w:r w:rsidR="008607B1">
              <w:rPr>
                <w:rFonts w:asciiTheme="majorBidi" w:hAnsiTheme="majorBidi"/>
                <w:szCs w:val="22"/>
              </w:rPr>
              <w:t xml:space="preserve">pertinentes et à partager des données, </w:t>
            </w:r>
            <w:r>
              <w:rPr>
                <w:rFonts w:asciiTheme="majorBidi" w:hAnsiTheme="majorBidi"/>
                <w:szCs w:val="22"/>
              </w:rPr>
              <w:t>information</w:t>
            </w:r>
            <w:r w:rsidR="008607B1">
              <w:rPr>
                <w:rFonts w:asciiTheme="majorBidi" w:hAnsiTheme="majorBidi"/>
                <w:szCs w:val="22"/>
              </w:rPr>
              <w:t>s et connaissances pertinentes découlant de leur recherche</w:t>
            </w:r>
          </w:p>
        </w:tc>
        <w:tc>
          <w:tcPr>
            <w:tcW w:w="1984" w:type="dxa"/>
          </w:tcPr>
          <w:p w14:paraId="232104E8"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2770DF" w:rsidRPr="00B76C00" w14:paraId="53B6B2B4" w14:textId="77777777" w:rsidTr="006027D0">
        <w:tc>
          <w:tcPr>
            <w:tcW w:w="2689" w:type="dxa"/>
            <w:vMerge/>
          </w:tcPr>
          <w:p w14:paraId="7A48283F" w14:textId="77777777" w:rsidR="002770DF" w:rsidRPr="00B76C00" w:rsidRDefault="002770DF" w:rsidP="006027D0">
            <w:pPr>
              <w:rPr>
                <w:rFonts w:asciiTheme="majorBidi" w:hAnsiTheme="majorBidi" w:cstheme="majorBidi"/>
                <w:szCs w:val="22"/>
              </w:rPr>
            </w:pPr>
          </w:p>
        </w:tc>
        <w:tc>
          <w:tcPr>
            <w:tcW w:w="4677" w:type="dxa"/>
          </w:tcPr>
          <w:p w14:paraId="3D3CEB74" w14:textId="0D76E71B" w:rsidR="002770DF" w:rsidRPr="00B76C00" w:rsidRDefault="002770DF" w:rsidP="006027D0">
            <w:pPr>
              <w:spacing w:before="60" w:after="60"/>
              <w:jc w:val="left"/>
              <w:rPr>
                <w:rFonts w:asciiTheme="majorBidi" w:hAnsiTheme="majorBidi" w:cstheme="majorBidi"/>
                <w:szCs w:val="22"/>
              </w:rPr>
            </w:pPr>
            <w:r>
              <w:rPr>
                <w:rFonts w:asciiTheme="majorBidi" w:hAnsiTheme="majorBidi"/>
                <w:szCs w:val="22"/>
              </w:rPr>
              <w:t xml:space="preserve">d) Renforcer les capacités nationales de production de connaissances et favoriser la </w:t>
            </w:r>
            <w:r>
              <w:rPr>
                <w:rFonts w:asciiTheme="majorBidi" w:hAnsiTheme="majorBidi"/>
                <w:snapToGrid w:val="0"/>
                <w:szCs w:val="22"/>
              </w:rPr>
              <w:t>collecte</w:t>
            </w:r>
            <w:r>
              <w:rPr>
                <w:rFonts w:asciiTheme="majorBidi" w:hAnsiTheme="majorBidi"/>
                <w:szCs w:val="22"/>
              </w:rPr>
              <w:t xml:space="preserve"> de données, d’information</w:t>
            </w:r>
            <w:r w:rsidR="008607B1">
              <w:rPr>
                <w:rFonts w:asciiTheme="majorBidi" w:hAnsiTheme="majorBidi"/>
                <w:szCs w:val="22"/>
              </w:rPr>
              <w:t>s</w:t>
            </w:r>
            <w:r>
              <w:rPr>
                <w:rFonts w:asciiTheme="majorBidi" w:hAnsiTheme="majorBidi"/>
                <w:szCs w:val="22"/>
              </w:rPr>
              <w:t xml:space="preserve"> et de con</w:t>
            </w:r>
            <w:r w:rsidR="006027D0">
              <w:rPr>
                <w:rFonts w:asciiTheme="majorBidi" w:hAnsiTheme="majorBidi"/>
                <w:szCs w:val="22"/>
              </w:rPr>
              <w:t>naissances par les citoyens</w:t>
            </w:r>
            <w:r>
              <w:rPr>
                <w:rFonts w:asciiTheme="majorBidi" w:hAnsiTheme="majorBidi"/>
                <w:szCs w:val="22"/>
              </w:rPr>
              <w:t xml:space="preserve"> aux niveaux infranational et local</w:t>
            </w:r>
          </w:p>
        </w:tc>
        <w:tc>
          <w:tcPr>
            <w:tcW w:w="1984" w:type="dxa"/>
          </w:tcPr>
          <w:p w14:paraId="652190A3"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2770DF" w:rsidRPr="00B76C00" w14:paraId="35C2B24A" w14:textId="77777777" w:rsidTr="006027D0">
        <w:tc>
          <w:tcPr>
            <w:tcW w:w="2689" w:type="dxa"/>
            <w:vMerge/>
          </w:tcPr>
          <w:p w14:paraId="22F2760A" w14:textId="77777777" w:rsidR="002770DF" w:rsidRPr="00B76C00" w:rsidRDefault="002770DF" w:rsidP="006027D0">
            <w:pPr>
              <w:rPr>
                <w:rFonts w:asciiTheme="majorBidi" w:hAnsiTheme="majorBidi" w:cstheme="majorBidi"/>
                <w:szCs w:val="22"/>
              </w:rPr>
            </w:pPr>
          </w:p>
        </w:tc>
        <w:tc>
          <w:tcPr>
            <w:tcW w:w="4677" w:type="dxa"/>
          </w:tcPr>
          <w:p w14:paraId="4AA71E85" w14:textId="214D1484" w:rsidR="002770DF" w:rsidRPr="00B76C00" w:rsidRDefault="002770DF" w:rsidP="006027D0">
            <w:pPr>
              <w:spacing w:before="60" w:after="60"/>
              <w:jc w:val="left"/>
              <w:rPr>
                <w:rFonts w:asciiTheme="majorBidi" w:hAnsiTheme="majorBidi" w:cstheme="majorBidi"/>
                <w:szCs w:val="22"/>
              </w:rPr>
            </w:pPr>
            <w:r>
              <w:rPr>
                <w:rFonts w:asciiTheme="majorBidi" w:hAnsiTheme="majorBidi"/>
                <w:szCs w:val="22"/>
              </w:rPr>
              <w:t xml:space="preserve">e) Promouvoir l’utilisation des technologies numériques, notamment la télédétection, </w:t>
            </w:r>
            <w:r w:rsidR="006027D0">
              <w:rPr>
                <w:rFonts w:asciiTheme="majorBidi" w:hAnsiTheme="majorBidi"/>
                <w:snapToGrid w:val="0"/>
                <w:szCs w:val="22"/>
              </w:rPr>
              <w:t>afin de</w:t>
            </w:r>
            <w:r w:rsidR="006027D0">
              <w:rPr>
                <w:rFonts w:asciiTheme="majorBidi" w:hAnsiTheme="majorBidi"/>
                <w:szCs w:val="22"/>
              </w:rPr>
              <w:t xml:space="preserve"> recueillir des données et des </w:t>
            </w:r>
            <w:r>
              <w:rPr>
                <w:rFonts w:asciiTheme="majorBidi" w:hAnsiTheme="majorBidi"/>
                <w:szCs w:val="22"/>
              </w:rPr>
              <w:t>information</w:t>
            </w:r>
            <w:r w:rsidR="006027D0">
              <w:rPr>
                <w:rFonts w:asciiTheme="majorBidi" w:hAnsiTheme="majorBidi"/>
                <w:szCs w:val="22"/>
              </w:rPr>
              <w:t>s</w:t>
            </w:r>
          </w:p>
        </w:tc>
        <w:tc>
          <w:tcPr>
            <w:tcW w:w="1984" w:type="dxa"/>
          </w:tcPr>
          <w:p w14:paraId="084AB9B3"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bCs/>
                <w:snapToGrid w:val="0"/>
                <w:szCs w:val="22"/>
              </w:rPr>
              <w:t>Parties, organisations</w:t>
            </w:r>
          </w:p>
        </w:tc>
      </w:tr>
      <w:tr w:rsidR="002770DF" w:rsidRPr="00B76C00" w14:paraId="7718CFA0" w14:textId="77777777" w:rsidTr="006027D0">
        <w:tc>
          <w:tcPr>
            <w:tcW w:w="2689" w:type="dxa"/>
            <w:vMerge/>
            <w:tcBorders>
              <w:bottom w:val="single" w:sz="4" w:space="0" w:color="auto"/>
            </w:tcBorders>
          </w:tcPr>
          <w:p w14:paraId="093E8572" w14:textId="77777777" w:rsidR="002770DF" w:rsidRPr="00B76C00" w:rsidRDefault="002770DF" w:rsidP="006027D0">
            <w:pPr>
              <w:rPr>
                <w:rFonts w:asciiTheme="majorBidi" w:hAnsiTheme="majorBidi" w:cstheme="majorBidi"/>
                <w:szCs w:val="22"/>
              </w:rPr>
            </w:pPr>
          </w:p>
        </w:tc>
        <w:tc>
          <w:tcPr>
            <w:tcW w:w="4677" w:type="dxa"/>
          </w:tcPr>
          <w:p w14:paraId="3E92219C" w14:textId="4C995F9A" w:rsidR="002770DF" w:rsidRPr="00B76C00" w:rsidRDefault="006027D0" w:rsidP="006027D0">
            <w:pPr>
              <w:spacing w:before="60" w:after="60"/>
              <w:jc w:val="left"/>
              <w:rPr>
                <w:rFonts w:asciiTheme="majorBidi" w:hAnsiTheme="majorBidi" w:cstheme="majorBidi"/>
                <w:szCs w:val="22"/>
              </w:rPr>
            </w:pPr>
            <w:r>
              <w:rPr>
                <w:rFonts w:asciiTheme="majorBidi" w:hAnsiTheme="majorBidi"/>
                <w:szCs w:val="22"/>
              </w:rPr>
              <w:t>f) Recenser et recueillir, lorsque cela est autorisé</w:t>
            </w:r>
            <w:r w:rsidR="002770DF">
              <w:rPr>
                <w:rFonts w:asciiTheme="majorBidi" w:hAnsiTheme="majorBidi"/>
                <w:szCs w:val="22"/>
              </w:rPr>
              <w:t xml:space="preserve">, les connaissances traditionnelles des peuples autochtones et des communautés locales, en portant une attention particulière aux connaissances des femmes autochtones, avec </w:t>
            </w:r>
            <w:r w:rsidR="002770DF">
              <w:rPr>
                <w:rFonts w:asciiTheme="majorBidi" w:hAnsiTheme="majorBidi"/>
                <w:snapToGrid w:val="0"/>
                <w:szCs w:val="22"/>
              </w:rPr>
              <w:t>leur</w:t>
            </w:r>
            <w:r w:rsidR="002770DF">
              <w:rPr>
                <w:rFonts w:asciiTheme="majorBidi" w:hAnsiTheme="majorBidi"/>
                <w:szCs w:val="22"/>
              </w:rPr>
              <w:t xml:space="preserve"> consentement préalable, </w:t>
            </w:r>
            <w:r>
              <w:rPr>
                <w:rFonts w:asciiTheme="majorBidi" w:hAnsiTheme="majorBidi"/>
                <w:szCs w:val="22"/>
              </w:rPr>
              <w:t xml:space="preserve">donné </w:t>
            </w:r>
            <w:r w:rsidR="002770DF">
              <w:rPr>
                <w:rFonts w:asciiTheme="majorBidi" w:hAnsiTheme="majorBidi"/>
                <w:szCs w:val="22"/>
              </w:rPr>
              <w:t>libre</w:t>
            </w:r>
            <w:r>
              <w:rPr>
                <w:rFonts w:asciiTheme="majorBidi" w:hAnsiTheme="majorBidi"/>
                <w:szCs w:val="22"/>
              </w:rPr>
              <w:t>ment et en connaissance de cause</w:t>
            </w:r>
            <w:r w:rsidR="002770DF">
              <w:rPr>
                <w:rFonts w:asciiTheme="majorBidi" w:hAnsiTheme="majorBidi"/>
                <w:szCs w:val="22"/>
              </w:rPr>
              <w:t xml:space="preserve">, et </w:t>
            </w:r>
            <w:r>
              <w:rPr>
                <w:rFonts w:asciiTheme="majorBidi" w:hAnsiTheme="majorBidi"/>
                <w:szCs w:val="22"/>
              </w:rPr>
              <w:t>en indiquant clairement</w:t>
            </w:r>
            <w:r w:rsidR="002770DF">
              <w:rPr>
                <w:rFonts w:asciiTheme="majorBidi" w:hAnsiTheme="majorBidi"/>
                <w:szCs w:val="22"/>
              </w:rPr>
              <w:t xml:space="preserve"> la source</w:t>
            </w:r>
          </w:p>
        </w:tc>
        <w:tc>
          <w:tcPr>
            <w:tcW w:w="1984" w:type="dxa"/>
          </w:tcPr>
          <w:p w14:paraId="0720242F"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bCs/>
                <w:snapToGrid w:val="0"/>
                <w:szCs w:val="22"/>
              </w:rPr>
              <w:t xml:space="preserve">Parties, </w:t>
            </w:r>
            <w:r>
              <w:rPr>
                <w:rFonts w:asciiTheme="majorBidi" w:hAnsiTheme="majorBidi"/>
                <w:szCs w:val="22"/>
              </w:rPr>
              <w:t xml:space="preserve">peuples autochtones et </w:t>
            </w:r>
            <w:r>
              <w:rPr>
                <w:rFonts w:asciiTheme="majorBidi" w:hAnsiTheme="majorBidi"/>
                <w:snapToGrid w:val="0"/>
                <w:szCs w:val="22"/>
              </w:rPr>
              <w:t>communautés locales</w:t>
            </w:r>
          </w:p>
        </w:tc>
      </w:tr>
      <w:tr w:rsidR="00E14951" w:rsidRPr="00B76C00" w14:paraId="14348950" w14:textId="77777777" w:rsidTr="006027D0">
        <w:tc>
          <w:tcPr>
            <w:tcW w:w="2689" w:type="dxa"/>
            <w:tcBorders>
              <w:top w:val="single" w:sz="4" w:space="0" w:color="auto"/>
              <w:bottom w:val="single" w:sz="4" w:space="0" w:color="auto"/>
            </w:tcBorders>
          </w:tcPr>
          <w:p w14:paraId="0DE221F1" w14:textId="77777777" w:rsidR="00E14951" w:rsidRPr="00B76C00" w:rsidRDefault="00E14951" w:rsidP="006027D0">
            <w:pPr>
              <w:rPr>
                <w:rFonts w:asciiTheme="majorBidi" w:hAnsiTheme="majorBidi" w:cstheme="majorBidi"/>
                <w:szCs w:val="22"/>
              </w:rPr>
            </w:pPr>
          </w:p>
        </w:tc>
        <w:tc>
          <w:tcPr>
            <w:tcW w:w="4677" w:type="dxa"/>
          </w:tcPr>
          <w:p w14:paraId="373CD4EC" w14:textId="552680E2" w:rsidR="00E14951" w:rsidRPr="00B76C00" w:rsidRDefault="006027D0" w:rsidP="006027D0">
            <w:pPr>
              <w:spacing w:before="60" w:after="60"/>
              <w:jc w:val="left"/>
              <w:rPr>
                <w:rFonts w:asciiTheme="majorBidi" w:hAnsiTheme="majorBidi" w:cstheme="majorBidi"/>
                <w:kern w:val="22"/>
                <w:szCs w:val="22"/>
              </w:rPr>
            </w:pPr>
            <w:r>
              <w:t>g) Créer et convoquer des communautés de pratiques</w:t>
            </w:r>
            <w:r w:rsidR="00E14951">
              <w:t xml:space="preserve"> sur la gestion des connaissances, y compris la production, le stockage, la diffusion et l’application des connaissances</w:t>
            </w:r>
          </w:p>
        </w:tc>
        <w:tc>
          <w:tcPr>
            <w:tcW w:w="1984" w:type="dxa"/>
          </w:tcPr>
          <w:p w14:paraId="33C12851" w14:textId="77777777" w:rsidR="00E14951" w:rsidRPr="00B76C00" w:rsidRDefault="00E14951" w:rsidP="006027D0">
            <w:pPr>
              <w:spacing w:before="60" w:after="60"/>
              <w:jc w:val="left"/>
              <w:rPr>
                <w:rFonts w:asciiTheme="majorBidi" w:eastAsia="MS Mincho" w:hAnsiTheme="majorBidi" w:cstheme="majorBidi"/>
                <w:bCs/>
                <w:noProof/>
                <w:snapToGrid w:val="0"/>
                <w:kern w:val="22"/>
                <w:szCs w:val="22"/>
              </w:rPr>
            </w:pPr>
            <w:r>
              <w:t>Parties</w:t>
            </w:r>
          </w:p>
        </w:tc>
      </w:tr>
      <w:tr w:rsidR="00E14951" w:rsidRPr="00B76C00" w14:paraId="5140E54A" w14:textId="77777777" w:rsidTr="006027D0">
        <w:tc>
          <w:tcPr>
            <w:tcW w:w="2689" w:type="dxa"/>
            <w:tcBorders>
              <w:bottom w:val="nil"/>
            </w:tcBorders>
          </w:tcPr>
          <w:p w14:paraId="3E848C64" w14:textId="77777777" w:rsidR="00E14951" w:rsidRPr="00B76C00" w:rsidRDefault="00E14951" w:rsidP="006027D0">
            <w:pPr>
              <w:tabs>
                <w:tab w:val="left" w:pos="421"/>
              </w:tabs>
              <w:spacing w:before="60" w:after="60"/>
              <w:jc w:val="left"/>
              <w:rPr>
                <w:rFonts w:asciiTheme="majorBidi" w:hAnsiTheme="majorBidi" w:cstheme="majorBidi"/>
                <w:szCs w:val="22"/>
              </w:rPr>
            </w:pPr>
            <w:r>
              <w:rPr>
                <w:rFonts w:asciiTheme="majorBidi" w:hAnsiTheme="majorBidi"/>
                <w:snapToGrid w:val="0"/>
                <w:szCs w:val="22"/>
              </w:rPr>
              <w:t>C.</w:t>
            </w:r>
            <w:r>
              <w:rPr>
                <w:rFonts w:asciiTheme="majorBidi" w:hAnsiTheme="majorBidi"/>
                <w:snapToGrid w:val="0"/>
                <w:szCs w:val="22"/>
              </w:rPr>
              <w:tab/>
              <w:t>Favoriser la découverte et la collecte de connaissances</w:t>
            </w:r>
          </w:p>
        </w:tc>
        <w:tc>
          <w:tcPr>
            <w:tcW w:w="4677" w:type="dxa"/>
          </w:tcPr>
          <w:p w14:paraId="7E0AB95B" w14:textId="2CA4B79C" w:rsidR="00E14951" w:rsidRPr="00B76C00" w:rsidRDefault="00E14951" w:rsidP="006027D0">
            <w:pPr>
              <w:spacing w:before="60" w:after="60"/>
              <w:jc w:val="left"/>
              <w:rPr>
                <w:rFonts w:asciiTheme="majorBidi" w:hAnsiTheme="majorBidi" w:cstheme="majorBidi"/>
                <w:szCs w:val="22"/>
              </w:rPr>
            </w:pPr>
            <w:r>
              <w:rPr>
                <w:rFonts w:asciiTheme="majorBidi" w:hAnsiTheme="majorBidi"/>
                <w:szCs w:val="22"/>
              </w:rPr>
              <w:t>a) Concevoir, améliorer et utilis</w:t>
            </w:r>
            <w:r w:rsidR="00EC13D7">
              <w:rPr>
                <w:rFonts w:asciiTheme="majorBidi" w:hAnsiTheme="majorBidi"/>
                <w:szCs w:val="22"/>
              </w:rPr>
              <w:t>er des outils Web pour trouver</w:t>
            </w:r>
            <w:r>
              <w:rPr>
                <w:rFonts w:asciiTheme="majorBidi" w:hAnsiTheme="majorBidi"/>
                <w:szCs w:val="22"/>
              </w:rPr>
              <w:t xml:space="preserve"> et recueillir des données, de</w:t>
            </w:r>
            <w:r w:rsidR="00EC13D7">
              <w:rPr>
                <w:rFonts w:asciiTheme="majorBidi" w:hAnsiTheme="majorBidi"/>
                <w:szCs w:val="22"/>
              </w:rPr>
              <w:t xml:space="preserve">s </w:t>
            </w:r>
            <w:r>
              <w:rPr>
                <w:rFonts w:asciiTheme="majorBidi" w:hAnsiTheme="majorBidi"/>
                <w:snapToGrid w:val="0"/>
                <w:szCs w:val="22"/>
              </w:rPr>
              <w:t>information</w:t>
            </w:r>
            <w:r w:rsidR="00EC13D7">
              <w:rPr>
                <w:rFonts w:asciiTheme="majorBidi" w:hAnsiTheme="majorBidi"/>
                <w:snapToGrid w:val="0"/>
                <w:szCs w:val="22"/>
              </w:rPr>
              <w:t>s</w:t>
            </w:r>
            <w:r>
              <w:rPr>
                <w:rFonts w:asciiTheme="majorBidi" w:hAnsiTheme="majorBidi"/>
                <w:szCs w:val="22"/>
              </w:rPr>
              <w:t xml:space="preserve"> et des </w:t>
            </w:r>
            <w:r w:rsidR="00EC13D7">
              <w:rPr>
                <w:rFonts w:asciiTheme="majorBidi" w:hAnsiTheme="majorBidi"/>
                <w:szCs w:val="22"/>
              </w:rPr>
              <w:t>connaissances provenant de différentes</w:t>
            </w:r>
            <w:r>
              <w:rPr>
                <w:rFonts w:asciiTheme="majorBidi" w:hAnsiTheme="majorBidi"/>
                <w:szCs w:val="22"/>
              </w:rPr>
              <w:t xml:space="preserve"> sources</w:t>
            </w:r>
          </w:p>
        </w:tc>
        <w:tc>
          <w:tcPr>
            <w:tcW w:w="1984" w:type="dxa"/>
          </w:tcPr>
          <w:p w14:paraId="7C75E0E0"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Secrétariat, organisations</w:t>
            </w:r>
          </w:p>
        </w:tc>
      </w:tr>
      <w:tr w:rsidR="00E14951" w:rsidRPr="00B76C00" w14:paraId="384E6C37" w14:textId="77777777" w:rsidTr="006027D0">
        <w:tc>
          <w:tcPr>
            <w:tcW w:w="2689" w:type="dxa"/>
            <w:tcBorders>
              <w:top w:val="nil"/>
              <w:bottom w:val="nil"/>
            </w:tcBorders>
          </w:tcPr>
          <w:p w14:paraId="41A921B9" w14:textId="77777777" w:rsidR="00E14951" w:rsidRPr="00B76C00" w:rsidRDefault="00E14951" w:rsidP="006027D0">
            <w:pPr>
              <w:jc w:val="left"/>
              <w:rPr>
                <w:rFonts w:asciiTheme="majorBidi" w:hAnsiTheme="majorBidi" w:cstheme="majorBidi"/>
                <w:szCs w:val="22"/>
              </w:rPr>
            </w:pPr>
          </w:p>
        </w:tc>
        <w:tc>
          <w:tcPr>
            <w:tcW w:w="4677" w:type="dxa"/>
          </w:tcPr>
          <w:p w14:paraId="107F87E2" w14:textId="2B1462D4" w:rsidR="00E14951" w:rsidRPr="00B76C00" w:rsidRDefault="00E14951" w:rsidP="006027D0">
            <w:pPr>
              <w:spacing w:before="60" w:after="60"/>
              <w:jc w:val="left"/>
              <w:rPr>
                <w:rFonts w:asciiTheme="majorBidi" w:hAnsiTheme="majorBidi" w:cstheme="majorBidi"/>
                <w:szCs w:val="22"/>
              </w:rPr>
            </w:pPr>
            <w:r>
              <w:rPr>
                <w:rFonts w:asciiTheme="majorBidi" w:hAnsiTheme="majorBidi"/>
                <w:szCs w:val="22"/>
              </w:rPr>
              <w:t>b) Promouvoir l’utilisation d’outils et de technologies pour la dé</w:t>
            </w:r>
            <w:r w:rsidR="00EC13D7">
              <w:rPr>
                <w:rFonts w:asciiTheme="majorBidi" w:hAnsiTheme="majorBidi"/>
                <w:szCs w:val="22"/>
              </w:rPr>
              <w:t>couverte de connaissances, tels que</w:t>
            </w:r>
            <w:r>
              <w:rPr>
                <w:rFonts w:asciiTheme="majorBidi" w:hAnsiTheme="majorBidi"/>
                <w:szCs w:val="22"/>
              </w:rPr>
              <w:t xml:space="preserve"> la prospection de do</w:t>
            </w:r>
            <w:r w:rsidR="00E729F7">
              <w:rPr>
                <w:rFonts w:asciiTheme="majorBidi" w:hAnsiTheme="majorBidi"/>
                <w:szCs w:val="22"/>
              </w:rPr>
              <w:t>nnées et l’apprentissage automat</w:t>
            </w:r>
            <w:r>
              <w:rPr>
                <w:rFonts w:asciiTheme="majorBidi" w:hAnsiTheme="majorBidi"/>
                <w:szCs w:val="22"/>
              </w:rPr>
              <w:t>ique</w:t>
            </w:r>
          </w:p>
        </w:tc>
        <w:tc>
          <w:tcPr>
            <w:tcW w:w="1984" w:type="dxa"/>
          </w:tcPr>
          <w:p w14:paraId="078C9C22"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bCs/>
                <w:snapToGrid w:val="0"/>
                <w:szCs w:val="22"/>
              </w:rPr>
              <w:t>Parties, organisations</w:t>
            </w:r>
          </w:p>
        </w:tc>
      </w:tr>
      <w:tr w:rsidR="00E14951" w:rsidRPr="00B76C00" w14:paraId="6BB80894" w14:textId="77777777" w:rsidTr="002770DF">
        <w:tc>
          <w:tcPr>
            <w:tcW w:w="2689" w:type="dxa"/>
            <w:tcBorders>
              <w:top w:val="nil"/>
              <w:bottom w:val="single" w:sz="4" w:space="0" w:color="auto"/>
            </w:tcBorders>
          </w:tcPr>
          <w:p w14:paraId="339A45BC" w14:textId="77777777" w:rsidR="00E14951" w:rsidRPr="00B76C00" w:rsidRDefault="00E14951" w:rsidP="006027D0">
            <w:pPr>
              <w:jc w:val="left"/>
              <w:rPr>
                <w:rFonts w:asciiTheme="majorBidi" w:hAnsiTheme="majorBidi" w:cstheme="majorBidi"/>
                <w:szCs w:val="22"/>
              </w:rPr>
            </w:pPr>
          </w:p>
        </w:tc>
        <w:tc>
          <w:tcPr>
            <w:tcW w:w="4677" w:type="dxa"/>
            <w:tcBorders>
              <w:bottom w:val="single" w:sz="4" w:space="0" w:color="auto"/>
            </w:tcBorders>
          </w:tcPr>
          <w:p w14:paraId="40720946" w14:textId="760ED7B2" w:rsidR="00E14951" w:rsidRPr="00B76C00" w:rsidRDefault="00EC13D7" w:rsidP="006027D0">
            <w:pPr>
              <w:spacing w:before="60" w:after="60"/>
              <w:jc w:val="left"/>
              <w:rPr>
                <w:rFonts w:asciiTheme="majorBidi" w:hAnsiTheme="majorBidi" w:cstheme="majorBidi"/>
                <w:szCs w:val="22"/>
              </w:rPr>
            </w:pPr>
            <w:r>
              <w:rPr>
                <w:rFonts w:asciiTheme="majorBidi" w:hAnsiTheme="majorBidi"/>
                <w:szCs w:val="22"/>
              </w:rPr>
              <w:t>c) Assurer la participation d</w:t>
            </w:r>
            <w:r w:rsidR="00E14951">
              <w:rPr>
                <w:rFonts w:asciiTheme="majorBidi" w:hAnsiTheme="majorBidi"/>
                <w:szCs w:val="22"/>
              </w:rPr>
              <w:t xml:space="preserve">es parties prenantes concernées, </w:t>
            </w:r>
            <w:r w:rsidR="00E14951">
              <w:rPr>
                <w:rFonts w:asciiTheme="majorBidi" w:hAnsiTheme="majorBidi"/>
                <w:snapToGrid w:val="0"/>
                <w:szCs w:val="22"/>
              </w:rPr>
              <w:t>y compris</w:t>
            </w:r>
            <w:r>
              <w:rPr>
                <w:rFonts w:asciiTheme="majorBidi" w:hAnsiTheme="majorBidi"/>
                <w:szCs w:val="22"/>
              </w:rPr>
              <w:t xml:space="preserve"> des créate</w:t>
            </w:r>
            <w:r w:rsidR="00E729F7">
              <w:rPr>
                <w:rFonts w:asciiTheme="majorBidi" w:hAnsiTheme="majorBidi"/>
                <w:szCs w:val="22"/>
              </w:rPr>
              <w:t>urs de connaissances,</w:t>
            </w:r>
            <w:r>
              <w:rPr>
                <w:rFonts w:asciiTheme="majorBidi" w:hAnsiTheme="majorBidi"/>
                <w:szCs w:val="22"/>
              </w:rPr>
              <w:t xml:space="preserve"> des </w:t>
            </w:r>
            <w:r w:rsidR="00E729F7">
              <w:rPr>
                <w:rFonts w:asciiTheme="majorBidi" w:hAnsiTheme="majorBidi"/>
                <w:szCs w:val="22"/>
              </w:rPr>
              <w:t>intermédiaires</w:t>
            </w:r>
            <w:r>
              <w:rPr>
                <w:rFonts w:asciiTheme="majorBidi" w:hAnsiTheme="majorBidi"/>
                <w:szCs w:val="22"/>
              </w:rPr>
              <w:t xml:space="preserve"> et des </w:t>
            </w:r>
            <w:r w:rsidR="00E14951">
              <w:rPr>
                <w:rFonts w:asciiTheme="majorBidi" w:hAnsiTheme="majorBidi"/>
                <w:szCs w:val="22"/>
              </w:rPr>
              <w:t>citoyens, à la création et à la collecte des connaissances</w:t>
            </w:r>
          </w:p>
        </w:tc>
        <w:tc>
          <w:tcPr>
            <w:tcW w:w="1984" w:type="dxa"/>
          </w:tcPr>
          <w:p w14:paraId="71DAA34F"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 organisations</w:t>
            </w:r>
          </w:p>
        </w:tc>
      </w:tr>
      <w:tr w:rsidR="00E14951" w:rsidRPr="00B76C00" w14:paraId="0F3A47FC" w14:textId="77777777" w:rsidTr="006027D0">
        <w:tc>
          <w:tcPr>
            <w:tcW w:w="2689" w:type="dxa"/>
            <w:tcBorders>
              <w:bottom w:val="nil"/>
            </w:tcBorders>
          </w:tcPr>
          <w:p w14:paraId="0E2E11C6" w14:textId="5A1F0240" w:rsidR="00E14951" w:rsidRPr="00B76C00" w:rsidRDefault="00E14951" w:rsidP="006027D0">
            <w:pPr>
              <w:tabs>
                <w:tab w:val="left" w:pos="353"/>
              </w:tabs>
              <w:spacing w:before="60" w:after="60"/>
              <w:jc w:val="left"/>
              <w:rPr>
                <w:rFonts w:asciiTheme="majorBidi" w:hAnsiTheme="majorBidi" w:cstheme="majorBidi"/>
                <w:szCs w:val="22"/>
              </w:rPr>
            </w:pPr>
            <w:r>
              <w:rPr>
                <w:rFonts w:asciiTheme="majorBidi" w:hAnsiTheme="majorBidi"/>
                <w:bCs/>
                <w:snapToGrid w:val="0"/>
                <w:szCs w:val="22"/>
              </w:rPr>
              <w:t>D.</w:t>
            </w:r>
            <w:r>
              <w:rPr>
                <w:rFonts w:asciiTheme="majorBidi" w:hAnsiTheme="majorBidi"/>
                <w:bCs/>
                <w:snapToGrid w:val="0"/>
                <w:szCs w:val="22"/>
              </w:rPr>
              <w:tab/>
              <w:t>Amélior</w:t>
            </w:r>
            <w:r w:rsidR="00E729F7">
              <w:rPr>
                <w:rFonts w:asciiTheme="majorBidi" w:hAnsiTheme="majorBidi"/>
                <w:bCs/>
                <w:snapToGrid w:val="0"/>
                <w:szCs w:val="22"/>
              </w:rPr>
              <w:t>er l’organisation et le partage</w:t>
            </w:r>
            <w:r>
              <w:rPr>
                <w:rFonts w:asciiTheme="majorBidi" w:hAnsiTheme="majorBidi"/>
                <w:bCs/>
                <w:snapToGrid w:val="0"/>
                <w:szCs w:val="22"/>
              </w:rPr>
              <w:t xml:space="preserve"> des connaissances</w:t>
            </w:r>
          </w:p>
        </w:tc>
        <w:tc>
          <w:tcPr>
            <w:tcW w:w="4677" w:type="dxa"/>
          </w:tcPr>
          <w:p w14:paraId="186CA416" w14:textId="04C14D6C" w:rsidR="00E14951" w:rsidRPr="00B76C00" w:rsidRDefault="00E14951" w:rsidP="006027D0">
            <w:pPr>
              <w:spacing w:before="60" w:after="60"/>
              <w:jc w:val="left"/>
              <w:rPr>
                <w:rFonts w:asciiTheme="majorBidi" w:hAnsiTheme="majorBidi" w:cstheme="majorBidi"/>
                <w:szCs w:val="22"/>
              </w:rPr>
            </w:pPr>
            <w:r>
              <w:rPr>
                <w:rFonts w:asciiTheme="majorBidi" w:hAnsiTheme="majorBidi"/>
                <w:szCs w:val="22"/>
              </w:rPr>
              <w:t>a</w:t>
            </w:r>
            <w:r w:rsidR="00E729F7">
              <w:rPr>
                <w:rFonts w:asciiTheme="majorBidi" w:hAnsiTheme="majorBidi"/>
                <w:szCs w:val="22"/>
              </w:rPr>
              <w:t>) Examiner les métadonnées et améliorer</w:t>
            </w:r>
            <w:r>
              <w:rPr>
                <w:rFonts w:asciiTheme="majorBidi" w:hAnsiTheme="majorBidi"/>
                <w:szCs w:val="22"/>
              </w:rPr>
              <w:t xml:space="preserve"> le marquage et la cartographie des objets de </w:t>
            </w:r>
            <w:r>
              <w:rPr>
                <w:rFonts w:asciiTheme="majorBidi" w:hAnsiTheme="majorBidi"/>
                <w:snapToGrid w:val="0"/>
                <w:szCs w:val="22"/>
              </w:rPr>
              <w:t>connaissance</w:t>
            </w:r>
            <w:r w:rsidR="00E729F7">
              <w:rPr>
                <w:rFonts w:asciiTheme="majorBidi" w:hAnsiTheme="majorBidi"/>
                <w:szCs w:val="22"/>
              </w:rPr>
              <w:t xml:space="preserve"> provenant de différente</w:t>
            </w:r>
            <w:r>
              <w:rPr>
                <w:rFonts w:asciiTheme="majorBidi" w:hAnsiTheme="majorBidi"/>
                <w:szCs w:val="22"/>
              </w:rPr>
              <w:t>s sources pour</w:t>
            </w:r>
            <w:r w:rsidR="00E729F7">
              <w:rPr>
                <w:rFonts w:asciiTheme="majorBidi" w:hAnsiTheme="majorBidi"/>
                <w:bCs/>
                <w:snapToGrid w:val="0"/>
                <w:szCs w:val="22"/>
              </w:rPr>
              <w:t xml:space="preserve"> accroître</w:t>
            </w:r>
            <w:r w:rsidR="00AD31D9">
              <w:rPr>
                <w:rFonts w:asciiTheme="majorBidi" w:hAnsiTheme="majorBidi"/>
                <w:bCs/>
                <w:snapToGrid w:val="0"/>
                <w:szCs w:val="22"/>
              </w:rPr>
              <w:t xml:space="preserve"> leur facilité de recherche</w:t>
            </w:r>
          </w:p>
        </w:tc>
        <w:tc>
          <w:tcPr>
            <w:tcW w:w="1984" w:type="dxa"/>
          </w:tcPr>
          <w:p w14:paraId="1ADF9A97"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 organisations</w:t>
            </w:r>
          </w:p>
        </w:tc>
      </w:tr>
      <w:tr w:rsidR="00E14951" w:rsidRPr="00B76C00" w14:paraId="00266F5D" w14:textId="77777777" w:rsidTr="006027D0">
        <w:tc>
          <w:tcPr>
            <w:tcW w:w="2689" w:type="dxa"/>
            <w:tcBorders>
              <w:top w:val="nil"/>
              <w:bottom w:val="nil"/>
            </w:tcBorders>
          </w:tcPr>
          <w:p w14:paraId="49E839B5" w14:textId="77777777" w:rsidR="00E14951" w:rsidRPr="00B76C00" w:rsidRDefault="00E14951" w:rsidP="006027D0">
            <w:pPr>
              <w:rPr>
                <w:rFonts w:asciiTheme="majorBidi" w:hAnsiTheme="majorBidi" w:cstheme="majorBidi"/>
                <w:szCs w:val="22"/>
              </w:rPr>
            </w:pPr>
          </w:p>
        </w:tc>
        <w:tc>
          <w:tcPr>
            <w:tcW w:w="4677" w:type="dxa"/>
          </w:tcPr>
          <w:p w14:paraId="6CFAA034" w14:textId="5F3AB858" w:rsidR="00E14951" w:rsidRPr="00B76C00" w:rsidRDefault="00AD31D9" w:rsidP="006027D0">
            <w:pPr>
              <w:spacing w:before="60" w:after="60"/>
              <w:jc w:val="left"/>
              <w:rPr>
                <w:rFonts w:asciiTheme="majorBidi" w:hAnsiTheme="majorBidi" w:cstheme="majorBidi"/>
                <w:szCs w:val="22"/>
              </w:rPr>
            </w:pPr>
            <w:r>
              <w:rPr>
                <w:rFonts w:asciiTheme="majorBidi" w:hAnsiTheme="majorBidi"/>
                <w:szCs w:val="22"/>
              </w:rPr>
              <w:t xml:space="preserve">b) </w:t>
            </w:r>
            <w:r>
              <w:rPr>
                <w:szCs w:val="22"/>
              </w:rPr>
              <w:t>É</w:t>
            </w:r>
            <w:r>
              <w:rPr>
                <w:rFonts w:asciiTheme="majorBidi" w:hAnsiTheme="majorBidi"/>
                <w:szCs w:val="22"/>
              </w:rPr>
              <w:t>laborer</w:t>
            </w:r>
            <w:r w:rsidR="00E729F7">
              <w:rPr>
                <w:rFonts w:asciiTheme="majorBidi" w:hAnsiTheme="majorBidi"/>
                <w:szCs w:val="22"/>
              </w:rPr>
              <w:t xml:space="preserve"> et favorise</w:t>
            </w:r>
            <w:r w:rsidR="00E14951">
              <w:rPr>
                <w:rFonts w:asciiTheme="majorBidi" w:hAnsiTheme="majorBidi"/>
                <w:szCs w:val="22"/>
              </w:rPr>
              <w:t xml:space="preserve">r des normes et </w:t>
            </w:r>
            <w:r w:rsidR="00E729F7">
              <w:rPr>
                <w:rFonts w:asciiTheme="majorBidi" w:hAnsiTheme="majorBidi"/>
                <w:szCs w:val="22"/>
              </w:rPr>
              <w:t xml:space="preserve">des </w:t>
            </w:r>
            <w:r w:rsidR="00E14951">
              <w:rPr>
                <w:rFonts w:asciiTheme="majorBidi" w:hAnsiTheme="majorBidi"/>
                <w:szCs w:val="22"/>
              </w:rPr>
              <w:t>proto</w:t>
            </w:r>
            <w:r w:rsidR="00E729F7">
              <w:rPr>
                <w:rFonts w:asciiTheme="majorBidi" w:hAnsiTheme="majorBidi"/>
                <w:szCs w:val="22"/>
              </w:rPr>
              <w:t>coles relatifs au partage de données, d’</w:t>
            </w:r>
            <w:r w:rsidR="00E14951">
              <w:rPr>
                <w:rFonts w:asciiTheme="majorBidi" w:hAnsiTheme="majorBidi"/>
                <w:snapToGrid w:val="0"/>
                <w:szCs w:val="22"/>
              </w:rPr>
              <w:t>information</w:t>
            </w:r>
            <w:r w:rsidR="00E729F7">
              <w:rPr>
                <w:rFonts w:asciiTheme="majorBidi" w:hAnsiTheme="majorBidi"/>
                <w:snapToGrid w:val="0"/>
                <w:szCs w:val="22"/>
              </w:rPr>
              <w:t>s</w:t>
            </w:r>
            <w:r w:rsidR="00E729F7">
              <w:rPr>
                <w:rFonts w:asciiTheme="majorBidi" w:hAnsiTheme="majorBidi"/>
                <w:szCs w:val="22"/>
              </w:rPr>
              <w:t xml:space="preserve"> et </w:t>
            </w:r>
            <w:r w:rsidR="00E14951">
              <w:rPr>
                <w:rFonts w:asciiTheme="majorBidi" w:hAnsiTheme="majorBidi"/>
                <w:szCs w:val="22"/>
              </w:rPr>
              <w:t>de connaissances</w:t>
            </w:r>
            <w:r w:rsidR="00E729F7">
              <w:rPr>
                <w:rFonts w:asciiTheme="majorBidi" w:hAnsiTheme="majorBidi"/>
                <w:szCs w:val="22"/>
              </w:rPr>
              <w:t>,</w:t>
            </w:r>
            <w:r w:rsidR="00E14951">
              <w:rPr>
                <w:rFonts w:asciiTheme="majorBidi" w:hAnsiTheme="majorBidi"/>
                <w:szCs w:val="22"/>
              </w:rPr>
              <w:t xml:space="preserve"> afin de garantir que les données soient de bonne qualité, compatibles et interopérables entre les divers systèmes, outils et plateformes d</w:t>
            </w:r>
            <w:r w:rsidR="007E2E8E">
              <w:rPr>
                <w:rFonts w:asciiTheme="majorBidi" w:hAnsiTheme="majorBidi"/>
                <w:szCs w:val="22"/>
              </w:rPr>
              <w:t>’</w:t>
            </w:r>
            <w:r w:rsidR="00E14951">
              <w:rPr>
                <w:rFonts w:asciiTheme="majorBidi" w:hAnsiTheme="majorBidi"/>
                <w:szCs w:val="22"/>
              </w:rPr>
              <w:t>information sur la biodiversité</w:t>
            </w:r>
            <w:r w:rsidR="00E14951">
              <w:rPr>
                <w:rFonts w:asciiTheme="majorBidi" w:hAnsiTheme="majorBidi"/>
                <w:i/>
                <w:iCs/>
                <w:szCs w:val="22"/>
                <w:vertAlign w:val="superscript"/>
              </w:rPr>
              <w:t>b</w:t>
            </w:r>
          </w:p>
        </w:tc>
        <w:tc>
          <w:tcPr>
            <w:tcW w:w="1984" w:type="dxa"/>
          </w:tcPr>
          <w:p w14:paraId="65E0E7B8"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 organisations</w:t>
            </w:r>
          </w:p>
        </w:tc>
      </w:tr>
      <w:tr w:rsidR="00E14951" w:rsidRPr="00B76C00" w14:paraId="12FB0D58" w14:textId="77777777" w:rsidTr="006027D0">
        <w:tc>
          <w:tcPr>
            <w:tcW w:w="2689" w:type="dxa"/>
            <w:tcBorders>
              <w:top w:val="nil"/>
              <w:bottom w:val="nil"/>
            </w:tcBorders>
          </w:tcPr>
          <w:p w14:paraId="5D8AFD61" w14:textId="77777777" w:rsidR="00E14951" w:rsidRPr="00B76C00" w:rsidRDefault="00E14951" w:rsidP="006027D0">
            <w:pPr>
              <w:rPr>
                <w:rFonts w:asciiTheme="majorBidi" w:hAnsiTheme="majorBidi" w:cstheme="majorBidi"/>
                <w:szCs w:val="22"/>
              </w:rPr>
            </w:pPr>
          </w:p>
        </w:tc>
        <w:tc>
          <w:tcPr>
            <w:tcW w:w="4677" w:type="dxa"/>
          </w:tcPr>
          <w:p w14:paraId="38274DBA" w14:textId="6ABEFAFB"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c) Améliorer l’</w:t>
            </w:r>
            <w:r>
              <w:rPr>
                <w:rFonts w:asciiTheme="majorBidi" w:hAnsiTheme="majorBidi"/>
                <w:szCs w:val="22"/>
              </w:rPr>
              <w:t xml:space="preserve">harmonisation et </w:t>
            </w:r>
            <w:r>
              <w:rPr>
                <w:rFonts w:asciiTheme="majorBidi" w:hAnsiTheme="majorBidi"/>
                <w:snapToGrid w:val="0"/>
                <w:szCs w:val="22"/>
              </w:rPr>
              <w:t>l’interopérabilité des données entre les systèmes de données, d’information</w:t>
            </w:r>
            <w:r w:rsidR="00AD31D9">
              <w:rPr>
                <w:rFonts w:asciiTheme="majorBidi" w:hAnsiTheme="majorBidi"/>
                <w:snapToGrid w:val="0"/>
                <w:szCs w:val="22"/>
              </w:rPr>
              <w:t>s</w:t>
            </w:r>
            <w:r>
              <w:rPr>
                <w:rFonts w:asciiTheme="majorBidi" w:hAnsiTheme="majorBidi"/>
                <w:snapToGrid w:val="0"/>
                <w:szCs w:val="22"/>
              </w:rPr>
              <w:t xml:space="preserve"> et de connaissances relatives à la biodiversité</w:t>
            </w:r>
          </w:p>
        </w:tc>
        <w:tc>
          <w:tcPr>
            <w:tcW w:w="1984" w:type="dxa"/>
          </w:tcPr>
          <w:p w14:paraId="56DDB87A"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Secrétariat, Parties, organisations</w:t>
            </w:r>
          </w:p>
        </w:tc>
      </w:tr>
      <w:tr w:rsidR="00E14951" w:rsidRPr="00B76C00" w14:paraId="6C5867A2" w14:textId="77777777" w:rsidTr="002770DF">
        <w:tc>
          <w:tcPr>
            <w:tcW w:w="2689" w:type="dxa"/>
            <w:tcBorders>
              <w:top w:val="nil"/>
              <w:bottom w:val="single" w:sz="4" w:space="0" w:color="auto"/>
            </w:tcBorders>
          </w:tcPr>
          <w:p w14:paraId="443BA776" w14:textId="77777777" w:rsidR="00E14951" w:rsidRPr="00B76C00" w:rsidRDefault="00E14951" w:rsidP="006027D0">
            <w:pPr>
              <w:rPr>
                <w:rFonts w:asciiTheme="majorBidi" w:hAnsiTheme="majorBidi" w:cstheme="majorBidi"/>
                <w:szCs w:val="22"/>
              </w:rPr>
            </w:pPr>
          </w:p>
        </w:tc>
        <w:tc>
          <w:tcPr>
            <w:tcW w:w="4677" w:type="dxa"/>
            <w:tcBorders>
              <w:bottom w:val="single" w:sz="4" w:space="0" w:color="auto"/>
            </w:tcBorders>
          </w:tcPr>
          <w:p w14:paraId="3F942013" w14:textId="03F6140D" w:rsidR="00E14951" w:rsidRPr="00B76C00" w:rsidRDefault="00E14951" w:rsidP="006027D0">
            <w:pPr>
              <w:spacing w:before="60" w:after="60"/>
              <w:jc w:val="left"/>
              <w:rPr>
                <w:rFonts w:asciiTheme="majorBidi" w:hAnsiTheme="majorBidi" w:cstheme="majorBidi"/>
                <w:szCs w:val="22"/>
              </w:rPr>
            </w:pPr>
            <w:r>
              <w:rPr>
                <w:rFonts w:asciiTheme="majorBidi" w:hAnsiTheme="majorBidi"/>
                <w:szCs w:val="22"/>
              </w:rPr>
              <w:t xml:space="preserve">d) Renforcer la capacité des </w:t>
            </w:r>
            <w:r>
              <w:rPr>
                <w:rFonts w:asciiTheme="majorBidi" w:hAnsiTheme="majorBidi"/>
                <w:snapToGrid w:val="0"/>
                <w:szCs w:val="22"/>
              </w:rPr>
              <w:t>gouvernements</w:t>
            </w:r>
            <w:r>
              <w:rPr>
                <w:rFonts w:asciiTheme="majorBidi" w:hAnsiTheme="majorBidi"/>
                <w:szCs w:val="22"/>
              </w:rPr>
              <w:t xml:space="preserve"> à gérer et </w:t>
            </w:r>
            <w:r w:rsidR="00AD31D9">
              <w:rPr>
                <w:rFonts w:asciiTheme="majorBidi" w:hAnsiTheme="majorBidi"/>
                <w:szCs w:val="22"/>
              </w:rPr>
              <w:t xml:space="preserve">à </w:t>
            </w:r>
            <w:r>
              <w:rPr>
                <w:rFonts w:asciiTheme="majorBidi" w:hAnsiTheme="majorBidi"/>
                <w:szCs w:val="22"/>
              </w:rPr>
              <w:t>parta</w:t>
            </w:r>
            <w:r w:rsidR="00AD31D9">
              <w:rPr>
                <w:rFonts w:asciiTheme="majorBidi" w:hAnsiTheme="majorBidi"/>
                <w:szCs w:val="22"/>
              </w:rPr>
              <w:t xml:space="preserve">ger efficacement les données, les </w:t>
            </w:r>
            <w:r>
              <w:rPr>
                <w:rFonts w:asciiTheme="majorBidi" w:hAnsiTheme="majorBidi"/>
                <w:szCs w:val="22"/>
              </w:rPr>
              <w:t>information</w:t>
            </w:r>
            <w:r w:rsidR="00AD31D9">
              <w:rPr>
                <w:rFonts w:asciiTheme="majorBidi" w:hAnsiTheme="majorBidi"/>
                <w:szCs w:val="22"/>
              </w:rPr>
              <w:t>s</w:t>
            </w:r>
            <w:r>
              <w:rPr>
                <w:rFonts w:asciiTheme="majorBidi" w:hAnsiTheme="majorBidi"/>
                <w:szCs w:val="22"/>
              </w:rPr>
              <w:t xml:space="preserve"> et les conn</w:t>
            </w:r>
            <w:r w:rsidR="00AD31D9">
              <w:rPr>
                <w:rFonts w:asciiTheme="majorBidi" w:hAnsiTheme="majorBidi"/>
                <w:szCs w:val="22"/>
              </w:rPr>
              <w:t xml:space="preserve">aissances entre les </w:t>
            </w:r>
            <w:r>
              <w:rPr>
                <w:rFonts w:asciiTheme="majorBidi" w:hAnsiTheme="majorBidi"/>
                <w:szCs w:val="22"/>
              </w:rPr>
              <w:t>conventions</w:t>
            </w:r>
            <w:r w:rsidR="007576CF" w:rsidRPr="001A4635">
              <w:rPr>
                <w:rFonts w:asciiTheme="majorBidi" w:hAnsiTheme="majorBidi" w:cstheme="majorBidi"/>
                <w:i/>
                <w:iCs/>
                <w:kern w:val="22"/>
                <w:szCs w:val="22"/>
                <w:vertAlign w:val="superscript"/>
              </w:rPr>
              <w:t>c</w:t>
            </w:r>
          </w:p>
        </w:tc>
        <w:tc>
          <w:tcPr>
            <w:tcW w:w="1984" w:type="dxa"/>
          </w:tcPr>
          <w:p w14:paraId="309F5A4F"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2770DF" w:rsidRPr="00B76C00" w14:paraId="49A8503C" w14:textId="77777777" w:rsidTr="002770DF">
        <w:tc>
          <w:tcPr>
            <w:tcW w:w="2689" w:type="dxa"/>
            <w:vMerge w:val="restart"/>
            <w:tcBorders>
              <w:top w:val="single" w:sz="4" w:space="0" w:color="auto"/>
            </w:tcBorders>
          </w:tcPr>
          <w:p w14:paraId="168C9103" w14:textId="77777777" w:rsidR="002770DF" w:rsidRPr="00B76C00" w:rsidRDefault="002770DF" w:rsidP="006027D0">
            <w:pPr>
              <w:rPr>
                <w:rFonts w:asciiTheme="majorBidi" w:hAnsiTheme="majorBidi" w:cstheme="majorBidi"/>
                <w:szCs w:val="22"/>
              </w:rPr>
            </w:pPr>
          </w:p>
        </w:tc>
        <w:tc>
          <w:tcPr>
            <w:tcW w:w="4677" w:type="dxa"/>
            <w:tcBorders>
              <w:top w:val="single" w:sz="4" w:space="0" w:color="auto"/>
            </w:tcBorders>
          </w:tcPr>
          <w:p w14:paraId="29A3EDF1" w14:textId="1ECB280E"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e) Promouvoir une cultu</w:t>
            </w:r>
            <w:r w:rsidR="00AD31D9">
              <w:rPr>
                <w:rFonts w:asciiTheme="majorBidi" w:hAnsiTheme="majorBidi"/>
                <w:snapToGrid w:val="0"/>
                <w:szCs w:val="22"/>
              </w:rPr>
              <w:t xml:space="preserve">re de partage des données, des </w:t>
            </w:r>
            <w:r>
              <w:rPr>
                <w:rFonts w:asciiTheme="majorBidi" w:hAnsiTheme="majorBidi"/>
                <w:snapToGrid w:val="0"/>
                <w:szCs w:val="22"/>
              </w:rPr>
              <w:t>information</w:t>
            </w:r>
            <w:r w:rsidR="00AD31D9">
              <w:rPr>
                <w:rFonts w:asciiTheme="majorBidi" w:hAnsiTheme="majorBidi"/>
                <w:snapToGrid w:val="0"/>
                <w:szCs w:val="22"/>
              </w:rPr>
              <w:t>s</w:t>
            </w:r>
            <w:r>
              <w:rPr>
                <w:rFonts w:asciiTheme="majorBidi" w:hAnsiTheme="majorBidi"/>
                <w:snapToGrid w:val="0"/>
                <w:szCs w:val="22"/>
              </w:rPr>
              <w:t xml:space="preserve"> et des connaissances et de leur application</w:t>
            </w:r>
          </w:p>
        </w:tc>
        <w:tc>
          <w:tcPr>
            <w:tcW w:w="1984" w:type="dxa"/>
          </w:tcPr>
          <w:p w14:paraId="10EC05D4"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2770DF" w:rsidRPr="00B76C00" w14:paraId="5146F73B" w14:textId="77777777" w:rsidTr="006027D0">
        <w:tc>
          <w:tcPr>
            <w:tcW w:w="2689" w:type="dxa"/>
            <w:vMerge/>
          </w:tcPr>
          <w:p w14:paraId="591AECCE" w14:textId="77777777" w:rsidR="002770DF" w:rsidRPr="00B76C00" w:rsidRDefault="002770DF" w:rsidP="006027D0">
            <w:pPr>
              <w:rPr>
                <w:rFonts w:asciiTheme="majorBidi" w:hAnsiTheme="majorBidi" w:cstheme="majorBidi"/>
                <w:szCs w:val="22"/>
              </w:rPr>
            </w:pPr>
          </w:p>
        </w:tc>
        <w:tc>
          <w:tcPr>
            <w:tcW w:w="4677" w:type="dxa"/>
          </w:tcPr>
          <w:p w14:paraId="0B95B7EE" w14:textId="7E188B92" w:rsidR="002770DF" w:rsidRPr="00B76C00" w:rsidRDefault="002770DF" w:rsidP="006027D0">
            <w:pPr>
              <w:spacing w:before="60" w:after="60"/>
              <w:jc w:val="left"/>
              <w:rPr>
                <w:rFonts w:asciiTheme="majorBidi" w:hAnsiTheme="majorBidi" w:cstheme="majorBidi"/>
                <w:szCs w:val="22"/>
              </w:rPr>
            </w:pPr>
            <w:r>
              <w:rPr>
                <w:rFonts w:asciiTheme="majorBidi" w:hAnsiTheme="majorBidi"/>
                <w:szCs w:val="22"/>
              </w:rPr>
              <w:t>f) Élaborer, présenter et</w:t>
            </w:r>
            <w:r w:rsidR="00AD31D9">
              <w:rPr>
                <w:rFonts w:asciiTheme="majorBidi" w:hAnsiTheme="majorBidi"/>
                <w:szCs w:val="22"/>
              </w:rPr>
              <w:t xml:space="preserve"> diffuser des produits de</w:t>
            </w:r>
            <w:r w:rsidR="00914D31">
              <w:rPr>
                <w:rFonts w:asciiTheme="majorBidi" w:hAnsiTheme="majorBidi"/>
                <w:szCs w:val="22"/>
              </w:rPr>
              <w:t xml:space="preserve"> la connaissance</w:t>
            </w:r>
            <w:r>
              <w:rPr>
                <w:rFonts w:asciiTheme="majorBidi" w:hAnsiTheme="majorBidi"/>
                <w:szCs w:val="22"/>
              </w:rPr>
              <w:t xml:space="preserve"> sur mesure, </w:t>
            </w:r>
            <w:r>
              <w:rPr>
                <w:rFonts w:asciiTheme="majorBidi" w:hAnsiTheme="majorBidi"/>
                <w:snapToGrid w:val="0"/>
                <w:szCs w:val="22"/>
              </w:rPr>
              <w:t>notamment</w:t>
            </w:r>
            <w:r>
              <w:rPr>
                <w:rFonts w:asciiTheme="majorBidi" w:hAnsiTheme="majorBidi"/>
                <w:szCs w:val="22"/>
              </w:rPr>
              <w:t xml:space="preserve"> lors d’ateliers, de webinaires et de foires du savoir</w:t>
            </w:r>
          </w:p>
        </w:tc>
        <w:tc>
          <w:tcPr>
            <w:tcW w:w="1984" w:type="dxa"/>
          </w:tcPr>
          <w:p w14:paraId="09BDCBFA"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Secrétariat, Parties, peuples autochtones et communautés locales, organisations</w:t>
            </w:r>
          </w:p>
        </w:tc>
      </w:tr>
      <w:tr w:rsidR="002770DF" w:rsidRPr="00B76C00" w14:paraId="4372D461" w14:textId="77777777" w:rsidTr="006027D0">
        <w:tc>
          <w:tcPr>
            <w:tcW w:w="2689" w:type="dxa"/>
            <w:vMerge/>
          </w:tcPr>
          <w:p w14:paraId="2A87823A" w14:textId="77777777" w:rsidR="002770DF" w:rsidRPr="00B76C00" w:rsidRDefault="002770DF" w:rsidP="006027D0">
            <w:pPr>
              <w:rPr>
                <w:rFonts w:asciiTheme="majorBidi" w:hAnsiTheme="majorBidi" w:cstheme="majorBidi"/>
                <w:szCs w:val="22"/>
              </w:rPr>
            </w:pPr>
          </w:p>
        </w:tc>
        <w:tc>
          <w:tcPr>
            <w:tcW w:w="4677" w:type="dxa"/>
          </w:tcPr>
          <w:p w14:paraId="2B9BC536" w14:textId="1BD5D4C1" w:rsidR="002770DF" w:rsidRPr="00B76C00" w:rsidRDefault="00A44717" w:rsidP="00A44717">
            <w:pPr>
              <w:spacing w:before="60" w:after="60"/>
              <w:jc w:val="left"/>
              <w:rPr>
                <w:rFonts w:asciiTheme="majorBidi" w:hAnsiTheme="majorBidi" w:cstheme="majorBidi"/>
                <w:kern w:val="22"/>
                <w:szCs w:val="22"/>
              </w:rPr>
            </w:pPr>
            <w:r>
              <w:rPr>
                <w:rFonts w:asciiTheme="majorBidi" w:hAnsiTheme="majorBidi"/>
              </w:rPr>
              <w:t>g) Veiller à assurer le respect de la l</w:t>
            </w:r>
            <w:r>
              <w:rPr>
                <w:rFonts w:asciiTheme="majorBidi" w:hAnsiTheme="majorBidi"/>
              </w:rPr>
              <w:t xml:space="preserve">égislation en vigueur sur l’accès et le partage des avantages </w:t>
            </w:r>
            <w:r>
              <w:rPr>
                <w:rFonts w:asciiTheme="majorBidi" w:hAnsiTheme="majorBidi"/>
              </w:rPr>
              <w:t>par l</w:t>
            </w:r>
            <w:r w:rsidR="002770DF">
              <w:rPr>
                <w:rFonts w:asciiTheme="majorBidi" w:hAnsiTheme="majorBidi"/>
              </w:rPr>
              <w:t xml:space="preserve">es utilisateurs de données </w:t>
            </w:r>
            <w:r>
              <w:rPr>
                <w:rFonts w:asciiTheme="majorBidi" w:hAnsiTheme="majorBidi"/>
              </w:rPr>
              <w:t xml:space="preserve">et les bases de données en ce qui concerne </w:t>
            </w:r>
            <w:r w:rsidR="002770DF">
              <w:rPr>
                <w:rFonts w:asciiTheme="majorBidi" w:hAnsiTheme="majorBidi"/>
              </w:rPr>
              <w:t>l’accès aux connaissances traditionnelles</w:t>
            </w:r>
            <w:r>
              <w:rPr>
                <w:rFonts w:asciiTheme="majorBidi" w:hAnsiTheme="majorBidi"/>
              </w:rPr>
              <w:t>, afin d’empêcher l’</w:t>
            </w:r>
            <w:r w:rsidR="002770DF">
              <w:rPr>
                <w:rFonts w:asciiTheme="majorBidi" w:hAnsiTheme="majorBidi"/>
              </w:rPr>
              <w:t>utilisation indue et l’appropriation illicite des connaissances traditionnelles</w:t>
            </w:r>
          </w:p>
        </w:tc>
        <w:tc>
          <w:tcPr>
            <w:tcW w:w="1984" w:type="dxa"/>
          </w:tcPr>
          <w:p w14:paraId="11E96FCD" w14:textId="77777777" w:rsidR="002770DF" w:rsidRPr="00B76C00" w:rsidRDefault="002770DF" w:rsidP="006027D0">
            <w:pPr>
              <w:spacing w:before="60" w:after="60"/>
              <w:jc w:val="left"/>
              <w:rPr>
                <w:rFonts w:asciiTheme="majorBidi" w:eastAsia="MS Mincho" w:hAnsiTheme="majorBidi" w:cstheme="majorBidi"/>
                <w:bCs/>
                <w:noProof/>
                <w:snapToGrid w:val="0"/>
                <w:kern w:val="22"/>
                <w:szCs w:val="22"/>
              </w:rPr>
            </w:pPr>
            <w:r>
              <w:rPr>
                <w:rFonts w:asciiTheme="majorBidi" w:hAnsiTheme="majorBidi"/>
                <w:snapToGrid w:val="0"/>
                <w:szCs w:val="22"/>
              </w:rPr>
              <w:t>Parties, peuples autochtones et communautés locales, organisations</w:t>
            </w:r>
          </w:p>
        </w:tc>
      </w:tr>
      <w:tr w:rsidR="002770DF" w:rsidRPr="00B76C00" w14:paraId="636693C4" w14:textId="77777777" w:rsidTr="006027D0">
        <w:tc>
          <w:tcPr>
            <w:tcW w:w="2689" w:type="dxa"/>
            <w:vMerge/>
          </w:tcPr>
          <w:p w14:paraId="274A5CF7" w14:textId="77777777" w:rsidR="002770DF" w:rsidRPr="00B76C00" w:rsidRDefault="002770DF" w:rsidP="006027D0">
            <w:pPr>
              <w:rPr>
                <w:rFonts w:asciiTheme="majorBidi" w:hAnsiTheme="majorBidi" w:cstheme="majorBidi"/>
                <w:szCs w:val="22"/>
              </w:rPr>
            </w:pPr>
          </w:p>
        </w:tc>
        <w:tc>
          <w:tcPr>
            <w:tcW w:w="4677" w:type="dxa"/>
          </w:tcPr>
          <w:p w14:paraId="6ADD2D65" w14:textId="3B886AAD" w:rsidR="002770DF" w:rsidRPr="0096679C" w:rsidRDefault="002770DF" w:rsidP="006027D0">
            <w:pPr>
              <w:spacing w:before="60" w:after="60"/>
              <w:jc w:val="left"/>
              <w:rPr>
                <w:rFonts w:asciiTheme="majorBidi" w:hAnsiTheme="majorBidi" w:cstheme="majorBidi"/>
                <w:kern w:val="22"/>
                <w:szCs w:val="22"/>
              </w:rPr>
            </w:pPr>
            <w:r>
              <w:rPr>
                <w:rFonts w:asciiTheme="majorBidi" w:hAnsiTheme="majorBidi"/>
                <w:szCs w:val="22"/>
              </w:rPr>
              <w:t>h) Concevoir un répertoire ou portail nati</w:t>
            </w:r>
            <w:r w:rsidR="00A44717">
              <w:rPr>
                <w:rFonts w:asciiTheme="majorBidi" w:hAnsiTheme="majorBidi"/>
                <w:szCs w:val="22"/>
              </w:rPr>
              <w:t xml:space="preserve">onal unique pour les données, </w:t>
            </w:r>
            <w:r>
              <w:rPr>
                <w:rFonts w:asciiTheme="majorBidi" w:hAnsiTheme="majorBidi"/>
                <w:szCs w:val="22"/>
              </w:rPr>
              <w:t>information</w:t>
            </w:r>
            <w:r w:rsidR="00A44717">
              <w:rPr>
                <w:rFonts w:asciiTheme="majorBidi" w:hAnsiTheme="majorBidi"/>
                <w:szCs w:val="22"/>
              </w:rPr>
              <w:t>s et</w:t>
            </w:r>
            <w:r>
              <w:rPr>
                <w:rFonts w:asciiTheme="majorBidi" w:hAnsiTheme="majorBidi"/>
                <w:szCs w:val="22"/>
              </w:rPr>
              <w:t xml:space="preserve"> connaissances relatives à la biodiversité</w:t>
            </w:r>
            <w:r w:rsidR="00A44717">
              <w:rPr>
                <w:rFonts w:asciiTheme="majorBidi" w:hAnsiTheme="majorBidi"/>
                <w:szCs w:val="22"/>
              </w:rPr>
              <w:t>,</w:t>
            </w:r>
            <w:r>
              <w:rPr>
                <w:rFonts w:asciiTheme="majorBidi" w:hAnsiTheme="majorBidi"/>
                <w:szCs w:val="22"/>
              </w:rPr>
              <w:t xml:space="preserve"> afin de favoriser l’accès à celles-ci et leur utilisation dans le cadre du centre d’échange national ou en lien avec celui-ci</w:t>
            </w:r>
          </w:p>
        </w:tc>
        <w:tc>
          <w:tcPr>
            <w:tcW w:w="1984" w:type="dxa"/>
          </w:tcPr>
          <w:p w14:paraId="42236856" w14:textId="77777777" w:rsidR="002770DF" w:rsidRPr="00B76C00" w:rsidRDefault="002770DF" w:rsidP="006027D0">
            <w:pPr>
              <w:spacing w:before="60" w:after="60"/>
              <w:jc w:val="left"/>
              <w:rPr>
                <w:rFonts w:asciiTheme="majorBidi" w:eastAsia="MS Mincho" w:hAnsiTheme="majorBidi" w:cstheme="majorBidi"/>
                <w:bCs/>
                <w:noProof/>
                <w:snapToGrid w:val="0"/>
                <w:kern w:val="22"/>
                <w:szCs w:val="22"/>
              </w:rPr>
            </w:pPr>
            <w:r>
              <w:rPr>
                <w:bCs/>
                <w:snapToGrid w:val="0"/>
                <w:szCs w:val="22"/>
              </w:rPr>
              <w:t>Parties</w:t>
            </w:r>
          </w:p>
        </w:tc>
      </w:tr>
      <w:tr w:rsidR="002770DF" w:rsidRPr="00B76C00" w14:paraId="3EDA2C09" w14:textId="77777777" w:rsidTr="006027D0">
        <w:tc>
          <w:tcPr>
            <w:tcW w:w="2689" w:type="dxa"/>
            <w:vMerge w:val="restart"/>
          </w:tcPr>
          <w:p w14:paraId="713FAEF3" w14:textId="1989A9DE" w:rsidR="002770DF" w:rsidRPr="00B76C00" w:rsidRDefault="002770DF" w:rsidP="006027D0">
            <w:pPr>
              <w:tabs>
                <w:tab w:val="left" w:pos="299"/>
              </w:tabs>
              <w:spacing w:before="60" w:after="60"/>
              <w:jc w:val="left"/>
              <w:rPr>
                <w:rFonts w:asciiTheme="majorBidi" w:hAnsiTheme="majorBidi" w:cstheme="majorBidi"/>
                <w:szCs w:val="22"/>
              </w:rPr>
            </w:pPr>
            <w:r>
              <w:rPr>
                <w:rFonts w:asciiTheme="majorBidi" w:hAnsiTheme="majorBidi"/>
                <w:bCs/>
                <w:snapToGrid w:val="0"/>
                <w:szCs w:val="22"/>
              </w:rPr>
              <w:t>E.</w:t>
            </w:r>
            <w:r>
              <w:rPr>
                <w:rFonts w:asciiTheme="majorBidi" w:hAnsiTheme="majorBidi"/>
                <w:bCs/>
                <w:snapToGrid w:val="0"/>
                <w:szCs w:val="22"/>
              </w:rPr>
              <w:tab/>
              <w:t>Promouvoir l’adoption</w:t>
            </w:r>
            <w:r w:rsidR="00A44717">
              <w:rPr>
                <w:rFonts w:asciiTheme="majorBidi" w:hAnsiTheme="majorBidi"/>
                <w:bCs/>
                <w:snapToGrid w:val="0"/>
                <w:szCs w:val="22"/>
              </w:rPr>
              <w:t>, et l’utilisation et l’</w:t>
            </w:r>
            <w:r>
              <w:rPr>
                <w:rFonts w:asciiTheme="majorBidi" w:hAnsiTheme="majorBidi"/>
                <w:bCs/>
                <w:snapToGrid w:val="0"/>
                <w:szCs w:val="22"/>
              </w:rPr>
              <w:t>application efficaces des connaissances</w:t>
            </w:r>
          </w:p>
        </w:tc>
        <w:tc>
          <w:tcPr>
            <w:tcW w:w="4677" w:type="dxa"/>
          </w:tcPr>
          <w:p w14:paraId="33279DEF" w14:textId="569F77EA"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 xml:space="preserve">a) Élaborer et mettre en place des stratégies visant à améliorer l’adoption, l’utilisation et </w:t>
            </w:r>
            <w:r w:rsidR="00A44717">
              <w:rPr>
                <w:rFonts w:asciiTheme="majorBidi" w:hAnsiTheme="majorBidi"/>
                <w:snapToGrid w:val="0"/>
                <w:szCs w:val="22"/>
              </w:rPr>
              <w:t xml:space="preserve">l’application des données, </w:t>
            </w:r>
            <w:r>
              <w:rPr>
                <w:rFonts w:asciiTheme="majorBidi" w:hAnsiTheme="majorBidi"/>
                <w:snapToGrid w:val="0"/>
                <w:szCs w:val="22"/>
              </w:rPr>
              <w:t>information</w:t>
            </w:r>
            <w:r w:rsidR="00A44717">
              <w:rPr>
                <w:rFonts w:asciiTheme="majorBidi" w:hAnsiTheme="majorBidi"/>
                <w:snapToGrid w:val="0"/>
                <w:szCs w:val="22"/>
              </w:rPr>
              <w:t xml:space="preserve">s et </w:t>
            </w:r>
            <w:r>
              <w:rPr>
                <w:rFonts w:asciiTheme="majorBidi" w:hAnsiTheme="majorBidi"/>
                <w:snapToGrid w:val="0"/>
                <w:szCs w:val="22"/>
              </w:rPr>
              <w:t xml:space="preserve">connaissances existantes </w:t>
            </w:r>
            <w:r>
              <w:rPr>
                <w:rFonts w:asciiTheme="majorBidi" w:hAnsiTheme="majorBidi"/>
                <w:szCs w:val="22"/>
              </w:rPr>
              <w:t>relatives</w:t>
            </w:r>
            <w:r>
              <w:rPr>
                <w:rFonts w:asciiTheme="majorBidi" w:hAnsiTheme="majorBidi"/>
                <w:snapToGrid w:val="0"/>
                <w:szCs w:val="22"/>
              </w:rPr>
              <w:t xml:space="preserve"> à la biodiversité,</w:t>
            </w:r>
            <w:r w:rsidR="00A44717">
              <w:rPr>
                <w:rFonts w:asciiTheme="majorBidi" w:hAnsiTheme="majorBidi"/>
                <w:snapToGrid w:val="0"/>
                <w:szCs w:val="22"/>
              </w:rPr>
              <w:t xml:space="preserve"> afin d’étayer les programmes, les</w:t>
            </w:r>
            <w:r>
              <w:rPr>
                <w:rFonts w:asciiTheme="majorBidi" w:hAnsiTheme="majorBidi"/>
                <w:snapToGrid w:val="0"/>
                <w:szCs w:val="22"/>
              </w:rPr>
              <w:t xml:space="preserve"> politiques</w:t>
            </w:r>
            <w:r w:rsidR="00A44717">
              <w:rPr>
                <w:rFonts w:asciiTheme="majorBidi" w:hAnsiTheme="majorBidi"/>
                <w:snapToGrid w:val="0"/>
                <w:szCs w:val="22"/>
              </w:rPr>
              <w:t xml:space="preserve"> générales</w:t>
            </w:r>
            <w:r>
              <w:rPr>
                <w:rFonts w:asciiTheme="majorBidi" w:hAnsiTheme="majorBidi"/>
                <w:snapToGrid w:val="0"/>
                <w:szCs w:val="22"/>
              </w:rPr>
              <w:t xml:space="preserve"> et la prise de décisions en matière de biodiversité</w:t>
            </w:r>
          </w:p>
        </w:tc>
        <w:tc>
          <w:tcPr>
            <w:tcW w:w="1984" w:type="dxa"/>
          </w:tcPr>
          <w:p w14:paraId="11E2A4D5"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2770DF" w:rsidRPr="00B76C00" w14:paraId="30A161EA" w14:textId="77777777" w:rsidTr="006027D0">
        <w:tc>
          <w:tcPr>
            <w:tcW w:w="2689" w:type="dxa"/>
            <w:vMerge/>
          </w:tcPr>
          <w:p w14:paraId="52D83900" w14:textId="77777777" w:rsidR="002770DF" w:rsidRPr="00B76C00" w:rsidRDefault="002770DF" w:rsidP="006027D0">
            <w:pPr>
              <w:rPr>
                <w:rFonts w:asciiTheme="majorBidi" w:hAnsiTheme="majorBidi" w:cstheme="majorBidi"/>
                <w:szCs w:val="22"/>
              </w:rPr>
            </w:pPr>
          </w:p>
        </w:tc>
        <w:tc>
          <w:tcPr>
            <w:tcW w:w="4677" w:type="dxa"/>
          </w:tcPr>
          <w:p w14:paraId="4C0F85C6" w14:textId="270A436C"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b) Promouvoir et faciliter le partage, la reproduction, l’augmentation de l’échelle d’utilisation, l’adaptation et la sy</w:t>
            </w:r>
            <w:r w:rsidR="00A44717">
              <w:rPr>
                <w:rFonts w:asciiTheme="majorBidi" w:hAnsiTheme="majorBidi"/>
                <w:snapToGrid w:val="0"/>
                <w:szCs w:val="22"/>
              </w:rPr>
              <w:t xml:space="preserve">stématisation des données, des </w:t>
            </w:r>
            <w:r>
              <w:rPr>
                <w:rFonts w:asciiTheme="majorBidi" w:hAnsiTheme="majorBidi"/>
                <w:snapToGrid w:val="0"/>
                <w:szCs w:val="22"/>
              </w:rPr>
              <w:t>information</w:t>
            </w:r>
            <w:r w:rsidR="00A44717">
              <w:rPr>
                <w:rFonts w:asciiTheme="majorBidi" w:hAnsiTheme="majorBidi"/>
                <w:snapToGrid w:val="0"/>
                <w:szCs w:val="22"/>
              </w:rPr>
              <w:t>s</w:t>
            </w:r>
            <w:r>
              <w:rPr>
                <w:rFonts w:asciiTheme="majorBidi" w:hAnsiTheme="majorBidi"/>
                <w:snapToGrid w:val="0"/>
                <w:szCs w:val="22"/>
              </w:rPr>
              <w:t xml:space="preserve"> et des connaissances, notamment à l’aide de la documentation de</w:t>
            </w:r>
            <w:r w:rsidR="00A44717">
              <w:rPr>
                <w:rFonts w:asciiTheme="majorBidi" w:hAnsiTheme="majorBidi"/>
                <w:snapToGrid w:val="0"/>
                <w:szCs w:val="22"/>
              </w:rPr>
              <w:t>s bonnes pratiques et des enseignements tirés, en vue</w:t>
            </w:r>
            <w:r>
              <w:rPr>
                <w:rFonts w:asciiTheme="majorBidi" w:hAnsiTheme="majorBidi"/>
                <w:snapToGrid w:val="0"/>
                <w:szCs w:val="22"/>
              </w:rPr>
              <w:t xml:space="preserve"> d’améliorer les processus et les pratiques</w:t>
            </w:r>
          </w:p>
        </w:tc>
        <w:tc>
          <w:tcPr>
            <w:tcW w:w="1984" w:type="dxa"/>
          </w:tcPr>
          <w:p w14:paraId="0A8BCF6E"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bCs/>
                <w:snapToGrid w:val="0"/>
                <w:szCs w:val="22"/>
              </w:rPr>
              <w:t>Parties, organisations</w:t>
            </w:r>
          </w:p>
        </w:tc>
      </w:tr>
      <w:tr w:rsidR="002770DF" w:rsidRPr="00B76C00" w14:paraId="1A4AD88E" w14:textId="77777777" w:rsidTr="006027D0">
        <w:tc>
          <w:tcPr>
            <w:tcW w:w="2689" w:type="dxa"/>
            <w:vMerge/>
            <w:tcBorders>
              <w:bottom w:val="nil"/>
            </w:tcBorders>
          </w:tcPr>
          <w:p w14:paraId="3A361544" w14:textId="77777777" w:rsidR="002770DF" w:rsidRPr="00B76C00" w:rsidRDefault="002770DF" w:rsidP="006027D0">
            <w:pPr>
              <w:rPr>
                <w:rFonts w:asciiTheme="majorBidi" w:hAnsiTheme="majorBidi" w:cstheme="majorBidi"/>
                <w:szCs w:val="22"/>
              </w:rPr>
            </w:pPr>
          </w:p>
        </w:tc>
        <w:tc>
          <w:tcPr>
            <w:tcW w:w="4677" w:type="dxa"/>
          </w:tcPr>
          <w:p w14:paraId="47DAA194"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 xml:space="preserve">c) Créer </w:t>
            </w:r>
            <w:r w:rsidRPr="007E2E8E">
              <w:t>et utiliser</w:t>
            </w:r>
            <w:r>
              <w:rPr>
                <w:rFonts w:asciiTheme="majorBidi" w:hAnsiTheme="majorBidi"/>
                <w:snapToGrid w:val="0"/>
                <w:szCs w:val="22"/>
              </w:rPr>
              <w:t xml:space="preserve"> des mécanismes permettant de favoriser les interactions et le dialogue entre les responsables politiques, les décideurs et la communauté de chercheurs, les praticiens, les peuples autochtones et les communautés locales</w:t>
            </w:r>
          </w:p>
        </w:tc>
        <w:tc>
          <w:tcPr>
            <w:tcW w:w="1984" w:type="dxa"/>
          </w:tcPr>
          <w:p w14:paraId="2975765F"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bCs/>
                <w:snapToGrid w:val="0"/>
                <w:szCs w:val="22"/>
              </w:rPr>
              <w:t xml:space="preserve">Parties, </w:t>
            </w:r>
            <w:r>
              <w:rPr>
                <w:rFonts w:asciiTheme="majorBidi" w:hAnsiTheme="majorBidi"/>
                <w:szCs w:val="22"/>
              </w:rPr>
              <w:t xml:space="preserve">peuples autochtones et </w:t>
            </w:r>
            <w:r>
              <w:rPr>
                <w:rFonts w:asciiTheme="majorBidi" w:hAnsiTheme="majorBidi"/>
                <w:snapToGrid w:val="0"/>
                <w:szCs w:val="22"/>
              </w:rPr>
              <w:t>communautés locales</w:t>
            </w:r>
          </w:p>
        </w:tc>
      </w:tr>
      <w:tr w:rsidR="00E14951" w:rsidRPr="00B76C00" w14:paraId="4CFDE447" w14:textId="77777777" w:rsidTr="002770DF">
        <w:tc>
          <w:tcPr>
            <w:tcW w:w="2689" w:type="dxa"/>
            <w:tcBorders>
              <w:top w:val="nil"/>
              <w:bottom w:val="single" w:sz="4" w:space="0" w:color="auto"/>
            </w:tcBorders>
          </w:tcPr>
          <w:p w14:paraId="44628259" w14:textId="77777777" w:rsidR="00E14951" w:rsidRPr="00B76C00" w:rsidRDefault="00E14951" w:rsidP="006027D0">
            <w:pPr>
              <w:rPr>
                <w:rFonts w:asciiTheme="majorBidi" w:hAnsiTheme="majorBidi" w:cstheme="majorBidi"/>
                <w:szCs w:val="22"/>
              </w:rPr>
            </w:pPr>
          </w:p>
        </w:tc>
        <w:tc>
          <w:tcPr>
            <w:tcW w:w="4677" w:type="dxa"/>
          </w:tcPr>
          <w:p w14:paraId="122F641B" w14:textId="687CC61B" w:rsidR="00E14951" w:rsidRPr="00B76C00" w:rsidRDefault="00E75405" w:rsidP="006027D0">
            <w:pPr>
              <w:spacing w:before="60" w:after="60"/>
              <w:jc w:val="left"/>
              <w:rPr>
                <w:rFonts w:asciiTheme="majorBidi" w:hAnsiTheme="majorBidi" w:cstheme="majorBidi"/>
                <w:szCs w:val="22"/>
              </w:rPr>
            </w:pPr>
            <w:r>
              <w:rPr>
                <w:rFonts w:asciiTheme="majorBidi" w:hAnsiTheme="majorBidi"/>
                <w:snapToGrid w:val="0"/>
                <w:szCs w:val="22"/>
              </w:rPr>
              <w:t xml:space="preserve">d) </w:t>
            </w:r>
            <w:r w:rsidR="00914D31">
              <w:rPr>
                <w:rFonts w:asciiTheme="majorBidi" w:hAnsiTheme="majorBidi"/>
                <w:snapToGrid w:val="0"/>
                <w:szCs w:val="22"/>
              </w:rPr>
              <w:t>Créer des connection</w:t>
            </w:r>
            <w:r w:rsidR="00E14951">
              <w:rPr>
                <w:rFonts w:asciiTheme="majorBidi" w:hAnsiTheme="majorBidi"/>
                <w:snapToGrid w:val="0"/>
                <w:szCs w:val="22"/>
              </w:rPr>
              <w:t xml:space="preserve">s entre les réseaux scientifiques et les experts en communication afin de permettre la transformation des résultats de </w:t>
            </w:r>
            <w:r>
              <w:rPr>
                <w:rFonts w:asciiTheme="majorBidi" w:hAnsiTheme="majorBidi"/>
                <w:snapToGrid w:val="0"/>
                <w:szCs w:val="22"/>
              </w:rPr>
              <w:t>la recherche</w:t>
            </w:r>
            <w:r w:rsidR="00E14951">
              <w:rPr>
                <w:rFonts w:asciiTheme="majorBidi" w:hAnsiTheme="majorBidi"/>
                <w:snapToGrid w:val="0"/>
                <w:szCs w:val="22"/>
              </w:rPr>
              <w:t xml:space="preserve"> </w:t>
            </w:r>
            <w:r>
              <w:rPr>
                <w:rFonts w:asciiTheme="majorBidi" w:hAnsiTheme="majorBidi"/>
                <w:snapToGrid w:val="0"/>
                <w:szCs w:val="22"/>
              </w:rPr>
              <w:t>scientifique</w:t>
            </w:r>
            <w:r w:rsidR="00914D31">
              <w:rPr>
                <w:rFonts w:asciiTheme="majorBidi" w:hAnsiTheme="majorBidi"/>
                <w:snapToGrid w:val="0"/>
                <w:szCs w:val="22"/>
              </w:rPr>
              <w:t xml:space="preserve"> en produits de la connaissance</w:t>
            </w:r>
          </w:p>
        </w:tc>
        <w:tc>
          <w:tcPr>
            <w:tcW w:w="1984" w:type="dxa"/>
          </w:tcPr>
          <w:p w14:paraId="3F201622"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E14951" w:rsidRPr="00B76C00" w14:paraId="40035A1B" w14:textId="77777777" w:rsidTr="002770DF">
        <w:tc>
          <w:tcPr>
            <w:tcW w:w="2689" w:type="dxa"/>
            <w:tcBorders>
              <w:bottom w:val="single" w:sz="4" w:space="0" w:color="auto"/>
            </w:tcBorders>
          </w:tcPr>
          <w:p w14:paraId="432B4E09" w14:textId="75708EB4" w:rsidR="00E14951" w:rsidRPr="00B76C00" w:rsidRDefault="00E14951" w:rsidP="006027D0">
            <w:pPr>
              <w:tabs>
                <w:tab w:val="left" w:pos="285"/>
              </w:tabs>
              <w:spacing w:before="60" w:after="60"/>
              <w:jc w:val="left"/>
              <w:rPr>
                <w:rFonts w:asciiTheme="majorBidi" w:hAnsiTheme="majorBidi" w:cstheme="majorBidi"/>
                <w:szCs w:val="22"/>
              </w:rPr>
            </w:pPr>
            <w:r>
              <w:rPr>
                <w:rFonts w:asciiTheme="majorBidi" w:hAnsiTheme="majorBidi"/>
                <w:bCs/>
                <w:snapToGrid w:val="0"/>
                <w:szCs w:val="22"/>
              </w:rPr>
              <w:lastRenderedPageBreak/>
              <w:t>F.</w:t>
            </w:r>
            <w:r>
              <w:rPr>
                <w:rFonts w:asciiTheme="majorBidi" w:hAnsiTheme="majorBidi"/>
                <w:bCs/>
                <w:snapToGrid w:val="0"/>
                <w:szCs w:val="22"/>
              </w:rPr>
              <w:tab/>
              <w:t xml:space="preserve">Procéder à des audits et </w:t>
            </w:r>
            <w:r w:rsidR="00E75405">
              <w:rPr>
                <w:rFonts w:asciiTheme="majorBidi" w:hAnsiTheme="majorBidi"/>
                <w:bCs/>
                <w:snapToGrid w:val="0"/>
                <w:szCs w:val="22"/>
              </w:rPr>
              <w:t xml:space="preserve">des </w:t>
            </w:r>
            <w:r>
              <w:rPr>
                <w:rFonts w:asciiTheme="majorBidi" w:hAnsiTheme="majorBidi"/>
                <w:bCs/>
                <w:snapToGrid w:val="0"/>
                <w:szCs w:val="22"/>
              </w:rPr>
              <w:t>examens des connaissances</w:t>
            </w:r>
          </w:p>
        </w:tc>
        <w:tc>
          <w:tcPr>
            <w:tcW w:w="4677" w:type="dxa"/>
          </w:tcPr>
          <w:p w14:paraId="6F5D8BBA" w14:textId="092E8239"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a) Entreprendre des études périodiques pour évaluer, entre autres, les types d’information et de connaissances les plus fréquemment demandées, la facilit</w:t>
            </w:r>
            <w:r w:rsidR="001C31CF">
              <w:rPr>
                <w:rFonts w:asciiTheme="majorBidi" w:hAnsiTheme="majorBidi"/>
                <w:snapToGrid w:val="0"/>
                <w:szCs w:val="22"/>
              </w:rPr>
              <w:t>é d’accès aux informations demandé</w:t>
            </w:r>
            <w:r>
              <w:rPr>
                <w:rFonts w:asciiTheme="majorBidi" w:hAnsiTheme="majorBidi"/>
                <w:snapToGrid w:val="0"/>
                <w:szCs w:val="22"/>
              </w:rPr>
              <w:t>e</w:t>
            </w:r>
            <w:r w:rsidR="001C31CF">
              <w:rPr>
                <w:rFonts w:asciiTheme="majorBidi" w:hAnsiTheme="majorBidi"/>
                <w:snapToGrid w:val="0"/>
                <w:szCs w:val="22"/>
              </w:rPr>
              <w:t>s, les lacunes subsis</w:t>
            </w:r>
            <w:r>
              <w:rPr>
                <w:rFonts w:asciiTheme="majorBidi" w:hAnsiTheme="majorBidi"/>
                <w:snapToGrid w:val="0"/>
                <w:szCs w:val="22"/>
              </w:rPr>
              <w:t>tantes dans les connaissances, le niveau de partage des connaissances et les canaux privilégiés</w:t>
            </w:r>
          </w:p>
        </w:tc>
        <w:tc>
          <w:tcPr>
            <w:tcW w:w="1984" w:type="dxa"/>
          </w:tcPr>
          <w:p w14:paraId="72C66451"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E14951" w:rsidRPr="00B76C00" w14:paraId="74AB98F4" w14:textId="77777777" w:rsidTr="002770DF">
        <w:tc>
          <w:tcPr>
            <w:tcW w:w="2689" w:type="dxa"/>
            <w:tcBorders>
              <w:top w:val="single" w:sz="4" w:space="0" w:color="auto"/>
              <w:bottom w:val="nil"/>
            </w:tcBorders>
          </w:tcPr>
          <w:p w14:paraId="5BA4A030" w14:textId="77777777" w:rsidR="00E14951" w:rsidRPr="00B76C00" w:rsidRDefault="00E14951" w:rsidP="006027D0">
            <w:pPr>
              <w:rPr>
                <w:rFonts w:asciiTheme="majorBidi" w:hAnsiTheme="majorBidi" w:cstheme="majorBidi"/>
                <w:szCs w:val="22"/>
              </w:rPr>
            </w:pPr>
          </w:p>
        </w:tc>
        <w:tc>
          <w:tcPr>
            <w:tcW w:w="4677" w:type="dxa"/>
          </w:tcPr>
          <w:p w14:paraId="55A23E3B" w14:textId="728D8541"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b) Analyser les principales lacunes d</w:t>
            </w:r>
            <w:r w:rsidR="001C31CF">
              <w:rPr>
                <w:rFonts w:asciiTheme="majorBidi" w:hAnsiTheme="majorBidi"/>
                <w:snapToGrid w:val="0"/>
                <w:szCs w:val="22"/>
              </w:rPr>
              <w:t>ans les connaissances et recenser des options pour les combler</w:t>
            </w:r>
          </w:p>
        </w:tc>
        <w:tc>
          <w:tcPr>
            <w:tcW w:w="1984" w:type="dxa"/>
          </w:tcPr>
          <w:p w14:paraId="4C3A53BF"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 peuples autochtones et communautés locales</w:t>
            </w:r>
          </w:p>
        </w:tc>
      </w:tr>
      <w:tr w:rsidR="00E14951" w:rsidRPr="00B76C00" w14:paraId="6D812304" w14:textId="77777777" w:rsidTr="006027D0">
        <w:tc>
          <w:tcPr>
            <w:tcW w:w="2689" w:type="dxa"/>
            <w:tcBorders>
              <w:top w:val="nil"/>
            </w:tcBorders>
          </w:tcPr>
          <w:p w14:paraId="7617CF49" w14:textId="77777777" w:rsidR="00E14951" w:rsidRPr="00B76C00" w:rsidRDefault="00E14951" w:rsidP="006027D0">
            <w:pPr>
              <w:rPr>
                <w:rFonts w:asciiTheme="majorBidi" w:hAnsiTheme="majorBidi" w:cstheme="majorBidi"/>
                <w:szCs w:val="22"/>
              </w:rPr>
            </w:pPr>
          </w:p>
        </w:tc>
        <w:tc>
          <w:tcPr>
            <w:tcW w:w="4677" w:type="dxa"/>
          </w:tcPr>
          <w:p w14:paraId="0A780D19" w14:textId="01883500" w:rsidR="00E14951" w:rsidRPr="00B76C00" w:rsidRDefault="001C31CF" w:rsidP="006027D0">
            <w:pPr>
              <w:spacing w:before="60" w:after="60"/>
              <w:jc w:val="left"/>
              <w:rPr>
                <w:rFonts w:asciiTheme="majorBidi" w:hAnsiTheme="majorBidi" w:cstheme="majorBidi"/>
                <w:szCs w:val="22"/>
              </w:rPr>
            </w:pPr>
            <w:r>
              <w:rPr>
                <w:rFonts w:asciiTheme="majorBidi" w:hAnsiTheme="majorBidi"/>
                <w:snapToGrid w:val="0"/>
                <w:szCs w:val="22"/>
              </w:rPr>
              <w:t>c) Effectuer</w:t>
            </w:r>
            <w:r w:rsidR="00E14951">
              <w:rPr>
                <w:rFonts w:asciiTheme="majorBidi" w:hAnsiTheme="majorBidi"/>
                <w:snapToGrid w:val="0"/>
                <w:szCs w:val="22"/>
              </w:rPr>
              <w:t xml:space="preserve"> un examen exhaustif de la stratégie </w:t>
            </w:r>
            <w:r w:rsidR="00E14951">
              <w:rPr>
                <w:rFonts w:asciiTheme="majorBidi" w:hAnsiTheme="majorBidi"/>
                <w:szCs w:val="22"/>
              </w:rPr>
              <w:t xml:space="preserve">de gestion </w:t>
            </w:r>
            <w:r w:rsidR="00E14951">
              <w:rPr>
                <w:rFonts w:asciiTheme="majorBidi" w:hAnsiTheme="majorBidi"/>
                <w:snapToGrid w:val="0"/>
                <w:szCs w:val="22"/>
              </w:rPr>
              <w:t>des connaissances</w:t>
            </w:r>
          </w:p>
        </w:tc>
        <w:tc>
          <w:tcPr>
            <w:tcW w:w="1984" w:type="dxa"/>
          </w:tcPr>
          <w:p w14:paraId="3A9B2903"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E14951" w:rsidRPr="00B76C00" w14:paraId="4DE3D376" w14:textId="77777777" w:rsidTr="006027D0">
        <w:tc>
          <w:tcPr>
            <w:tcW w:w="2689" w:type="dxa"/>
            <w:tcBorders>
              <w:bottom w:val="nil"/>
            </w:tcBorders>
          </w:tcPr>
          <w:p w14:paraId="0E2942DF" w14:textId="6CA51C0C" w:rsidR="00E14951" w:rsidRPr="00B76C00" w:rsidRDefault="001C31CF" w:rsidP="006027D0">
            <w:pPr>
              <w:tabs>
                <w:tab w:val="left" w:pos="299"/>
              </w:tabs>
              <w:spacing w:before="60" w:after="60"/>
              <w:jc w:val="left"/>
              <w:rPr>
                <w:rFonts w:asciiTheme="majorBidi" w:hAnsiTheme="majorBidi" w:cstheme="majorBidi"/>
                <w:szCs w:val="22"/>
              </w:rPr>
            </w:pPr>
            <w:r>
              <w:rPr>
                <w:rFonts w:asciiTheme="majorBidi" w:hAnsiTheme="majorBidi"/>
                <w:bCs/>
                <w:snapToGrid w:val="0"/>
                <w:szCs w:val="22"/>
              </w:rPr>
              <w:t>G.</w:t>
            </w:r>
            <w:r>
              <w:rPr>
                <w:rFonts w:asciiTheme="majorBidi" w:hAnsiTheme="majorBidi"/>
                <w:bCs/>
                <w:snapToGrid w:val="0"/>
                <w:szCs w:val="22"/>
              </w:rPr>
              <w:tab/>
              <w:t>Créer d</w:t>
            </w:r>
            <w:r w:rsidR="00E14951">
              <w:rPr>
                <w:rFonts w:asciiTheme="majorBidi" w:hAnsiTheme="majorBidi"/>
                <w:bCs/>
                <w:snapToGrid w:val="0"/>
                <w:szCs w:val="22"/>
              </w:rPr>
              <w:t>es capacités en matiè</w:t>
            </w:r>
            <w:r w:rsidR="00172B68">
              <w:rPr>
                <w:rFonts w:asciiTheme="majorBidi" w:hAnsiTheme="majorBidi"/>
                <w:bCs/>
                <w:snapToGrid w:val="0"/>
                <w:szCs w:val="22"/>
              </w:rPr>
              <w:t xml:space="preserve">re de gestion des données, des </w:t>
            </w:r>
            <w:r w:rsidR="00E14951">
              <w:rPr>
                <w:rFonts w:asciiTheme="majorBidi" w:hAnsiTheme="majorBidi"/>
                <w:bCs/>
                <w:snapToGrid w:val="0"/>
                <w:szCs w:val="22"/>
              </w:rPr>
              <w:t>information</w:t>
            </w:r>
            <w:r w:rsidR="00172B68">
              <w:rPr>
                <w:rFonts w:asciiTheme="majorBidi" w:hAnsiTheme="majorBidi"/>
                <w:bCs/>
                <w:snapToGrid w:val="0"/>
                <w:szCs w:val="22"/>
              </w:rPr>
              <w:t>s</w:t>
            </w:r>
            <w:r w:rsidR="00E14951">
              <w:rPr>
                <w:rFonts w:asciiTheme="majorBidi" w:hAnsiTheme="majorBidi"/>
                <w:bCs/>
                <w:snapToGrid w:val="0"/>
                <w:szCs w:val="22"/>
              </w:rPr>
              <w:t xml:space="preserve"> et des connaissances</w:t>
            </w:r>
          </w:p>
        </w:tc>
        <w:tc>
          <w:tcPr>
            <w:tcW w:w="4677" w:type="dxa"/>
          </w:tcPr>
          <w:p w14:paraId="5FF72693" w14:textId="41561E69" w:rsidR="00E14951" w:rsidRPr="00B76C00" w:rsidRDefault="007E2E8E" w:rsidP="006027D0">
            <w:pPr>
              <w:spacing w:before="60" w:after="60"/>
              <w:jc w:val="left"/>
              <w:rPr>
                <w:rFonts w:asciiTheme="majorBidi" w:hAnsiTheme="majorBidi" w:cstheme="majorBidi"/>
                <w:szCs w:val="22"/>
              </w:rPr>
            </w:pPr>
            <w:r>
              <w:rPr>
                <w:rFonts w:asciiTheme="majorBidi" w:hAnsiTheme="majorBidi"/>
                <w:snapToGrid w:val="0"/>
                <w:szCs w:val="22"/>
              </w:rPr>
              <w:t>a</w:t>
            </w:r>
            <w:r w:rsidR="00E14951">
              <w:rPr>
                <w:rFonts w:asciiTheme="majorBidi" w:hAnsiTheme="majorBidi"/>
                <w:snapToGrid w:val="0"/>
                <w:szCs w:val="22"/>
              </w:rPr>
              <w:t xml:space="preserve">) Entreprendre des analyses des lacunes et des besoins en ce qui concerne les capacités de gestion des connaissances dans le cadre de la mise en </w:t>
            </w:r>
            <w:r>
              <w:rPr>
                <w:rFonts w:asciiTheme="majorBidi" w:hAnsiTheme="majorBidi"/>
                <w:snapToGrid w:val="0"/>
                <w:szCs w:val="22"/>
              </w:rPr>
              <w:t>œuvre</w:t>
            </w:r>
            <w:r w:rsidR="00E14951">
              <w:rPr>
                <w:rFonts w:asciiTheme="majorBidi" w:hAnsiTheme="majorBidi"/>
                <w:snapToGrid w:val="0"/>
                <w:szCs w:val="22"/>
              </w:rPr>
              <w:t xml:space="preserve"> des stratégies et plans d</w:t>
            </w:r>
            <w:r w:rsidR="00172B68">
              <w:rPr>
                <w:rFonts w:asciiTheme="majorBidi" w:hAnsiTheme="majorBidi"/>
                <w:snapToGrid w:val="0"/>
                <w:szCs w:val="22"/>
              </w:rPr>
              <w:t xml:space="preserve">’action nationaux pour la </w:t>
            </w:r>
            <w:r w:rsidR="00E14951">
              <w:rPr>
                <w:rFonts w:asciiTheme="majorBidi" w:hAnsiTheme="majorBidi"/>
                <w:snapToGrid w:val="0"/>
                <w:szCs w:val="22"/>
              </w:rPr>
              <w:t>diversité</w:t>
            </w:r>
            <w:r w:rsidR="00172B68">
              <w:rPr>
                <w:rFonts w:asciiTheme="majorBidi" w:hAnsiTheme="majorBidi"/>
                <w:snapToGrid w:val="0"/>
                <w:szCs w:val="22"/>
              </w:rPr>
              <w:t xml:space="preserve"> biologique</w:t>
            </w:r>
          </w:p>
        </w:tc>
        <w:tc>
          <w:tcPr>
            <w:tcW w:w="1984" w:type="dxa"/>
          </w:tcPr>
          <w:p w14:paraId="278FACC5"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E14951" w:rsidRPr="00B76C00" w14:paraId="0708197F" w14:textId="77777777" w:rsidTr="006027D0">
        <w:tc>
          <w:tcPr>
            <w:tcW w:w="2689" w:type="dxa"/>
            <w:tcBorders>
              <w:top w:val="nil"/>
              <w:bottom w:val="nil"/>
            </w:tcBorders>
          </w:tcPr>
          <w:p w14:paraId="3834442A" w14:textId="77777777" w:rsidR="00E14951" w:rsidRPr="00B76C00" w:rsidRDefault="00E14951" w:rsidP="006027D0">
            <w:pPr>
              <w:jc w:val="left"/>
              <w:rPr>
                <w:rFonts w:asciiTheme="majorBidi" w:hAnsiTheme="majorBidi" w:cstheme="majorBidi"/>
                <w:szCs w:val="22"/>
              </w:rPr>
            </w:pPr>
          </w:p>
        </w:tc>
        <w:tc>
          <w:tcPr>
            <w:tcW w:w="4677" w:type="dxa"/>
          </w:tcPr>
          <w:p w14:paraId="4827C11F" w14:textId="2312358E"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rPr>
              <w:t xml:space="preserve">b) Élaborer des politiques et </w:t>
            </w:r>
            <w:r w:rsidR="00172B68">
              <w:rPr>
                <w:rFonts w:asciiTheme="majorBidi" w:hAnsiTheme="majorBidi"/>
                <w:snapToGrid w:val="0"/>
              </w:rPr>
              <w:t xml:space="preserve">des </w:t>
            </w:r>
            <w:r>
              <w:rPr>
                <w:rFonts w:asciiTheme="majorBidi" w:hAnsiTheme="majorBidi"/>
                <w:snapToGrid w:val="0"/>
              </w:rPr>
              <w:t xml:space="preserve">programmes en matière de gestion des connaissances sur la biodiversité, y compris pour les connaissances traditionnelles, ou renforcer les </w:t>
            </w:r>
            <w:r w:rsidR="007E2E8E">
              <w:rPr>
                <w:rFonts w:asciiTheme="majorBidi" w:hAnsiTheme="majorBidi"/>
                <w:snapToGrid w:val="0"/>
              </w:rPr>
              <w:t>politiques</w:t>
            </w:r>
            <w:r>
              <w:rPr>
                <w:rFonts w:asciiTheme="majorBidi" w:hAnsiTheme="majorBidi"/>
                <w:snapToGrid w:val="0"/>
              </w:rPr>
              <w:t xml:space="preserve"> et </w:t>
            </w:r>
            <w:r w:rsidR="008A01F1">
              <w:rPr>
                <w:rFonts w:asciiTheme="majorBidi" w:hAnsiTheme="majorBidi"/>
                <w:snapToGrid w:val="0"/>
              </w:rPr>
              <w:t xml:space="preserve">les </w:t>
            </w:r>
            <w:r>
              <w:rPr>
                <w:rFonts w:asciiTheme="majorBidi" w:hAnsiTheme="majorBidi"/>
                <w:snapToGrid w:val="0"/>
              </w:rPr>
              <w:t>programmes existants dans ce domaine</w:t>
            </w:r>
          </w:p>
        </w:tc>
        <w:tc>
          <w:tcPr>
            <w:tcW w:w="1984" w:type="dxa"/>
          </w:tcPr>
          <w:p w14:paraId="38288F24" w14:textId="37B57F97" w:rsidR="00E14951" w:rsidRPr="00B76C00" w:rsidRDefault="00E14951" w:rsidP="006027D0">
            <w:pPr>
              <w:spacing w:before="60" w:after="60"/>
              <w:jc w:val="left"/>
              <w:rPr>
                <w:rFonts w:asciiTheme="majorBidi" w:hAnsiTheme="majorBidi" w:cstheme="majorBidi"/>
                <w:szCs w:val="22"/>
              </w:rPr>
            </w:pPr>
            <w:r>
              <w:rPr>
                <w:rFonts w:asciiTheme="majorBidi" w:hAnsiTheme="majorBidi"/>
                <w:bCs/>
                <w:snapToGrid w:val="0"/>
                <w:szCs w:val="22"/>
              </w:rPr>
              <w:t>Parties</w:t>
            </w:r>
            <w:r>
              <w:rPr>
                <w:rFonts w:asciiTheme="majorBidi" w:hAnsiTheme="majorBidi"/>
                <w:szCs w:val="22"/>
              </w:rPr>
              <w:t>, peuples autochtones et communautés locales</w:t>
            </w:r>
          </w:p>
        </w:tc>
      </w:tr>
      <w:tr w:rsidR="00E14951" w:rsidRPr="00B76C00" w14:paraId="74285A42" w14:textId="77777777" w:rsidTr="006027D0">
        <w:tc>
          <w:tcPr>
            <w:tcW w:w="2689" w:type="dxa"/>
            <w:tcBorders>
              <w:top w:val="nil"/>
              <w:bottom w:val="nil"/>
            </w:tcBorders>
          </w:tcPr>
          <w:p w14:paraId="5CC6C034" w14:textId="77777777" w:rsidR="00E14951" w:rsidRPr="00B76C00" w:rsidRDefault="00E14951" w:rsidP="006027D0">
            <w:pPr>
              <w:rPr>
                <w:rFonts w:asciiTheme="majorBidi" w:hAnsiTheme="majorBidi" w:cstheme="majorBidi"/>
                <w:szCs w:val="22"/>
              </w:rPr>
            </w:pPr>
          </w:p>
        </w:tc>
        <w:tc>
          <w:tcPr>
            <w:tcW w:w="4677" w:type="dxa"/>
          </w:tcPr>
          <w:p w14:paraId="4FC86507" w14:textId="584E3CF6" w:rsidR="00E14951" w:rsidRPr="00B76C00" w:rsidRDefault="00E14951" w:rsidP="006027D0">
            <w:pPr>
              <w:spacing w:before="60" w:after="60"/>
              <w:jc w:val="left"/>
              <w:rPr>
                <w:rFonts w:asciiTheme="majorBidi" w:hAnsiTheme="majorBidi" w:cstheme="majorBidi"/>
                <w:szCs w:val="22"/>
              </w:rPr>
            </w:pPr>
            <w:r>
              <w:rPr>
                <w:rFonts w:asciiTheme="majorBidi" w:hAnsiTheme="majorBidi"/>
                <w:szCs w:val="22"/>
              </w:rPr>
              <w:t xml:space="preserve">c) </w:t>
            </w:r>
            <w:r w:rsidR="008A01F1">
              <w:rPr>
                <w:rFonts w:asciiTheme="majorBidi" w:hAnsiTheme="majorBidi"/>
                <w:snapToGrid w:val="0"/>
                <w:szCs w:val="22"/>
              </w:rPr>
              <w:t>Renforcer les</w:t>
            </w:r>
            <w:r>
              <w:rPr>
                <w:rFonts w:asciiTheme="majorBidi" w:hAnsiTheme="majorBidi"/>
                <w:snapToGrid w:val="0"/>
                <w:szCs w:val="22"/>
              </w:rPr>
              <w:t xml:space="preserve"> capacité</w:t>
            </w:r>
            <w:r w:rsidR="008A01F1">
              <w:rPr>
                <w:rFonts w:asciiTheme="majorBidi" w:hAnsiTheme="majorBidi"/>
                <w:snapToGrid w:val="0"/>
                <w:szCs w:val="22"/>
              </w:rPr>
              <w:t>s</w:t>
            </w:r>
            <w:r>
              <w:rPr>
                <w:rFonts w:asciiTheme="majorBidi" w:hAnsiTheme="majorBidi"/>
                <w:snapToGrid w:val="0"/>
                <w:szCs w:val="22"/>
              </w:rPr>
              <w:t xml:space="preserve"> institutionnelle</w:t>
            </w:r>
            <w:r w:rsidR="008A01F1">
              <w:rPr>
                <w:rFonts w:asciiTheme="majorBidi" w:hAnsiTheme="majorBidi"/>
                <w:snapToGrid w:val="0"/>
                <w:szCs w:val="22"/>
              </w:rPr>
              <w:t>s des organismes nationaux compétents</w:t>
            </w:r>
            <w:r>
              <w:rPr>
                <w:rFonts w:asciiTheme="majorBidi" w:hAnsiTheme="majorBidi"/>
                <w:snapToGrid w:val="0"/>
                <w:szCs w:val="22"/>
              </w:rPr>
              <w:t xml:space="preserve"> en matière d’informat</w:t>
            </w:r>
            <w:r w:rsidR="008A01F1">
              <w:rPr>
                <w:rFonts w:asciiTheme="majorBidi" w:hAnsiTheme="majorBidi"/>
                <w:snapToGrid w:val="0"/>
                <w:szCs w:val="22"/>
              </w:rPr>
              <w:t>ique et de gestion des con</w:t>
            </w:r>
            <w:r>
              <w:rPr>
                <w:rFonts w:asciiTheme="majorBidi" w:hAnsiTheme="majorBidi"/>
                <w:snapToGrid w:val="0"/>
                <w:szCs w:val="22"/>
              </w:rPr>
              <w:t>naissances sur la biodiversité, notamm</w:t>
            </w:r>
            <w:r w:rsidR="008A01F1">
              <w:rPr>
                <w:rFonts w:asciiTheme="majorBidi" w:hAnsiTheme="majorBidi"/>
                <w:snapToGrid w:val="0"/>
                <w:szCs w:val="22"/>
              </w:rPr>
              <w:t>ent pour appuyer les efforts déployés par</w:t>
            </w:r>
            <w:r>
              <w:rPr>
                <w:rFonts w:asciiTheme="majorBidi" w:hAnsiTheme="majorBidi"/>
                <w:snapToGrid w:val="0"/>
                <w:szCs w:val="22"/>
              </w:rPr>
              <w:t xml:space="preserve"> les peuples autochtones et </w:t>
            </w:r>
            <w:r w:rsidR="008A01F1">
              <w:rPr>
                <w:rFonts w:asciiTheme="majorBidi" w:hAnsiTheme="majorBidi"/>
                <w:snapToGrid w:val="0"/>
                <w:szCs w:val="22"/>
              </w:rPr>
              <w:t>les communautés locales</w:t>
            </w:r>
            <w:r>
              <w:rPr>
                <w:rFonts w:asciiTheme="majorBidi" w:hAnsiTheme="majorBidi"/>
                <w:snapToGrid w:val="0"/>
                <w:szCs w:val="22"/>
              </w:rPr>
              <w:t xml:space="preserve"> pour améliorer leurs systèmes sécurisés de conna</w:t>
            </w:r>
            <w:r w:rsidR="008A01F1">
              <w:rPr>
                <w:rFonts w:asciiTheme="majorBidi" w:hAnsiTheme="majorBidi"/>
                <w:snapToGrid w:val="0"/>
                <w:szCs w:val="22"/>
              </w:rPr>
              <w:t xml:space="preserve">issances autochtones concernant </w:t>
            </w:r>
            <w:r>
              <w:rPr>
                <w:rFonts w:asciiTheme="majorBidi" w:hAnsiTheme="majorBidi"/>
                <w:snapToGrid w:val="0"/>
                <w:szCs w:val="22"/>
              </w:rPr>
              <w:t>la gestion des connaissances</w:t>
            </w:r>
          </w:p>
        </w:tc>
        <w:tc>
          <w:tcPr>
            <w:tcW w:w="1984" w:type="dxa"/>
          </w:tcPr>
          <w:p w14:paraId="55D8AB16"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bCs/>
                <w:snapToGrid w:val="0"/>
                <w:szCs w:val="22"/>
              </w:rPr>
              <w:t xml:space="preserve">Parties, </w:t>
            </w:r>
            <w:r>
              <w:rPr>
                <w:rFonts w:asciiTheme="majorBidi" w:hAnsiTheme="majorBidi"/>
                <w:szCs w:val="22"/>
              </w:rPr>
              <w:t>peuples autochtones et communautés locales</w:t>
            </w:r>
            <w:r>
              <w:rPr>
                <w:rFonts w:asciiTheme="majorBidi" w:hAnsiTheme="majorBidi"/>
                <w:bCs/>
                <w:snapToGrid w:val="0"/>
                <w:szCs w:val="22"/>
              </w:rPr>
              <w:t xml:space="preserve">, </w:t>
            </w:r>
            <w:r>
              <w:rPr>
                <w:rFonts w:asciiTheme="majorBidi" w:hAnsiTheme="majorBidi"/>
                <w:snapToGrid w:val="0"/>
                <w:szCs w:val="22"/>
              </w:rPr>
              <w:t>organisations</w:t>
            </w:r>
          </w:p>
        </w:tc>
      </w:tr>
      <w:tr w:rsidR="00E14951" w:rsidRPr="00B76C00" w14:paraId="0DB6CF47" w14:textId="77777777" w:rsidTr="006027D0">
        <w:tc>
          <w:tcPr>
            <w:tcW w:w="2689" w:type="dxa"/>
            <w:tcBorders>
              <w:top w:val="nil"/>
              <w:bottom w:val="nil"/>
            </w:tcBorders>
          </w:tcPr>
          <w:p w14:paraId="4B1B8C10" w14:textId="77777777" w:rsidR="00E14951" w:rsidRPr="00B76C00" w:rsidRDefault="00E14951" w:rsidP="006027D0">
            <w:pPr>
              <w:rPr>
                <w:rFonts w:asciiTheme="majorBidi" w:hAnsiTheme="majorBidi" w:cstheme="majorBidi"/>
                <w:szCs w:val="22"/>
              </w:rPr>
            </w:pPr>
          </w:p>
        </w:tc>
        <w:tc>
          <w:tcPr>
            <w:tcW w:w="4677" w:type="dxa"/>
          </w:tcPr>
          <w:p w14:paraId="7AD925D7" w14:textId="2F1126DD"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 xml:space="preserve">d) </w:t>
            </w:r>
            <w:r>
              <w:rPr>
                <w:rFonts w:asciiTheme="majorBidi" w:hAnsiTheme="majorBidi"/>
                <w:snapToGrid w:val="0"/>
              </w:rPr>
              <w:t xml:space="preserve">Renforcer les systèmes et </w:t>
            </w:r>
            <w:r w:rsidR="008A01F1">
              <w:rPr>
                <w:rFonts w:asciiTheme="majorBidi" w:hAnsiTheme="majorBidi"/>
                <w:snapToGrid w:val="0"/>
              </w:rPr>
              <w:t xml:space="preserve">les </w:t>
            </w:r>
            <w:r>
              <w:rPr>
                <w:rFonts w:asciiTheme="majorBidi" w:hAnsiTheme="majorBidi"/>
                <w:snapToGrid w:val="0"/>
              </w:rPr>
              <w:t>mécanismes nationaux de gestio</w:t>
            </w:r>
            <w:r w:rsidR="008A01F1">
              <w:rPr>
                <w:rFonts w:asciiTheme="majorBidi" w:hAnsiTheme="majorBidi"/>
                <w:snapToGrid w:val="0"/>
              </w:rPr>
              <w:t xml:space="preserve">n des connaissances en vue </w:t>
            </w:r>
            <w:r>
              <w:rPr>
                <w:rFonts w:asciiTheme="majorBidi" w:hAnsiTheme="majorBidi"/>
                <w:snapToGrid w:val="0"/>
              </w:rPr>
              <w:t>de favoriser la conservation et l’utilisation durable de la biodiversité</w:t>
            </w:r>
          </w:p>
        </w:tc>
        <w:tc>
          <w:tcPr>
            <w:tcW w:w="1984" w:type="dxa"/>
          </w:tcPr>
          <w:p w14:paraId="778D95C0"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E14951" w:rsidRPr="00B76C00" w14:paraId="76D57F80" w14:textId="77777777" w:rsidTr="006027D0">
        <w:tc>
          <w:tcPr>
            <w:tcW w:w="2689" w:type="dxa"/>
            <w:tcBorders>
              <w:top w:val="nil"/>
              <w:bottom w:val="nil"/>
            </w:tcBorders>
          </w:tcPr>
          <w:p w14:paraId="393A9941" w14:textId="77777777" w:rsidR="00E14951" w:rsidRPr="00B76C00" w:rsidRDefault="00E14951" w:rsidP="006027D0">
            <w:pPr>
              <w:rPr>
                <w:rFonts w:asciiTheme="majorBidi" w:hAnsiTheme="majorBidi" w:cstheme="majorBidi"/>
                <w:szCs w:val="22"/>
              </w:rPr>
            </w:pPr>
          </w:p>
        </w:tc>
        <w:tc>
          <w:tcPr>
            <w:tcW w:w="4677" w:type="dxa"/>
          </w:tcPr>
          <w:p w14:paraId="181630E0" w14:textId="3C341252"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 xml:space="preserve">e) Fournir </w:t>
            </w:r>
            <w:r w:rsidR="008A01F1">
              <w:rPr>
                <w:rFonts w:asciiTheme="majorBidi" w:hAnsiTheme="majorBidi"/>
                <w:snapToGrid w:val="0"/>
                <w:szCs w:val="22"/>
              </w:rPr>
              <w:t>des orientations sur l’élaboration</w:t>
            </w:r>
            <w:r>
              <w:rPr>
                <w:rFonts w:asciiTheme="majorBidi" w:hAnsiTheme="majorBidi"/>
                <w:snapToGrid w:val="0"/>
                <w:szCs w:val="22"/>
              </w:rPr>
              <w:t xml:space="preserve"> </w:t>
            </w:r>
            <w:r w:rsidR="008A01F1">
              <w:rPr>
                <w:rFonts w:asciiTheme="majorBidi" w:hAnsiTheme="majorBidi"/>
                <w:snapToGrid w:val="0"/>
                <w:szCs w:val="22"/>
              </w:rPr>
              <w:t xml:space="preserve">d’une base de données nationale et </w:t>
            </w:r>
            <w:r>
              <w:rPr>
                <w:rFonts w:asciiTheme="majorBidi" w:hAnsiTheme="majorBidi"/>
                <w:snapToGrid w:val="0"/>
                <w:szCs w:val="22"/>
              </w:rPr>
              <w:t xml:space="preserve">le partage des </w:t>
            </w:r>
            <w:r w:rsidR="008A01F1">
              <w:rPr>
                <w:rFonts w:asciiTheme="majorBidi" w:hAnsiTheme="majorBidi"/>
                <w:snapToGrid w:val="0"/>
                <w:szCs w:val="22"/>
              </w:rPr>
              <w:t>données d’</w:t>
            </w:r>
            <w:r>
              <w:rPr>
                <w:rFonts w:asciiTheme="majorBidi" w:hAnsiTheme="majorBidi"/>
                <w:snapToGrid w:val="0"/>
                <w:szCs w:val="22"/>
              </w:rPr>
              <w:t>ex</w:t>
            </w:r>
            <w:r w:rsidR="008A01F1">
              <w:rPr>
                <w:rFonts w:asciiTheme="majorBidi" w:hAnsiTheme="majorBidi"/>
                <w:snapToGrid w:val="0"/>
                <w:szCs w:val="22"/>
              </w:rPr>
              <w:t>périence</w:t>
            </w:r>
            <w:r>
              <w:rPr>
                <w:rFonts w:asciiTheme="majorBidi" w:hAnsiTheme="majorBidi"/>
                <w:snapToGrid w:val="0"/>
                <w:szCs w:val="22"/>
              </w:rPr>
              <w:t xml:space="preserve"> en matière d’utilisation des données et d’accès à celles-ci</w:t>
            </w:r>
          </w:p>
        </w:tc>
        <w:tc>
          <w:tcPr>
            <w:tcW w:w="1984" w:type="dxa"/>
          </w:tcPr>
          <w:p w14:paraId="265DC82F"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snapToGrid w:val="0"/>
                <w:szCs w:val="22"/>
              </w:rPr>
              <w:t>Parties</w:t>
            </w:r>
          </w:p>
        </w:tc>
      </w:tr>
      <w:tr w:rsidR="00E14951" w:rsidRPr="00B76C00" w14:paraId="5E713272" w14:textId="77777777" w:rsidTr="006027D0">
        <w:tc>
          <w:tcPr>
            <w:tcW w:w="2689" w:type="dxa"/>
            <w:tcBorders>
              <w:top w:val="nil"/>
            </w:tcBorders>
          </w:tcPr>
          <w:p w14:paraId="778935D3" w14:textId="77777777" w:rsidR="00E14951" w:rsidRPr="00B76C00" w:rsidRDefault="00E14951" w:rsidP="006027D0">
            <w:pPr>
              <w:rPr>
                <w:rFonts w:asciiTheme="majorBidi" w:hAnsiTheme="majorBidi" w:cstheme="majorBidi"/>
                <w:szCs w:val="22"/>
              </w:rPr>
            </w:pPr>
          </w:p>
        </w:tc>
        <w:tc>
          <w:tcPr>
            <w:tcW w:w="4677" w:type="dxa"/>
          </w:tcPr>
          <w:p w14:paraId="65E2E83F" w14:textId="7B0BD990" w:rsidR="00E14951" w:rsidRPr="00B76C00" w:rsidRDefault="00E14951" w:rsidP="006027D0">
            <w:pPr>
              <w:spacing w:before="60" w:after="60"/>
              <w:jc w:val="left"/>
              <w:rPr>
                <w:rFonts w:asciiTheme="majorBidi" w:hAnsiTheme="majorBidi" w:cstheme="majorBidi"/>
                <w:szCs w:val="22"/>
              </w:rPr>
            </w:pPr>
            <w:r>
              <w:rPr>
                <w:rFonts w:asciiTheme="majorBidi" w:hAnsiTheme="majorBidi"/>
                <w:szCs w:val="22"/>
              </w:rPr>
              <w:t xml:space="preserve">f) </w:t>
            </w:r>
            <w:r>
              <w:rPr>
                <w:rFonts w:asciiTheme="majorBidi" w:hAnsiTheme="majorBidi"/>
                <w:snapToGrid w:val="0"/>
                <w:szCs w:val="22"/>
              </w:rPr>
              <w:t xml:space="preserve">Renforcer les capacités des décideurs, des praticiens, du public, des parties </w:t>
            </w:r>
            <w:r w:rsidR="008A01F1">
              <w:rPr>
                <w:rFonts w:asciiTheme="majorBidi" w:hAnsiTheme="majorBidi"/>
                <w:snapToGrid w:val="0"/>
                <w:szCs w:val="22"/>
              </w:rPr>
              <w:t xml:space="preserve">prenantes concernées et des détenteurs de </w:t>
            </w:r>
            <w:r w:rsidR="003B7F43">
              <w:rPr>
                <w:rFonts w:asciiTheme="majorBidi" w:hAnsiTheme="majorBidi"/>
                <w:snapToGrid w:val="0"/>
                <w:szCs w:val="22"/>
              </w:rPr>
              <w:t>connaissances en ce qui concerne l’accès et l’utilisation des données, i</w:t>
            </w:r>
            <w:r>
              <w:rPr>
                <w:rFonts w:asciiTheme="majorBidi" w:hAnsiTheme="majorBidi"/>
                <w:snapToGrid w:val="0"/>
                <w:szCs w:val="22"/>
              </w:rPr>
              <w:t>nformation</w:t>
            </w:r>
            <w:r w:rsidR="008A01F1">
              <w:rPr>
                <w:rFonts w:asciiTheme="majorBidi" w:hAnsiTheme="majorBidi"/>
                <w:snapToGrid w:val="0"/>
                <w:szCs w:val="22"/>
              </w:rPr>
              <w:t>s</w:t>
            </w:r>
            <w:r w:rsidR="003B7F43">
              <w:rPr>
                <w:rFonts w:asciiTheme="majorBidi" w:hAnsiTheme="majorBidi"/>
                <w:snapToGrid w:val="0"/>
                <w:szCs w:val="22"/>
              </w:rPr>
              <w:t xml:space="preserve"> et </w:t>
            </w:r>
            <w:r>
              <w:rPr>
                <w:rFonts w:asciiTheme="majorBidi" w:hAnsiTheme="majorBidi"/>
                <w:snapToGrid w:val="0"/>
                <w:szCs w:val="22"/>
              </w:rPr>
              <w:t>connaissances relat</w:t>
            </w:r>
            <w:r w:rsidR="003B7F43">
              <w:rPr>
                <w:rFonts w:asciiTheme="majorBidi" w:hAnsiTheme="majorBidi"/>
                <w:snapToGrid w:val="0"/>
                <w:szCs w:val="22"/>
              </w:rPr>
              <w:t>ives à la biodiversité, y compris d</w:t>
            </w:r>
            <w:r>
              <w:rPr>
                <w:rFonts w:asciiTheme="majorBidi" w:hAnsiTheme="majorBidi"/>
                <w:snapToGrid w:val="0"/>
                <w:szCs w:val="22"/>
              </w:rPr>
              <w:t xml:space="preserve">es connaissances traditionnelles fournies avec le consentement préalable, </w:t>
            </w:r>
            <w:r w:rsidR="008A01F1">
              <w:rPr>
                <w:rFonts w:asciiTheme="majorBidi" w:hAnsiTheme="majorBidi"/>
                <w:snapToGrid w:val="0"/>
                <w:szCs w:val="22"/>
              </w:rPr>
              <w:t xml:space="preserve">donné </w:t>
            </w:r>
            <w:r>
              <w:rPr>
                <w:rFonts w:asciiTheme="majorBidi" w:hAnsiTheme="majorBidi"/>
                <w:snapToGrid w:val="0"/>
                <w:szCs w:val="22"/>
              </w:rPr>
              <w:t>libre</w:t>
            </w:r>
            <w:r w:rsidR="008A01F1">
              <w:rPr>
                <w:rFonts w:asciiTheme="majorBidi" w:hAnsiTheme="majorBidi"/>
                <w:snapToGrid w:val="0"/>
                <w:szCs w:val="22"/>
              </w:rPr>
              <w:t>ment</w:t>
            </w:r>
            <w:r>
              <w:rPr>
                <w:rFonts w:asciiTheme="majorBidi" w:hAnsiTheme="majorBidi"/>
                <w:snapToGrid w:val="0"/>
                <w:szCs w:val="22"/>
              </w:rPr>
              <w:t xml:space="preserve"> et </w:t>
            </w:r>
            <w:r w:rsidR="008A01F1">
              <w:rPr>
                <w:rFonts w:asciiTheme="majorBidi" w:hAnsiTheme="majorBidi"/>
                <w:snapToGrid w:val="0"/>
                <w:szCs w:val="22"/>
              </w:rPr>
              <w:t xml:space="preserve">en connaissance de </w:t>
            </w:r>
            <w:r w:rsidR="003B7F43">
              <w:rPr>
                <w:rFonts w:asciiTheme="majorBidi" w:hAnsiTheme="majorBidi"/>
                <w:snapToGrid w:val="0"/>
                <w:szCs w:val="22"/>
              </w:rPr>
              <w:lastRenderedPageBreak/>
              <w:t>cause d</w:t>
            </w:r>
            <w:r w:rsidR="008A01F1">
              <w:rPr>
                <w:rFonts w:asciiTheme="majorBidi" w:hAnsiTheme="majorBidi"/>
                <w:snapToGrid w:val="0"/>
                <w:szCs w:val="22"/>
              </w:rPr>
              <w:t>es peuples autochtones et l</w:t>
            </w:r>
            <w:r>
              <w:rPr>
                <w:rFonts w:asciiTheme="majorBidi" w:hAnsiTheme="majorBidi"/>
                <w:snapToGrid w:val="0"/>
                <w:szCs w:val="22"/>
              </w:rPr>
              <w:t>es communautés locales</w:t>
            </w:r>
          </w:p>
        </w:tc>
        <w:tc>
          <w:tcPr>
            <w:tcW w:w="1984" w:type="dxa"/>
          </w:tcPr>
          <w:p w14:paraId="4CF497D2" w14:textId="77777777" w:rsidR="00E14951" w:rsidRPr="00B76C00" w:rsidRDefault="00E14951" w:rsidP="006027D0">
            <w:pPr>
              <w:spacing w:before="60" w:after="60"/>
              <w:jc w:val="left"/>
              <w:rPr>
                <w:rFonts w:asciiTheme="majorBidi" w:hAnsiTheme="majorBidi" w:cstheme="majorBidi"/>
                <w:szCs w:val="22"/>
              </w:rPr>
            </w:pPr>
            <w:r>
              <w:rPr>
                <w:rFonts w:asciiTheme="majorBidi" w:hAnsiTheme="majorBidi"/>
                <w:bCs/>
                <w:snapToGrid w:val="0"/>
                <w:szCs w:val="22"/>
              </w:rPr>
              <w:lastRenderedPageBreak/>
              <w:t xml:space="preserve">Parties, </w:t>
            </w:r>
            <w:r>
              <w:rPr>
                <w:rFonts w:asciiTheme="majorBidi" w:hAnsiTheme="majorBidi"/>
                <w:szCs w:val="22"/>
              </w:rPr>
              <w:t xml:space="preserve">peuples autochtones et communautés locales, </w:t>
            </w:r>
            <w:r>
              <w:rPr>
                <w:rFonts w:asciiTheme="majorBidi" w:hAnsiTheme="majorBidi"/>
                <w:snapToGrid w:val="0"/>
                <w:szCs w:val="22"/>
              </w:rPr>
              <w:t>organisations</w:t>
            </w:r>
            <w:r>
              <w:rPr>
                <w:rFonts w:asciiTheme="majorBidi" w:hAnsiTheme="majorBidi"/>
                <w:bCs/>
                <w:snapToGrid w:val="0"/>
                <w:szCs w:val="22"/>
              </w:rPr>
              <w:t>, Secrétariat</w:t>
            </w:r>
          </w:p>
        </w:tc>
      </w:tr>
      <w:tr w:rsidR="002770DF" w:rsidRPr="00B76C00" w14:paraId="671E28E9" w14:textId="77777777" w:rsidTr="006027D0">
        <w:tc>
          <w:tcPr>
            <w:tcW w:w="2689" w:type="dxa"/>
            <w:vMerge w:val="restart"/>
          </w:tcPr>
          <w:p w14:paraId="37A9337B" w14:textId="1A5B12A3" w:rsidR="002770DF" w:rsidRPr="00B76C00" w:rsidRDefault="003B7F43" w:rsidP="006027D0">
            <w:pPr>
              <w:tabs>
                <w:tab w:val="left" w:pos="299"/>
              </w:tabs>
              <w:spacing w:before="60" w:after="60"/>
              <w:jc w:val="left"/>
              <w:rPr>
                <w:rFonts w:asciiTheme="majorBidi" w:hAnsiTheme="majorBidi" w:cstheme="majorBidi"/>
                <w:szCs w:val="22"/>
              </w:rPr>
            </w:pPr>
            <w:r>
              <w:rPr>
                <w:rFonts w:asciiTheme="majorBidi" w:hAnsiTheme="majorBidi"/>
                <w:bCs/>
                <w:snapToGrid w:val="0"/>
                <w:szCs w:val="22"/>
              </w:rPr>
              <w:t>H.</w:t>
            </w:r>
            <w:r>
              <w:rPr>
                <w:rFonts w:asciiTheme="majorBidi" w:hAnsiTheme="majorBidi"/>
                <w:bCs/>
                <w:snapToGrid w:val="0"/>
                <w:szCs w:val="22"/>
              </w:rPr>
              <w:tab/>
              <w:t>Renforc</w:t>
            </w:r>
            <w:r w:rsidR="002770DF">
              <w:rPr>
                <w:rFonts w:asciiTheme="majorBidi" w:hAnsiTheme="majorBidi"/>
                <w:bCs/>
                <w:snapToGrid w:val="0"/>
                <w:szCs w:val="22"/>
              </w:rPr>
              <w:t xml:space="preserve">er les réseaux et </w:t>
            </w:r>
            <w:r w:rsidR="008A01F1">
              <w:rPr>
                <w:rFonts w:asciiTheme="majorBidi" w:hAnsiTheme="majorBidi"/>
                <w:bCs/>
                <w:snapToGrid w:val="0"/>
                <w:szCs w:val="22"/>
              </w:rPr>
              <w:t xml:space="preserve">les </w:t>
            </w:r>
            <w:r w:rsidR="002770DF">
              <w:rPr>
                <w:rFonts w:asciiTheme="majorBidi" w:hAnsiTheme="majorBidi"/>
                <w:bCs/>
                <w:snapToGrid w:val="0"/>
                <w:szCs w:val="22"/>
              </w:rPr>
              <w:t>partenariats de connaissances</w:t>
            </w:r>
          </w:p>
        </w:tc>
        <w:tc>
          <w:tcPr>
            <w:tcW w:w="4677" w:type="dxa"/>
          </w:tcPr>
          <w:p w14:paraId="7128B705" w14:textId="6E7F364F"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a) Renforcer les réseaux liés à la gestion des do</w:t>
            </w:r>
            <w:r w:rsidR="003B7F43">
              <w:rPr>
                <w:rFonts w:asciiTheme="majorBidi" w:hAnsiTheme="majorBidi"/>
                <w:snapToGrid w:val="0"/>
                <w:szCs w:val="22"/>
              </w:rPr>
              <w:t>nnées,</w:t>
            </w:r>
            <w:r w:rsidR="008A01F1">
              <w:rPr>
                <w:rFonts w:asciiTheme="majorBidi" w:hAnsiTheme="majorBidi"/>
                <w:snapToGrid w:val="0"/>
                <w:szCs w:val="22"/>
              </w:rPr>
              <w:t xml:space="preserve"> </w:t>
            </w:r>
            <w:r>
              <w:rPr>
                <w:rFonts w:asciiTheme="majorBidi" w:hAnsiTheme="majorBidi"/>
                <w:snapToGrid w:val="0"/>
                <w:szCs w:val="22"/>
              </w:rPr>
              <w:t>information</w:t>
            </w:r>
            <w:r w:rsidR="008A01F1">
              <w:rPr>
                <w:rFonts w:asciiTheme="majorBidi" w:hAnsiTheme="majorBidi"/>
                <w:snapToGrid w:val="0"/>
                <w:szCs w:val="22"/>
              </w:rPr>
              <w:t>s</w:t>
            </w:r>
            <w:r w:rsidR="003B7F43">
              <w:rPr>
                <w:rFonts w:asciiTheme="majorBidi" w:hAnsiTheme="majorBidi"/>
                <w:snapToGrid w:val="0"/>
                <w:szCs w:val="22"/>
              </w:rPr>
              <w:t xml:space="preserve"> et </w:t>
            </w:r>
            <w:r>
              <w:rPr>
                <w:rFonts w:asciiTheme="majorBidi" w:hAnsiTheme="majorBidi"/>
                <w:snapToGrid w:val="0"/>
                <w:szCs w:val="22"/>
              </w:rPr>
              <w:t>connaissances relatives à la biodiversité</w:t>
            </w:r>
          </w:p>
        </w:tc>
        <w:tc>
          <w:tcPr>
            <w:tcW w:w="1984" w:type="dxa"/>
          </w:tcPr>
          <w:p w14:paraId="420223A4"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snapToGrid w:val="0"/>
                <w:szCs w:val="22"/>
              </w:rPr>
              <w:t>Parties, peuples autochtones et communautés locales, organisations</w:t>
            </w:r>
          </w:p>
        </w:tc>
      </w:tr>
      <w:tr w:rsidR="002770DF" w:rsidRPr="00B76C00" w14:paraId="5AB3EE73" w14:textId="77777777" w:rsidTr="006027D0">
        <w:tc>
          <w:tcPr>
            <w:tcW w:w="2689" w:type="dxa"/>
            <w:vMerge/>
          </w:tcPr>
          <w:p w14:paraId="0B1466C9" w14:textId="77777777" w:rsidR="002770DF" w:rsidRPr="00B76C00" w:rsidRDefault="002770DF" w:rsidP="006027D0">
            <w:pPr>
              <w:jc w:val="left"/>
              <w:rPr>
                <w:rFonts w:asciiTheme="majorBidi" w:hAnsiTheme="majorBidi" w:cstheme="majorBidi"/>
                <w:szCs w:val="22"/>
              </w:rPr>
            </w:pPr>
          </w:p>
        </w:tc>
        <w:tc>
          <w:tcPr>
            <w:tcW w:w="4677" w:type="dxa"/>
          </w:tcPr>
          <w:p w14:paraId="28B7F554" w14:textId="1D5D28A1" w:rsidR="002770DF" w:rsidRDefault="002770DF" w:rsidP="006027D0">
            <w:pPr>
              <w:spacing w:before="60" w:after="60"/>
              <w:jc w:val="left"/>
              <w:rPr>
                <w:rFonts w:asciiTheme="majorBidi" w:eastAsia="MS Mincho" w:hAnsiTheme="majorBidi" w:cstheme="majorBidi"/>
                <w:noProof/>
                <w:snapToGrid w:val="0"/>
                <w:kern w:val="22"/>
                <w:szCs w:val="22"/>
              </w:rPr>
            </w:pPr>
            <w:r>
              <w:rPr>
                <w:rFonts w:asciiTheme="majorBidi" w:hAnsiTheme="majorBidi"/>
                <w:szCs w:val="22"/>
              </w:rPr>
              <w:t xml:space="preserve">b) </w:t>
            </w:r>
            <w:r>
              <w:rPr>
                <w:rFonts w:asciiTheme="majorBidi" w:hAnsiTheme="majorBidi"/>
                <w:snapToGrid w:val="0"/>
                <w:szCs w:val="22"/>
              </w:rPr>
              <w:t>Mettre en relation les centres d’expertise, les réseaux de praticiens, les peuples autochtones et les communaut</w:t>
            </w:r>
            <w:r w:rsidR="003B7F43">
              <w:rPr>
                <w:rFonts w:asciiTheme="majorBidi" w:hAnsiTheme="majorBidi"/>
                <w:snapToGrid w:val="0"/>
                <w:szCs w:val="22"/>
              </w:rPr>
              <w:t>és locales, ainsi que d’</w:t>
            </w:r>
            <w:r>
              <w:rPr>
                <w:rFonts w:asciiTheme="majorBidi" w:hAnsiTheme="majorBidi"/>
                <w:snapToGrid w:val="0"/>
                <w:szCs w:val="22"/>
              </w:rPr>
              <w:t>autres sources de connaissances</w:t>
            </w:r>
          </w:p>
          <w:p w14:paraId="344B55DB" w14:textId="77777777" w:rsidR="002770DF" w:rsidRPr="00B76C00" w:rsidRDefault="002770DF" w:rsidP="006027D0">
            <w:pPr>
              <w:spacing w:before="60" w:after="60"/>
              <w:jc w:val="left"/>
              <w:rPr>
                <w:rFonts w:asciiTheme="majorBidi" w:hAnsiTheme="majorBidi" w:cstheme="majorBidi"/>
                <w:szCs w:val="22"/>
              </w:rPr>
            </w:pPr>
          </w:p>
        </w:tc>
        <w:tc>
          <w:tcPr>
            <w:tcW w:w="1984" w:type="dxa"/>
          </w:tcPr>
          <w:p w14:paraId="49299131"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bCs/>
                <w:snapToGrid w:val="0"/>
                <w:szCs w:val="22"/>
              </w:rPr>
              <w:t xml:space="preserve">Parties, </w:t>
            </w:r>
            <w:r>
              <w:rPr>
                <w:rFonts w:asciiTheme="majorBidi" w:hAnsiTheme="majorBidi"/>
                <w:szCs w:val="22"/>
              </w:rPr>
              <w:t>peuples autochtones et communautés locales</w:t>
            </w:r>
            <w:r>
              <w:rPr>
                <w:rFonts w:asciiTheme="majorBidi" w:hAnsiTheme="majorBidi"/>
                <w:bCs/>
                <w:snapToGrid w:val="0"/>
                <w:szCs w:val="22"/>
              </w:rPr>
              <w:t>, organisations</w:t>
            </w:r>
          </w:p>
        </w:tc>
      </w:tr>
      <w:tr w:rsidR="002770DF" w:rsidRPr="00B76C00" w14:paraId="08D29173" w14:textId="77777777" w:rsidTr="006027D0">
        <w:tc>
          <w:tcPr>
            <w:tcW w:w="2689" w:type="dxa"/>
            <w:vMerge/>
          </w:tcPr>
          <w:p w14:paraId="43CF8FF6" w14:textId="77777777" w:rsidR="002770DF" w:rsidRPr="00B76C00" w:rsidRDefault="002770DF" w:rsidP="006027D0">
            <w:pPr>
              <w:jc w:val="left"/>
              <w:rPr>
                <w:rFonts w:asciiTheme="majorBidi" w:hAnsiTheme="majorBidi" w:cstheme="majorBidi"/>
                <w:szCs w:val="22"/>
              </w:rPr>
            </w:pPr>
          </w:p>
        </w:tc>
        <w:tc>
          <w:tcPr>
            <w:tcW w:w="4677" w:type="dxa"/>
          </w:tcPr>
          <w:p w14:paraId="0CD2B693" w14:textId="689A0D40" w:rsidR="002770DF" w:rsidRPr="000B3F25" w:rsidRDefault="002770DF" w:rsidP="006027D0">
            <w:pPr>
              <w:spacing w:before="60" w:after="60"/>
              <w:jc w:val="left"/>
              <w:rPr>
                <w:rFonts w:asciiTheme="majorBidi" w:hAnsiTheme="majorBidi" w:cstheme="majorBidi"/>
                <w:szCs w:val="22"/>
              </w:rPr>
            </w:pPr>
            <w:r w:rsidRPr="007E2E8E">
              <w:rPr>
                <w:rFonts w:asciiTheme="majorBidi" w:hAnsiTheme="majorBidi"/>
                <w:snapToGrid w:val="0"/>
                <w:szCs w:val="22"/>
              </w:rPr>
              <w:t>c) Améliorer la coll</w:t>
            </w:r>
            <w:r w:rsidR="003B7F43">
              <w:rPr>
                <w:rFonts w:asciiTheme="majorBidi" w:hAnsiTheme="majorBidi"/>
                <w:snapToGrid w:val="0"/>
                <w:szCs w:val="22"/>
              </w:rPr>
              <w:t>aboration entre les établissements scientifiques, les établissements public</w:t>
            </w:r>
            <w:r w:rsidRPr="007E2E8E">
              <w:rPr>
                <w:rFonts w:asciiTheme="majorBidi" w:hAnsiTheme="majorBidi"/>
                <w:snapToGrid w:val="0"/>
                <w:szCs w:val="22"/>
              </w:rPr>
              <w:t>s et les peuples autochtones et communautés locales dans le cadre de leurs travaux sur les connaissances traditionnelles liées aux pratiques durables</w:t>
            </w:r>
          </w:p>
        </w:tc>
        <w:tc>
          <w:tcPr>
            <w:tcW w:w="1984" w:type="dxa"/>
          </w:tcPr>
          <w:p w14:paraId="0AB2CF97" w14:textId="77777777" w:rsidR="002770DF" w:rsidRPr="00B76C00" w:rsidRDefault="002770DF" w:rsidP="006027D0">
            <w:pPr>
              <w:spacing w:before="60" w:after="60"/>
              <w:jc w:val="left"/>
              <w:rPr>
                <w:rFonts w:asciiTheme="majorBidi" w:eastAsia="MS Mincho" w:hAnsiTheme="majorBidi" w:cstheme="majorBidi"/>
                <w:bCs/>
                <w:noProof/>
                <w:snapToGrid w:val="0"/>
                <w:kern w:val="22"/>
                <w:szCs w:val="22"/>
              </w:rPr>
            </w:pPr>
            <w:r>
              <w:rPr>
                <w:rFonts w:asciiTheme="majorBidi" w:hAnsiTheme="majorBidi"/>
                <w:bCs/>
                <w:snapToGrid w:val="0"/>
                <w:szCs w:val="22"/>
              </w:rPr>
              <w:t xml:space="preserve">Parties, </w:t>
            </w:r>
            <w:r>
              <w:rPr>
                <w:rFonts w:asciiTheme="majorBidi" w:hAnsiTheme="majorBidi"/>
                <w:szCs w:val="22"/>
              </w:rPr>
              <w:t>peuples autochtones et communautés locales</w:t>
            </w:r>
            <w:r>
              <w:rPr>
                <w:rFonts w:asciiTheme="majorBidi" w:hAnsiTheme="majorBidi"/>
                <w:bCs/>
                <w:snapToGrid w:val="0"/>
                <w:szCs w:val="22"/>
              </w:rPr>
              <w:t>, organisations</w:t>
            </w:r>
          </w:p>
        </w:tc>
      </w:tr>
      <w:tr w:rsidR="002770DF" w:rsidRPr="00B76C00" w14:paraId="625BD2EF" w14:textId="77777777" w:rsidTr="006027D0">
        <w:tc>
          <w:tcPr>
            <w:tcW w:w="2689" w:type="dxa"/>
            <w:vMerge/>
          </w:tcPr>
          <w:p w14:paraId="1122A818" w14:textId="77777777" w:rsidR="002770DF" w:rsidRPr="00B76C00" w:rsidRDefault="002770DF" w:rsidP="006027D0">
            <w:pPr>
              <w:rPr>
                <w:rFonts w:asciiTheme="majorBidi" w:hAnsiTheme="majorBidi" w:cstheme="majorBidi"/>
                <w:szCs w:val="22"/>
              </w:rPr>
            </w:pPr>
          </w:p>
        </w:tc>
        <w:tc>
          <w:tcPr>
            <w:tcW w:w="4677" w:type="dxa"/>
          </w:tcPr>
          <w:p w14:paraId="799766D9" w14:textId="0DE7A041" w:rsidR="002770DF" w:rsidRPr="007E2E8E" w:rsidRDefault="002770DF" w:rsidP="006027D0">
            <w:pPr>
              <w:spacing w:before="60" w:after="60"/>
              <w:jc w:val="left"/>
              <w:rPr>
                <w:rFonts w:asciiTheme="majorBidi" w:eastAsia="MS Mincho" w:hAnsiTheme="majorBidi" w:cstheme="majorBidi"/>
                <w:noProof/>
                <w:snapToGrid w:val="0"/>
                <w:kern w:val="22"/>
                <w:szCs w:val="22"/>
              </w:rPr>
            </w:pPr>
            <w:r>
              <w:rPr>
                <w:rFonts w:asciiTheme="majorBidi" w:hAnsiTheme="majorBidi"/>
                <w:szCs w:val="22"/>
              </w:rPr>
              <w:t xml:space="preserve">d) </w:t>
            </w:r>
            <w:r>
              <w:rPr>
                <w:rFonts w:asciiTheme="majorBidi" w:hAnsiTheme="majorBidi"/>
                <w:snapToGrid w:val="0"/>
                <w:szCs w:val="22"/>
              </w:rPr>
              <w:t>Améliorer la coordination</w:t>
            </w:r>
            <w:r w:rsidR="00B45229">
              <w:rPr>
                <w:rFonts w:asciiTheme="majorBidi" w:hAnsiTheme="majorBidi"/>
                <w:snapToGrid w:val="0"/>
                <w:szCs w:val="22"/>
              </w:rPr>
              <w:t xml:space="preserve"> et la collaboration entre différente</w:t>
            </w:r>
            <w:r>
              <w:rPr>
                <w:rFonts w:asciiTheme="majorBidi" w:hAnsiTheme="majorBidi"/>
                <w:snapToGrid w:val="0"/>
                <w:szCs w:val="22"/>
              </w:rPr>
              <w:t>s initiatives, out</w:t>
            </w:r>
            <w:r w:rsidR="00B45229">
              <w:rPr>
                <w:rFonts w:asciiTheme="majorBidi" w:hAnsiTheme="majorBidi"/>
                <w:snapToGrid w:val="0"/>
                <w:szCs w:val="22"/>
              </w:rPr>
              <w:t>ils et plateformes de</w:t>
            </w:r>
            <w:r>
              <w:rPr>
                <w:rFonts w:asciiTheme="majorBidi" w:hAnsiTheme="majorBidi"/>
                <w:snapToGrid w:val="0"/>
                <w:szCs w:val="22"/>
              </w:rPr>
              <w:t xml:space="preserve"> connaissances sur la biodiversité</w:t>
            </w:r>
          </w:p>
          <w:p w14:paraId="405193A2" w14:textId="77777777" w:rsidR="002770DF" w:rsidRPr="00B76C00" w:rsidRDefault="002770DF" w:rsidP="006027D0">
            <w:pPr>
              <w:spacing w:before="60" w:after="60"/>
              <w:jc w:val="left"/>
              <w:rPr>
                <w:rFonts w:asciiTheme="majorBidi" w:hAnsiTheme="majorBidi" w:cstheme="majorBidi"/>
                <w:szCs w:val="22"/>
              </w:rPr>
            </w:pPr>
          </w:p>
        </w:tc>
        <w:tc>
          <w:tcPr>
            <w:tcW w:w="1984" w:type="dxa"/>
          </w:tcPr>
          <w:p w14:paraId="149990FC" w14:textId="77777777" w:rsidR="002770DF" w:rsidRPr="00B76C00" w:rsidRDefault="002770DF" w:rsidP="006027D0">
            <w:pPr>
              <w:spacing w:before="60" w:after="60"/>
              <w:jc w:val="left"/>
              <w:rPr>
                <w:rFonts w:asciiTheme="majorBidi" w:hAnsiTheme="majorBidi" w:cstheme="majorBidi"/>
                <w:szCs w:val="22"/>
              </w:rPr>
            </w:pPr>
            <w:r>
              <w:rPr>
                <w:rFonts w:asciiTheme="majorBidi" w:hAnsiTheme="majorBidi"/>
                <w:bCs/>
                <w:snapToGrid w:val="0"/>
                <w:szCs w:val="22"/>
              </w:rPr>
              <w:t xml:space="preserve">Parties, </w:t>
            </w:r>
            <w:r>
              <w:rPr>
                <w:rFonts w:asciiTheme="majorBidi" w:hAnsiTheme="majorBidi"/>
                <w:szCs w:val="22"/>
              </w:rPr>
              <w:t>peuples autochtones et communautés locales</w:t>
            </w:r>
            <w:r>
              <w:rPr>
                <w:rFonts w:asciiTheme="majorBidi" w:hAnsiTheme="majorBidi"/>
                <w:bCs/>
                <w:snapToGrid w:val="0"/>
                <w:szCs w:val="22"/>
              </w:rPr>
              <w:t>, organisations, Secrétariat</w:t>
            </w:r>
          </w:p>
        </w:tc>
      </w:tr>
      <w:tr w:rsidR="002770DF" w:rsidRPr="00B76C00" w14:paraId="6BFAF857" w14:textId="77777777" w:rsidTr="006027D0">
        <w:tc>
          <w:tcPr>
            <w:tcW w:w="2689" w:type="dxa"/>
            <w:vMerge/>
          </w:tcPr>
          <w:p w14:paraId="77B80E49" w14:textId="77777777" w:rsidR="002770DF" w:rsidRPr="00B76C00" w:rsidRDefault="002770DF" w:rsidP="006027D0">
            <w:pPr>
              <w:rPr>
                <w:rFonts w:asciiTheme="majorBidi" w:hAnsiTheme="majorBidi" w:cstheme="majorBidi"/>
                <w:szCs w:val="22"/>
              </w:rPr>
            </w:pPr>
          </w:p>
        </w:tc>
        <w:tc>
          <w:tcPr>
            <w:tcW w:w="4677" w:type="dxa"/>
          </w:tcPr>
          <w:p w14:paraId="6B090333" w14:textId="14AD6645" w:rsidR="002770DF" w:rsidRPr="00B76C00" w:rsidRDefault="00B45229" w:rsidP="006027D0">
            <w:pPr>
              <w:spacing w:before="60" w:after="60"/>
              <w:jc w:val="left"/>
              <w:rPr>
                <w:rFonts w:asciiTheme="majorBidi" w:hAnsiTheme="majorBidi" w:cstheme="majorBidi"/>
                <w:szCs w:val="22"/>
              </w:rPr>
            </w:pPr>
            <w:r>
              <w:rPr>
                <w:rFonts w:asciiTheme="majorBidi" w:hAnsiTheme="majorBidi"/>
              </w:rPr>
              <w:t>e) Accroître substantiellement le partage</w:t>
            </w:r>
            <w:r w:rsidR="002770DF">
              <w:rPr>
                <w:rFonts w:asciiTheme="majorBidi" w:hAnsiTheme="majorBidi"/>
              </w:rPr>
              <w:t xml:space="preserve"> des résultats des recherches techniques, scientifiques et so</w:t>
            </w:r>
            <w:r>
              <w:rPr>
                <w:rFonts w:asciiTheme="majorBidi" w:hAnsiTheme="majorBidi"/>
              </w:rPr>
              <w:t xml:space="preserve">cioéconomiques, ainsi que des </w:t>
            </w:r>
            <w:r w:rsidR="002770DF">
              <w:rPr>
                <w:rFonts w:asciiTheme="majorBidi" w:hAnsiTheme="majorBidi"/>
              </w:rPr>
              <w:t>information</w:t>
            </w:r>
            <w:r>
              <w:rPr>
                <w:rFonts w:asciiTheme="majorBidi" w:hAnsiTheme="majorBidi"/>
              </w:rPr>
              <w:t>s</w:t>
            </w:r>
            <w:r w:rsidR="002770DF">
              <w:rPr>
                <w:rFonts w:asciiTheme="majorBidi" w:hAnsiTheme="majorBidi"/>
              </w:rPr>
              <w:t xml:space="preserve"> sur les programmes de formation et d’étude, </w:t>
            </w:r>
            <w:r>
              <w:rPr>
                <w:rFonts w:asciiTheme="majorBidi" w:hAnsiTheme="majorBidi"/>
              </w:rPr>
              <w:t>les connaissances spécialisées, l</w:t>
            </w:r>
            <w:r w:rsidR="002770DF">
              <w:rPr>
                <w:rFonts w:asciiTheme="majorBidi" w:hAnsiTheme="majorBidi"/>
              </w:rPr>
              <w:t>e</w:t>
            </w:r>
            <w:r>
              <w:rPr>
                <w:rFonts w:asciiTheme="majorBidi" w:hAnsiTheme="majorBidi"/>
              </w:rPr>
              <w:t>s</w:t>
            </w:r>
            <w:r w:rsidR="002770DF">
              <w:rPr>
                <w:rFonts w:asciiTheme="majorBidi" w:hAnsiTheme="majorBidi"/>
              </w:rPr>
              <w:t xml:space="preserve"> connaissances</w:t>
            </w:r>
            <w:r>
              <w:rPr>
                <w:rFonts w:asciiTheme="majorBidi" w:hAnsiTheme="majorBidi"/>
              </w:rPr>
              <w:t xml:space="preserve"> autochtones et</w:t>
            </w:r>
            <w:r w:rsidR="002770DF">
              <w:rPr>
                <w:rFonts w:asciiTheme="majorBidi" w:hAnsiTheme="majorBidi"/>
              </w:rPr>
              <w:t xml:space="preserve"> traditionnelles,</w:t>
            </w:r>
            <w:r>
              <w:rPr>
                <w:rFonts w:asciiTheme="majorBidi" w:hAnsiTheme="majorBidi"/>
              </w:rPr>
              <w:t xml:space="preserve"> en tant que telles et conjointement</w:t>
            </w:r>
            <w:r w:rsidR="002770DF">
              <w:rPr>
                <w:rFonts w:asciiTheme="majorBidi" w:hAnsiTheme="majorBidi"/>
              </w:rPr>
              <w:t xml:space="preserve"> aux technologies mentionnées au paragraphe 1 de l’article 16 de la Convention</w:t>
            </w:r>
          </w:p>
        </w:tc>
        <w:tc>
          <w:tcPr>
            <w:tcW w:w="1984" w:type="dxa"/>
          </w:tcPr>
          <w:p w14:paraId="53CC9EF5" w14:textId="77777777" w:rsidR="002770DF" w:rsidRPr="00B76C00" w:rsidRDefault="002770DF" w:rsidP="006027D0">
            <w:pPr>
              <w:spacing w:before="60" w:after="60"/>
              <w:jc w:val="left"/>
              <w:rPr>
                <w:rFonts w:asciiTheme="majorBidi" w:eastAsia="MS Mincho" w:hAnsiTheme="majorBidi" w:cstheme="majorBidi"/>
                <w:bCs/>
                <w:noProof/>
                <w:snapToGrid w:val="0"/>
                <w:kern w:val="22"/>
                <w:szCs w:val="22"/>
              </w:rPr>
            </w:pPr>
            <w:r>
              <w:rPr>
                <w:rFonts w:asciiTheme="majorBidi" w:hAnsiTheme="majorBidi"/>
                <w:bCs/>
                <w:snapToGrid w:val="0"/>
                <w:szCs w:val="22"/>
              </w:rPr>
              <w:t xml:space="preserve">Parties, </w:t>
            </w:r>
            <w:r>
              <w:rPr>
                <w:rFonts w:asciiTheme="majorBidi" w:hAnsiTheme="majorBidi"/>
                <w:szCs w:val="22"/>
              </w:rPr>
              <w:t>peuples autochtones et communautés locales</w:t>
            </w:r>
            <w:r>
              <w:rPr>
                <w:rFonts w:asciiTheme="majorBidi" w:hAnsiTheme="majorBidi"/>
                <w:bCs/>
                <w:snapToGrid w:val="0"/>
                <w:szCs w:val="22"/>
              </w:rPr>
              <w:t>, organisations, Secrétariat</w:t>
            </w:r>
          </w:p>
        </w:tc>
      </w:tr>
      <w:tr w:rsidR="002770DF" w:rsidRPr="00B76C00" w14:paraId="29A66434" w14:textId="77777777" w:rsidTr="006027D0">
        <w:tc>
          <w:tcPr>
            <w:tcW w:w="2689" w:type="dxa"/>
            <w:vMerge w:val="restart"/>
          </w:tcPr>
          <w:p w14:paraId="16160B8F" w14:textId="1DBA4E78" w:rsidR="002770DF" w:rsidRPr="00B76C00" w:rsidRDefault="002770DF" w:rsidP="007E2E8E">
            <w:pPr>
              <w:tabs>
                <w:tab w:val="left" w:pos="299"/>
              </w:tabs>
              <w:spacing w:before="60" w:after="60"/>
              <w:jc w:val="left"/>
              <w:rPr>
                <w:rFonts w:asciiTheme="majorBidi" w:hAnsiTheme="majorBidi" w:cstheme="majorBidi"/>
                <w:szCs w:val="22"/>
              </w:rPr>
            </w:pPr>
            <w:r>
              <w:rPr>
                <w:rFonts w:asciiTheme="majorBidi" w:hAnsiTheme="majorBidi"/>
              </w:rPr>
              <w:t>I.</w:t>
            </w:r>
            <w:r>
              <w:rPr>
                <w:rFonts w:asciiTheme="majorBidi" w:hAnsiTheme="majorBidi"/>
              </w:rPr>
              <w:tab/>
            </w:r>
            <w:r w:rsidR="00B45229">
              <w:rPr>
                <w:rFonts w:asciiTheme="majorBidi" w:hAnsiTheme="majorBidi"/>
                <w:bCs/>
                <w:snapToGrid w:val="0"/>
                <w:szCs w:val="22"/>
              </w:rPr>
              <w:t>Combler</w:t>
            </w:r>
            <w:r w:rsidRPr="007E2E8E">
              <w:rPr>
                <w:rFonts w:asciiTheme="majorBidi" w:hAnsiTheme="majorBidi"/>
                <w:bCs/>
                <w:snapToGrid w:val="0"/>
                <w:szCs w:val="22"/>
              </w:rPr>
              <w:t xml:space="preserve"> les</w:t>
            </w:r>
            <w:r w:rsidR="00B45229">
              <w:rPr>
                <w:rFonts w:asciiTheme="majorBidi" w:hAnsiTheme="majorBidi"/>
              </w:rPr>
              <w:t xml:space="preserve"> lacunes dans les</w:t>
            </w:r>
            <w:r>
              <w:rPr>
                <w:rFonts w:asciiTheme="majorBidi" w:hAnsiTheme="majorBidi"/>
              </w:rPr>
              <w:t xml:space="preserve"> capacités et les lacunes techniques</w:t>
            </w:r>
          </w:p>
        </w:tc>
        <w:tc>
          <w:tcPr>
            <w:tcW w:w="4677" w:type="dxa"/>
          </w:tcPr>
          <w:p w14:paraId="66C61A6E" w14:textId="77777777" w:rsidR="002770DF" w:rsidRPr="007E2E8E" w:rsidRDefault="002770DF" w:rsidP="007E2E8E">
            <w:pPr>
              <w:pStyle w:val="ListParagraph"/>
              <w:tabs>
                <w:tab w:val="left" w:pos="264"/>
              </w:tabs>
              <w:spacing w:after="120"/>
              <w:ind w:left="34"/>
              <w:contextualSpacing w:val="0"/>
              <w:jc w:val="left"/>
              <w:rPr>
                <w:rFonts w:asciiTheme="majorBidi" w:hAnsiTheme="majorBidi" w:cstheme="majorBidi"/>
              </w:rPr>
            </w:pPr>
            <w:r>
              <w:rPr>
                <w:rFonts w:asciiTheme="majorBidi" w:hAnsiTheme="majorBidi"/>
              </w:rPr>
              <w:t>a) Mettre au point des initiatives ciblées de renforcement des capacités afin de soutenir la participation des peuples autochtones et des communautés locales à la production et la création de données, d’information et de connaissances relatives à la biodiversité</w:t>
            </w:r>
          </w:p>
        </w:tc>
        <w:tc>
          <w:tcPr>
            <w:tcW w:w="1984" w:type="dxa"/>
          </w:tcPr>
          <w:p w14:paraId="58F0D19D" w14:textId="77777777" w:rsidR="002770DF" w:rsidRPr="00B76C00" w:rsidRDefault="002770DF" w:rsidP="006027D0">
            <w:pPr>
              <w:spacing w:before="60" w:after="60"/>
              <w:jc w:val="left"/>
              <w:rPr>
                <w:rFonts w:asciiTheme="majorBidi" w:eastAsia="MS Mincho" w:hAnsiTheme="majorBidi" w:cstheme="majorBidi"/>
                <w:bCs/>
                <w:noProof/>
                <w:snapToGrid w:val="0"/>
                <w:kern w:val="22"/>
                <w:szCs w:val="22"/>
              </w:rPr>
            </w:pPr>
            <w:r>
              <w:rPr>
                <w:rFonts w:asciiTheme="majorBidi" w:hAnsiTheme="majorBidi"/>
                <w:bCs/>
                <w:snapToGrid w:val="0"/>
                <w:szCs w:val="22"/>
              </w:rPr>
              <w:t xml:space="preserve">Parties, </w:t>
            </w:r>
            <w:r>
              <w:rPr>
                <w:rFonts w:asciiTheme="majorBidi" w:hAnsiTheme="majorBidi"/>
                <w:szCs w:val="22"/>
              </w:rPr>
              <w:t>peuples autochtones et communautés locales</w:t>
            </w:r>
            <w:r>
              <w:rPr>
                <w:rFonts w:asciiTheme="majorBidi" w:hAnsiTheme="majorBidi"/>
                <w:bCs/>
                <w:snapToGrid w:val="0"/>
                <w:szCs w:val="22"/>
              </w:rPr>
              <w:t>, organisations, Secrétariat</w:t>
            </w:r>
          </w:p>
        </w:tc>
      </w:tr>
      <w:tr w:rsidR="002770DF" w:rsidRPr="00B76C00" w14:paraId="6DAC9667" w14:textId="77777777" w:rsidTr="006027D0">
        <w:tc>
          <w:tcPr>
            <w:tcW w:w="2689" w:type="dxa"/>
            <w:vMerge/>
          </w:tcPr>
          <w:p w14:paraId="6F5EF581" w14:textId="77777777" w:rsidR="002770DF" w:rsidRDefault="002770DF" w:rsidP="006027D0">
            <w:pPr>
              <w:rPr>
                <w:rFonts w:asciiTheme="majorBidi" w:hAnsiTheme="majorBidi" w:cstheme="majorBidi"/>
              </w:rPr>
            </w:pPr>
          </w:p>
        </w:tc>
        <w:tc>
          <w:tcPr>
            <w:tcW w:w="4677" w:type="dxa"/>
          </w:tcPr>
          <w:p w14:paraId="28FD552B" w14:textId="59C4A9D6" w:rsidR="002770DF" w:rsidRPr="0001204C" w:rsidRDefault="007576CF" w:rsidP="006027D0">
            <w:pPr>
              <w:pStyle w:val="ListParagraph"/>
              <w:tabs>
                <w:tab w:val="left" w:pos="264"/>
              </w:tabs>
              <w:spacing w:after="120"/>
              <w:ind w:left="34"/>
              <w:contextualSpacing w:val="0"/>
              <w:jc w:val="left"/>
              <w:rPr>
                <w:rFonts w:asciiTheme="majorBidi" w:hAnsiTheme="majorBidi" w:cstheme="majorBidi"/>
              </w:rPr>
            </w:pPr>
            <w:r>
              <w:rPr>
                <w:rFonts w:asciiTheme="majorBidi" w:hAnsiTheme="majorBidi"/>
              </w:rPr>
              <w:t>b) Créer</w:t>
            </w:r>
            <w:r w:rsidR="002770DF">
              <w:rPr>
                <w:rFonts w:asciiTheme="majorBidi" w:hAnsiTheme="majorBidi"/>
              </w:rPr>
              <w:t xml:space="preserve"> des partenariats entre</w:t>
            </w:r>
            <w:r>
              <w:rPr>
                <w:rFonts w:asciiTheme="majorBidi" w:hAnsiTheme="majorBidi"/>
              </w:rPr>
              <w:t xml:space="preserve"> des universités et des établissements</w:t>
            </w:r>
            <w:r w:rsidR="002770DF">
              <w:rPr>
                <w:rFonts w:asciiTheme="majorBidi" w:hAnsiTheme="majorBidi"/>
              </w:rPr>
              <w:t xml:space="preserve"> scientifiques et les peuples autochtones et communautés locales</w:t>
            </w:r>
            <w:r>
              <w:rPr>
                <w:rFonts w:asciiTheme="majorBidi" w:hAnsiTheme="majorBidi"/>
              </w:rPr>
              <w:t>, afin d’améliorer la contribution</w:t>
            </w:r>
            <w:r w:rsidR="002770DF">
              <w:rPr>
                <w:rFonts w:asciiTheme="majorBidi" w:hAnsiTheme="majorBidi"/>
              </w:rPr>
              <w:t xml:space="preserve"> des connaissances traditionnelles aux programmes de recherche sur la conservation et l’utilisation durable, en respectant le principe de consentement préalable, </w:t>
            </w:r>
            <w:r>
              <w:rPr>
                <w:rFonts w:asciiTheme="majorBidi" w:hAnsiTheme="majorBidi"/>
              </w:rPr>
              <w:t xml:space="preserve">donné </w:t>
            </w:r>
            <w:r w:rsidR="002770DF">
              <w:rPr>
                <w:rFonts w:asciiTheme="majorBidi" w:hAnsiTheme="majorBidi"/>
              </w:rPr>
              <w:t>libre</w:t>
            </w:r>
            <w:r>
              <w:rPr>
                <w:rFonts w:asciiTheme="majorBidi" w:hAnsiTheme="majorBidi"/>
              </w:rPr>
              <w:t>ment et en connaissance de cause</w:t>
            </w:r>
            <w:r w:rsidR="002770DF">
              <w:rPr>
                <w:rFonts w:asciiTheme="majorBidi" w:hAnsiTheme="majorBidi"/>
              </w:rPr>
              <w:t xml:space="preserve"> </w:t>
            </w:r>
          </w:p>
        </w:tc>
        <w:tc>
          <w:tcPr>
            <w:tcW w:w="1984" w:type="dxa"/>
          </w:tcPr>
          <w:p w14:paraId="19B91D7A" w14:textId="77777777" w:rsidR="002770DF" w:rsidRPr="00B76C00" w:rsidRDefault="002770DF" w:rsidP="006027D0">
            <w:pPr>
              <w:spacing w:before="60" w:after="60"/>
              <w:jc w:val="left"/>
              <w:rPr>
                <w:rFonts w:asciiTheme="majorBidi" w:eastAsia="MS Mincho" w:hAnsiTheme="majorBidi" w:cstheme="majorBidi"/>
                <w:bCs/>
                <w:noProof/>
                <w:snapToGrid w:val="0"/>
                <w:kern w:val="22"/>
                <w:szCs w:val="22"/>
              </w:rPr>
            </w:pPr>
            <w:r>
              <w:rPr>
                <w:rFonts w:asciiTheme="majorBidi" w:hAnsiTheme="majorBidi"/>
                <w:bCs/>
                <w:snapToGrid w:val="0"/>
                <w:szCs w:val="22"/>
              </w:rPr>
              <w:t xml:space="preserve">Parties, </w:t>
            </w:r>
            <w:r>
              <w:rPr>
                <w:rFonts w:asciiTheme="majorBidi" w:hAnsiTheme="majorBidi"/>
                <w:szCs w:val="22"/>
              </w:rPr>
              <w:t>peuples autochtones et communautés locales</w:t>
            </w:r>
            <w:r>
              <w:rPr>
                <w:rFonts w:asciiTheme="majorBidi" w:hAnsiTheme="majorBidi"/>
                <w:bCs/>
                <w:snapToGrid w:val="0"/>
                <w:szCs w:val="22"/>
              </w:rPr>
              <w:t>, organisations, Secrétariat</w:t>
            </w:r>
          </w:p>
        </w:tc>
      </w:tr>
    </w:tbl>
    <w:p w14:paraId="1112D965" w14:textId="1E055B25" w:rsidR="00E14951" w:rsidRPr="00E12F85" w:rsidRDefault="00E14951" w:rsidP="00E14951">
      <w:pPr>
        <w:keepNext/>
        <w:widowControl w:val="0"/>
        <w:ind w:left="450"/>
        <w:rPr>
          <w:sz w:val="18"/>
          <w:szCs w:val="18"/>
        </w:rPr>
      </w:pPr>
      <w:r>
        <w:rPr>
          <w:i/>
          <w:iCs/>
          <w:sz w:val="18"/>
          <w:szCs w:val="18"/>
          <w:vertAlign w:val="superscript"/>
        </w:rPr>
        <w:t>a</w:t>
      </w:r>
      <w:r>
        <w:rPr>
          <w:sz w:val="18"/>
          <w:szCs w:val="18"/>
        </w:rPr>
        <w:tab/>
        <w:t xml:space="preserve">Y compris les outils énumérés dans le </w:t>
      </w:r>
      <w:r>
        <w:rPr>
          <w:i/>
          <w:iCs/>
          <w:sz w:val="18"/>
          <w:szCs w:val="18"/>
        </w:rPr>
        <w:t>Compendium d’orientations sur les principales bases de données mondiales concernant les conventions relatives à la biodiversité</w:t>
      </w:r>
      <w:r>
        <w:rPr>
          <w:sz w:val="18"/>
          <w:szCs w:val="18"/>
        </w:rPr>
        <w:t xml:space="preserve"> du Centre mondial de surveillance pour la conservation</w:t>
      </w:r>
      <w:r w:rsidR="00B45229">
        <w:rPr>
          <w:sz w:val="18"/>
          <w:szCs w:val="18"/>
        </w:rPr>
        <w:t xml:space="preserve"> de la nature</w:t>
      </w:r>
      <w:r>
        <w:rPr>
          <w:sz w:val="18"/>
          <w:szCs w:val="18"/>
        </w:rPr>
        <w:t xml:space="preserve"> du </w:t>
      </w:r>
      <w:r>
        <w:rPr>
          <w:sz w:val="18"/>
          <w:szCs w:val="18"/>
        </w:rPr>
        <w:lastRenderedPageBreak/>
        <w:t>Programme des Nations Unies pour l’environnement.</w:t>
      </w:r>
    </w:p>
    <w:p w14:paraId="1B2AA16E" w14:textId="77777777" w:rsidR="00E14951" w:rsidRPr="00C217D8" w:rsidRDefault="00E14951" w:rsidP="00E14951">
      <w:pPr>
        <w:keepNext/>
        <w:widowControl w:val="0"/>
        <w:ind w:left="450"/>
        <w:rPr>
          <w:kern w:val="22"/>
          <w:sz w:val="18"/>
          <w:szCs w:val="18"/>
        </w:rPr>
      </w:pPr>
      <w:r>
        <w:rPr>
          <w:i/>
          <w:iCs/>
          <w:sz w:val="18"/>
          <w:szCs w:val="18"/>
          <w:vertAlign w:val="superscript"/>
        </w:rPr>
        <w:t>b</w:t>
      </w:r>
      <w:r>
        <w:rPr>
          <w:i/>
          <w:iCs/>
          <w:sz w:val="18"/>
          <w:szCs w:val="18"/>
          <w:vertAlign w:val="superscript"/>
        </w:rPr>
        <w:tab/>
      </w:r>
      <w:r>
        <w:rPr>
          <w:sz w:val="18"/>
          <w:szCs w:val="18"/>
        </w:rPr>
        <w:t>Dans le contexte des connaissances traditionnelles, cet aspect comprend l’élaboration et la promotion de protocoles communautaires et de protocoles communautaires bioculturels pour obtenir l’accès à des connaissances traditionnelles et utiliser ces connaissances.</w:t>
      </w:r>
    </w:p>
    <w:p w14:paraId="4D7FB31B" w14:textId="65BCA6EF" w:rsidR="00E14951" w:rsidRPr="00E12F85" w:rsidRDefault="00E14951" w:rsidP="00E14951">
      <w:pPr>
        <w:keepNext/>
        <w:widowControl w:val="0"/>
        <w:ind w:left="450"/>
        <w:rPr>
          <w:kern w:val="22"/>
          <w:sz w:val="18"/>
          <w:szCs w:val="18"/>
        </w:rPr>
      </w:pPr>
      <w:r>
        <w:rPr>
          <w:i/>
          <w:iCs/>
          <w:sz w:val="18"/>
          <w:szCs w:val="18"/>
          <w:vertAlign w:val="superscript"/>
        </w:rPr>
        <w:t>c</w:t>
      </w:r>
      <w:r>
        <w:rPr>
          <w:i/>
          <w:iCs/>
          <w:sz w:val="18"/>
          <w:szCs w:val="18"/>
          <w:vertAlign w:val="superscript"/>
        </w:rPr>
        <w:tab/>
      </w:r>
      <w:r>
        <w:rPr>
          <w:sz w:val="18"/>
          <w:szCs w:val="18"/>
        </w:rPr>
        <w:t xml:space="preserve"> L’Outil de communication des données pour les accords multilatéraux su</w:t>
      </w:r>
      <w:r w:rsidR="00B45229">
        <w:rPr>
          <w:sz w:val="18"/>
          <w:szCs w:val="18"/>
        </w:rPr>
        <w:t>r l’environnement (accessible à l’adresse :</w:t>
      </w:r>
      <w:r>
        <w:rPr>
          <w:sz w:val="18"/>
          <w:szCs w:val="18"/>
        </w:rPr>
        <w:t xml:space="preserve"> </w:t>
      </w:r>
      <w:hyperlink r:id="rId18" w:history="1">
        <w:r>
          <w:rPr>
            <w:rStyle w:val="Hyperlink"/>
          </w:rPr>
          <w:t>https://dart.informea.org</w:t>
        </w:r>
      </w:hyperlink>
      <w:r>
        <w:t xml:space="preserve">) </w:t>
      </w:r>
      <w:r w:rsidRPr="00254EEB">
        <w:rPr>
          <w:sz w:val="18"/>
          <w:szCs w:val="18"/>
        </w:rPr>
        <w:t>est un exemple d’outil applicable per</w:t>
      </w:r>
      <w:r w:rsidR="00B45229">
        <w:rPr>
          <w:sz w:val="18"/>
          <w:szCs w:val="18"/>
        </w:rPr>
        <w:t xml:space="preserve">mettant de gérer les données, </w:t>
      </w:r>
      <w:r w:rsidRPr="00254EEB">
        <w:rPr>
          <w:sz w:val="18"/>
          <w:szCs w:val="18"/>
        </w:rPr>
        <w:t>information</w:t>
      </w:r>
      <w:r w:rsidR="00B45229">
        <w:rPr>
          <w:sz w:val="18"/>
          <w:szCs w:val="18"/>
        </w:rPr>
        <w:t>s et</w:t>
      </w:r>
      <w:r w:rsidRPr="00254EEB">
        <w:rPr>
          <w:sz w:val="18"/>
          <w:szCs w:val="18"/>
        </w:rPr>
        <w:t xml:space="preserve"> connaissances à l’échelle nationale.</w:t>
      </w:r>
    </w:p>
    <w:p w14:paraId="57DC05FA" w14:textId="14375503" w:rsidR="00E14951" w:rsidRPr="00E12F85" w:rsidRDefault="00E14951" w:rsidP="007E2E8E">
      <w:pPr>
        <w:jc w:val="center"/>
      </w:pPr>
      <w:r>
        <w:t>__________</w:t>
      </w:r>
    </w:p>
    <w:p w14:paraId="25554434" w14:textId="653DB8F4" w:rsidR="00E14951" w:rsidRPr="001535BA" w:rsidRDefault="00254EEB" w:rsidP="00E14951">
      <w:pPr>
        <w:pStyle w:val="Para10"/>
        <w:numPr>
          <w:ilvl w:val="0"/>
          <w:numId w:val="0"/>
        </w:numPr>
        <w:tabs>
          <w:tab w:val="clear" w:pos="1134"/>
          <w:tab w:val="left" w:pos="1701"/>
        </w:tabs>
        <w:ind w:left="567"/>
        <w:rPr>
          <w:lang w:val="fr-FR"/>
        </w:rPr>
      </w:pPr>
      <w:r>
        <w:rPr>
          <w:lang w:val="fr-FR"/>
        </w:rPr>
        <w:t xml:space="preserve"> </w:t>
      </w:r>
    </w:p>
    <w:sectPr w:rsidR="00E14951" w:rsidRPr="001535BA" w:rsidSect="008D05B4">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2CCF7" w14:textId="77777777" w:rsidR="00A93977" w:rsidRDefault="00A93977" w:rsidP="00A96B21">
      <w:r>
        <w:separator/>
      </w:r>
    </w:p>
  </w:endnote>
  <w:endnote w:type="continuationSeparator" w:id="0">
    <w:p w14:paraId="089DD717" w14:textId="77777777" w:rsidR="00A93977" w:rsidRDefault="00A93977" w:rsidP="00A96B21">
      <w:r>
        <w:continuationSeparator/>
      </w:r>
    </w:p>
  </w:endnote>
  <w:endnote w:type="continuationNotice" w:id="1">
    <w:p w14:paraId="0AFD13DF" w14:textId="77777777" w:rsidR="00A93977" w:rsidRDefault="00A9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B649" w14:textId="77777777" w:rsidR="006027D0" w:rsidRDefault="006027D0">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3164D3">
      <w:rPr>
        <w:noProof/>
        <w:sz w:val="20"/>
        <w:szCs w:val="20"/>
      </w:rPr>
      <w:t>10</w:t>
    </w:r>
    <w:r w:rsidRPr="002B559C">
      <w:rPr>
        <w:sz w:val="20"/>
        <w:szCs w:val="20"/>
      </w:rPr>
      <w:fldChar w:fldCharType="end"/>
    </w:r>
    <w:r>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3164D3">
      <w:rPr>
        <w:noProof/>
        <w:sz w:val="20"/>
        <w:szCs w:val="20"/>
      </w:rPr>
      <w:t>10</w:t>
    </w:r>
    <w:r w:rsidRPr="002B559C">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4A42156" w14:textId="77777777" w:rsidR="006027D0" w:rsidRDefault="006027D0"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3164D3">
              <w:rPr>
                <w:noProof/>
                <w:sz w:val="20"/>
                <w:szCs w:val="20"/>
              </w:rPr>
              <w:t>9</w:t>
            </w:r>
            <w:r w:rsidRPr="002B559C">
              <w:rPr>
                <w:sz w:val="20"/>
                <w:szCs w:val="20"/>
              </w:rPr>
              <w:fldChar w:fldCharType="end"/>
            </w:r>
            <w:r>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3164D3">
              <w:rPr>
                <w:noProof/>
                <w:sz w:val="20"/>
                <w:szCs w:val="20"/>
              </w:rPr>
              <w:t>10</w:t>
            </w:r>
            <w:r w:rsidRPr="002B559C">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49043" w14:textId="77777777" w:rsidR="00A93977" w:rsidRDefault="00A93977" w:rsidP="00A96B21">
      <w:r>
        <w:separator/>
      </w:r>
    </w:p>
  </w:footnote>
  <w:footnote w:type="continuationSeparator" w:id="0">
    <w:p w14:paraId="34FF6CCE" w14:textId="77777777" w:rsidR="00A93977" w:rsidRDefault="00A93977" w:rsidP="00A96B21">
      <w:r>
        <w:continuationSeparator/>
      </w:r>
    </w:p>
  </w:footnote>
  <w:footnote w:type="continuationNotice" w:id="1">
    <w:p w14:paraId="38F6F5A9" w14:textId="77777777" w:rsidR="00A93977" w:rsidRDefault="00A93977"/>
  </w:footnote>
  <w:footnote w:id="2">
    <w:p w14:paraId="2EDE1B5E" w14:textId="3E007E0B" w:rsidR="006027D0" w:rsidRPr="00E12F85" w:rsidRDefault="006027D0" w:rsidP="00E14951">
      <w:pPr>
        <w:pStyle w:val="FootnoteText"/>
        <w:rPr>
          <w:sz w:val="18"/>
          <w:szCs w:val="18"/>
        </w:rPr>
      </w:pPr>
      <w:r>
        <w:rPr>
          <w:rStyle w:val="FootnoteReference"/>
          <w:sz w:val="18"/>
          <w:szCs w:val="18"/>
        </w:rPr>
        <w:t>*</w:t>
      </w:r>
      <w:r>
        <w:rPr>
          <w:sz w:val="18"/>
          <w:szCs w:val="18"/>
        </w:rPr>
        <w:t xml:space="preserve"> Pour donner suite à la décision 15/16 de la Conférence des Parties à la Convention sur la diversité biologique, le projet fera l’objet d’un examen par des pairs des Parties avant d’être présenté aux fins d’examen par l’Organe subsidiaire chargé de l’application à sa quatrième réunion.</w:t>
      </w:r>
    </w:p>
  </w:footnote>
  <w:footnote w:id="3">
    <w:p w14:paraId="19CCACEF" w14:textId="43027329" w:rsidR="006027D0" w:rsidRPr="00F45E57" w:rsidRDefault="006027D0" w:rsidP="007E2E8E">
      <w:pPr>
        <w:pStyle w:val="Para10"/>
        <w:numPr>
          <w:ilvl w:val="0"/>
          <w:numId w:val="0"/>
        </w:numPr>
        <w:spacing w:before="0" w:after="0"/>
      </w:pPr>
      <w:r>
        <w:rPr>
          <w:rStyle w:val="FootnoteReference"/>
          <w:sz w:val="18"/>
          <w:szCs w:val="18"/>
        </w:rPr>
        <w:footnoteRef/>
      </w:r>
      <w:r>
        <w:rPr>
          <w:sz w:val="18"/>
          <w:szCs w:val="18"/>
        </w:rPr>
        <w:t xml:space="preserve"> Faire en sorte que les décideurs, les praticiens et le public aient accès aux meilleures données, informations et connaissances disponibles afin de favoriser une gouvernance efficace et équitable et la gestion intégrée et participative de la biodiversité, ainsi que de renforcer la communication, la sensibilisation, l’éducation, le suivi, la recherche et la gestion des connaissances; dans ce contexte également, les connaissances, innovations, pratiques et technologies traditionnelles des peuples autochtones et des communautés locales ne devraient être accessibles qu’avec leur consentement préalable, donné librement et en connaissance de cause, conformément aux dispositions de la législation nationale.</w:t>
      </w:r>
    </w:p>
  </w:footnote>
  <w:footnote w:id="4">
    <w:p w14:paraId="009AC033" w14:textId="4A22FD94" w:rsidR="006027D0" w:rsidRPr="0096679C" w:rsidRDefault="006027D0" w:rsidP="007E2E8E">
      <w:pPr>
        <w:pStyle w:val="FootnoteText"/>
        <w:rPr>
          <w:sz w:val="18"/>
          <w:szCs w:val="18"/>
        </w:rPr>
      </w:pPr>
      <w:r>
        <w:rPr>
          <w:rStyle w:val="FootnoteReference"/>
          <w:sz w:val="18"/>
          <w:szCs w:val="18"/>
        </w:rPr>
        <w:footnoteRef/>
      </w:r>
      <w:r>
        <w:rPr>
          <w:sz w:val="18"/>
          <w:szCs w:val="18"/>
        </w:rPr>
        <w:t xml:space="preserve"> Toutes les mentions du terme « consentement préalable, donné librement et en connaissance de cause » font référence à la terminologie tripartite de « consentement préalable donné en connaissance de cause », « consentement préalable;</w:t>
      </w:r>
      <w:r w:rsidRPr="00DC5075">
        <w:rPr>
          <w:sz w:val="18"/>
          <w:szCs w:val="18"/>
        </w:rPr>
        <w:t xml:space="preserve"> </w:t>
      </w:r>
      <w:r>
        <w:rPr>
          <w:sz w:val="18"/>
          <w:szCs w:val="18"/>
        </w:rPr>
        <w:t>donné librement et en connaissance de cause » et « approbation et participation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137802784"/>
  <w:bookmarkStart w:id="2" w:name="_Hlk137802785"/>
  <w:p w14:paraId="438CB041" w14:textId="459C7AE4" w:rsidR="006027D0" w:rsidRPr="002B559C" w:rsidRDefault="006027D0" w:rsidP="002B559C">
    <w:pPr>
      <w:pStyle w:val="Header"/>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Pr>
            <w:sz w:val="20"/>
            <w:szCs w:val="20"/>
            <w:lang w:val="fr-FR"/>
          </w:rPr>
          <w:t>CBD/WG8J/REC/12/3</w:t>
        </w:r>
      </w:sdtContent>
    </w:sdt>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1C799FA" w14:textId="2ABCF8A1" w:rsidR="006027D0" w:rsidRPr="002B559C" w:rsidRDefault="006027D0" w:rsidP="002B559C">
        <w:pPr>
          <w:pStyle w:val="Header"/>
          <w:pBdr>
            <w:bottom w:val="single" w:sz="4" w:space="1" w:color="auto"/>
          </w:pBdr>
          <w:spacing w:after="240"/>
          <w:jc w:val="right"/>
          <w:rPr>
            <w:sz w:val="20"/>
            <w:szCs w:val="20"/>
            <w:lang w:val="fr-FR"/>
          </w:rPr>
        </w:pPr>
        <w:r>
          <w:rPr>
            <w:sz w:val="20"/>
            <w:szCs w:val="20"/>
          </w:rPr>
          <w:t>CBD/WG8J/REC/12/3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6CB6"/>
    <w:multiLevelType w:val="hybridMultilevel"/>
    <w:tmpl w:val="5554E328"/>
    <w:lvl w:ilvl="0" w:tplc="0256DD2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AB075A"/>
    <w:multiLevelType w:val="hybridMultilevel"/>
    <w:tmpl w:val="B7269AA6"/>
    <w:lvl w:ilvl="0" w:tplc="0256DD2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9358E"/>
    <w:multiLevelType w:val="hybridMultilevel"/>
    <w:tmpl w:val="0FA20CFE"/>
    <w:lvl w:ilvl="0" w:tplc="D812B4A8">
      <w:start w:val="1"/>
      <w:numFmt w:val="upperLetter"/>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213C235B"/>
    <w:multiLevelType w:val="hybridMultilevel"/>
    <w:tmpl w:val="237E0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6"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9A43B8B"/>
    <w:multiLevelType w:val="hybridMultilevel"/>
    <w:tmpl w:val="29AC3410"/>
    <w:lvl w:ilvl="0" w:tplc="2320051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F1F768D"/>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C247072"/>
    <w:multiLevelType w:val="hybridMultilevel"/>
    <w:tmpl w:val="0C06B58E"/>
    <w:lvl w:ilvl="0" w:tplc="0C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DC1578A"/>
    <w:multiLevelType w:val="hybridMultilevel"/>
    <w:tmpl w:val="B6CAD7A8"/>
    <w:lvl w:ilvl="0" w:tplc="CA5E2534">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2" w15:restartNumberingAfterBreak="0">
    <w:nsid w:val="404F5D3C"/>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9540C0"/>
    <w:multiLevelType w:val="hybridMultilevel"/>
    <w:tmpl w:val="A21C874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5"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7B412F"/>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CFA567F"/>
    <w:multiLevelType w:val="hybridMultilevel"/>
    <w:tmpl w:val="20442572"/>
    <w:lvl w:ilvl="0" w:tplc="0256DD2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DA2DAC"/>
    <w:multiLevelType w:val="hybridMultilevel"/>
    <w:tmpl w:val="D1D6B6B4"/>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00879B0"/>
    <w:multiLevelType w:val="multilevel"/>
    <w:tmpl w:val="3684D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8F755C"/>
    <w:multiLevelType w:val="hybridMultilevel"/>
    <w:tmpl w:val="2092E114"/>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91445"/>
    <w:multiLevelType w:val="hybridMultilevel"/>
    <w:tmpl w:val="78C46B1E"/>
    <w:lvl w:ilvl="0" w:tplc="0256DD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56AB2B83"/>
    <w:multiLevelType w:val="hybridMultilevel"/>
    <w:tmpl w:val="D76E2C08"/>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7"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68B70991"/>
    <w:multiLevelType w:val="hybridMultilevel"/>
    <w:tmpl w:val="89701754"/>
    <w:lvl w:ilvl="0" w:tplc="9FB2D814">
      <w:start w:val="1"/>
      <w:numFmt w:val="decimal"/>
      <w:pStyle w:val="Para10"/>
      <w:lvlText w:val="%1."/>
      <w:lvlJc w:val="left"/>
      <w:pPr>
        <w:ind w:left="900" w:hanging="360"/>
      </w:pPr>
      <w:rPr>
        <w:rFonts w:hint="default"/>
        <w:i w:val="0"/>
        <w:iCs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D800E13"/>
    <w:multiLevelType w:val="hybridMultilevel"/>
    <w:tmpl w:val="62D2A948"/>
    <w:lvl w:ilvl="0" w:tplc="E732F0B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2240CBB"/>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4455280"/>
    <w:multiLevelType w:val="hybridMultilevel"/>
    <w:tmpl w:val="8922414C"/>
    <w:lvl w:ilvl="0" w:tplc="0256D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31CBB"/>
    <w:multiLevelType w:val="hybridMultilevel"/>
    <w:tmpl w:val="D148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4" w15:restartNumberingAfterBreak="0">
    <w:nsid w:val="757A1570"/>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6B5410F"/>
    <w:multiLevelType w:val="hybridMultilevel"/>
    <w:tmpl w:val="AA842202"/>
    <w:lvl w:ilvl="0" w:tplc="0256DD2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B55DFA"/>
    <w:multiLevelType w:val="hybridMultilevel"/>
    <w:tmpl w:val="C618001C"/>
    <w:lvl w:ilvl="0" w:tplc="0256DD2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65136C"/>
    <w:multiLevelType w:val="hybridMultilevel"/>
    <w:tmpl w:val="2FD8CC6E"/>
    <w:lvl w:ilvl="0" w:tplc="23A6EF4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FBB6DE9"/>
    <w:multiLevelType w:val="hybridMultilevel"/>
    <w:tmpl w:val="C6180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3"/>
  </w:num>
  <w:num w:numId="2">
    <w:abstractNumId w:val="28"/>
  </w:num>
  <w:num w:numId="3">
    <w:abstractNumId w:val="33"/>
  </w:num>
  <w:num w:numId="4">
    <w:abstractNumId w:val="3"/>
  </w:num>
  <w:num w:numId="5">
    <w:abstractNumId w:val="5"/>
  </w:num>
  <w:num w:numId="6">
    <w:abstractNumId w:val="5"/>
  </w:num>
  <w:num w:numId="7">
    <w:abstractNumId w:val="7"/>
  </w:num>
  <w:num w:numId="8">
    <w:abstractNumId w:val="24"/>
  </w:num>
  <w:num w:numId="9">
    <w:abstractNumId w:val="27"/>
  </w:num>
  <w:num w:numId="10">
    <w:abstractNumId w:val="26"/>
  </w:num>
  <w:num w:numId="11">
    <w:abstractNumId w:val="22"/>
  </w:num>
  <w:num w:numId="12">
    <w:abstractNumId w:val="6"/>
  </w:num>
  <w:num w:numId="13">
    <w:abstractNumId w:val="6"/>
    <w:lvlOverride w:ilvl="0">
      <w:startOverride w:val="1"/>
    </w:lvlOverride>
  </w:num>
  <w:num w:numId="14">
    <w:abstractNumId w:val="25"/>
  </w:num>
  <w:num w:numId="15">
    <w:abstractNumId w:val="25"/>
    <w:lvlOverride w:ilvl="0">
      <w:startOverride w:val="1"/>
    </w:lvlOverride>
  </w:num>
  <w:num w:numId="16">
    <w:abstractNumId w:val="28"/>
    <w:lvlOverride w:ilvl="0">
      <w:startOverride w:val="1"/>
    </w:lvlOverride>
  </w:num>
  <w:num w:numId="17">
    <w:abstractNumId w:val="25"/>
    <w:lvlOverride w:ilvl="0">
      <w:startOverride w:val="1"/>
    </w:lvlOverride>
  </w:num>
  <w:num w:numId="18">
    <w:abstractNumId w:val="37"/>
  </w:num>
  <w:num w:numId="19">
    <w:abstractNumId w:val="28"/>
    <w:lvlOverride w:ilvl="0">
      <w:startOverride w:val="1"/>
    </w:lvlOverride>
  </w:num>
  <w:num w:numId="20">
    <w:abstractNumId w:val="28"/>
    <w:lvlOverride w:ilvl="0">
      <w:startOverride w:val="1"/>
    </w:lvlOverride>
  </w:num>
  <w:num w:numId="21">
    <w:abstractNumId w:val="13"/>
  </w:num>
  <w:num w:numId="22">
    <w:abstractNumId w:val="28"/>
  </w:num>
  <w:num w:numId="23">
    <w:abstractNumId w:val="28"/>
  </w:num>
  <w:num w:numId="24">
    <w:abstractNumId w:val="28"/>
  </w:num>
  <w:num w:numId="25">
    <w:abstractNumId w:val="28"/>
  </w:num>
  <w:num w:numId="26">
    <w:abstractNumId w:val="28"/>
  </w:num>
  <w:num w:numId="27">
    <w:abstractNumId w:val="28"/>
  </w:num>
  <w:num w:numId="28">
    <w:abstractNumId w:val="15"/>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lvlOverride w:ilvl="0">
      <w:startOverride w:val="1"/>
    </w:lvlOverride>
  </w:num>
  <w:num w:numId="36">
    <w:abstractNumId w:val="28"/>
  </w:num>
  <w:num w:numId="37">
    <w:abstractNumId w:val="28"/>
    <w:lvlOverride w:ilvl="0">
      <w:startOverride w:val="1"/>
    </w:lvlOverride>
  </w:num>
  <w:num w:numId="38">
    <w:abstractNumId w:val="28"/>
  </w:num>
  <w:num w:numId="39">
    <w:abstractNumId w:val="28"/>
    <w:lvlOverride w:ilvl="0">
      <w:startOverride w:val="1"/>
    </w:lvlOverride>
  </w:num>
  <w:num w:numId="40">
    <w:abstractNumId w:val="28"/>
  </w:num>
  <w:num w:numId="41">
    <w:abstractNumId w:val="28"/>
  </w:num>
  <w:num w:numId="42">
    <w:abstractNumId w:val="14"/>
  </w:num>
  <w:num w:numId="43">
    <w:abstractNumId w:val="28"/>
  </w:num>
  <w:num w:numId="44">
    <w:abstractNumId w:val="8"/>
  </w:num>
  <w:num w:numId="45">
    <w:abstractNumId w:val="28"/>
  </w:num>
  <w:num w:numId="46">
    <w:abstractNumId w:val="28"/>
    <w:lvlOverride w:ilvl="0">
      <w:startOverride w:val="1"/>
    </w:lvlOverride>
  </w:num>
  <w:num w:numId="47">
    <w:abstractNumId w:val="28"/>
  </w:num>
  <w:num w:numId="48">
    <w:abstractNumId w:val="28"/>
    <w:lvlOverride w:ilvl="0">
      <w:startOverride w:val="1"/>
    </w:lvlOverride>
  </w:num>
  <w:num w:numId="49">
    <w:abstractNumId w:val="28"/>
  </w:num>
  <w:num w:numId="50">
    <w:abstractNumId w:val="28"/>
    <w:lvlOverride w:ilvl="0">
      <w:startOverride w:val="1"/>
    </w:lvlOverride>
  </w:num>
  <w:num w:numId="51">
    <w:abstractNumId w:val="28"/>
  </w:num>
  <w:num w:numId="52">
    <w:abstractNumId w:val="18"/>
  </w:num>
  <w:num w:numId="53">
    <w:abstractNumId w:val="10"/>
  </w:num>
  <w:num w:numId="54">
    <w:abstractNumId w:val="32"/>
  </w:num>
  <w:num w:numId="55">
    <w:abstractNumId w:val="4"/>
  </w:num>
  <w:num w:numId="56">
    <w:abstractNumId w:val="36"/>
  </w:num>
  <w:num w:numId="57">
    <w:abstractNumId w:val="20"/>
  </w:num>
  <w:num w:numId="58">
    <w:abstractNumId w:val="1"/>
  </w:num>
  <w:num w:numId="59">
    <w:abstractNumId w:val="23"/>
  </w:num>
  <w:num w:numId="60">
    <w:abstractNumId w:val="35"/>
  </w:num>
  <w:num w:numId="61">
    <w:abstractNumId w:val="30"/>
  </w:num>
  <w:num w:numId="62">
    <w:abstractNumId w:val="31"/>
  </w:num>
  <w:num w:numId="63">
    <w:abstractNumId w:val="39"/>
  </w:num>
  <w:num w:numId="64">
    <w:abstractNumId w:val="34"/>
  </w:num>
  <w:num w:numId="65">
    <w:abstractNumId w:val="21"/>
  </w:num>
  <w:num w:numId="66">
    <w:abstractNumId w:val="17"/>
  </w:num>
  <w:num w:numId="67">
    <w:abstractNumId w:val="12"/>
  </w:num>
  <w:num w:numId="68">
    <w:abstractNumId w:val="9"/>
  </w:num>
  <w:num w:numId="69">
    <w:abstractNumId w:val="16"/>
  </w:num>
  <w:num w:numId="70">
    <w:abstractNumId w:val="0"/>
  </w:num>
  <w:num w:numId="71">
    <w:abstractNumId w:val="13"/>
  </w:num>
  <w:num w:numId="72">
    <w:abstractNumId w:val="28"/>
  </w:num>
  <w:num w:numId="73">
    <w:abstractNumId w:val="28"/>
    <w:lvlOverride w:ilvl="0">
      <w:startOverride w:val="1"/>
    </w:lvlOverride>
  </w:num>
  <w:num w:numId="74">
    <w:abstractNumId w:val="28"/>
  </w:num>
  <w:num w:numId="75">
    <w:abstractNumId w:val="28"/>
  </w:num>
  <w:num w:numId="76">
    <w:abstractNumId w:val="38"/>
  </w:num>
  <w:num w:numId="77">
    <w:abstractNumId w:val="29"/>
  </w:num>
  <w:num w:numId="78">
    <w:abstractNumId w:val="13"/>
    <w:lvlOverride w:ilvl="0">
      <w:startOverride w:val="1"/>
    </w:lvlOverride>
  </w:num>
  <w:num w:numId="79">
    <w:abstractNumId w:val="28"/>
    <w:lvlOverride w:ilvl="0">
      <w:startOverride w:val="1"/>
    </w:lvlOverride>
  </w:num>
  <w:num w:numId="80">
    <w:abstractNumId w:val="2"/>
  </w:num>
  <w:num w:numId="81">
    <w:abstractNumId w:val="11"/>
  </w:num>
  <w:num w:numId="82">
    <w:abstractNumId w:val="13"/>
    <w:lvlOverride w:ilvl="0">
      <w:startOverride w:val="1"/>
    </w:lvlOverride>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AwMjE2MLE0M7Q0MbNU0lEKTi0uzszPAykwrgUAynJobCwAAAA="/>
  </w:docVars>
  <w:rsids>
    <w:rsidRoot w:val="00BD4D94"/>
    <w:rsid w:val="0000052E"/>
    <w:rsid w:val="00003532"/>
    <w:rsid w:val="00006DFA"/>
    <w:rsid w:val="00007F8A"/>
    <w:rsid w:val="00011BDB"/>
    <w:rsid w:val="000127DB"/>
    <w:rsid w:val="00014B94"/>
    <w:rsid w:val="00023A98"/>
    <w:rsid w:val="000247B9"/>
    <w:rsid w:val="000334AA"/>
    <w:rsid w:val="00033EBF"/>
    <w:rsid w:val="00034E16"/>
    <w:rsid w:val="000354AC"/>
    <w:rsid w:val="00040598"/>
    <w:rsid w:val="0004442A"/>
    <w:rsid w:val="00046519"/>
    <w:rsid w:val="000479EA"/>
    <w:rsid w:val="00051980"/>
    <w:rsid w:val="000548B5"/>
    <w:rsid w:val="00054CD1"/>
    <w:rsid w:val="00060777"/>
    <w:rsid w:val="00063648"/>
    <w:rsid w:val="00064438"/>
    <w:rsid w:val="0007060C"/>
    <w:rsid w:val="00070827"/>
    <w:rsid w:val="0007176C"/>
    <w:rsid w:val="00074C4D"/>
    <w:rsid w:val="00082E4E"/>
    <w:rsid w:val="00082F7F"/>
    <w:rsid w:val="0008534C"/>
    <w:rsid w:val="000902DB"/>
    <w:rsid w:val="00090342"/>
    <w:rsid w:val="000905A1"/>
    <w:rsid w:val="0009568B"/>
    <w:rsid w:val="00096B1C"/>
    <w:rsid w:val="00096EA0"/>
    <w:rsid w:val="000A2B4C"/>
    <w:rsid w:val="000A7EBF"/>
    <w:rsid w:val="000B1721"/>
    <w:rsid w:val="000C4D05"/>
    <w:rsid w:val="000C5AD2"/>
    <w:rsid w:val="000C5CD0"/>
    <w:rsid w:val="000D0DF3"/>
    <w:rsid w:val="000D54D7"/>
    <w:rsid w:val="000D70F5"/>
    <w:rsid w:val="000E5A7D"/>
    <w:rsid w:val="000E6900"/>
    <w:rsid w:val="000E7014"/>
    <w:rsid w:val="000F1147"/>
    <w:rsid w:val="000F121B"/>
    <w:rsid w:val="000F656C"/>
    <w:rsid w:val="000F69DB"/>
    <w:rsid w:val="000F6F9E"/>
    <w:rsid w:val="00101BA6"/>
    <w:rsid w:val="0010307B"/>
    <w:rsid w:val="001145D0"/>
    <w:rsid w:val="001212FF"/>
    <w:rsid w:val="00121D53"/>
    <w:rsid w:val="00122888"/>
    <w:rsid w:val="0013008D"/>
    <w:rsid w:val="00132581"/>
    <w:rsid w:val="001422AD"/>
    <w:rsid w:val="001535BA"/>
    <w:rsid w:val="00154309"/>
    <w:rsid w:val="00163866"/>
    <w:rsid w:val="00164CC8"/>
    <w:rsid w:val="00167716"/>
    <w:rsid w:val="00170248"/>
    <w:rsid w:val="00170483"/>
    <w:rsid w:val="00172B68"/>
    <w:rsid w:val="00177100"/>
    <w:rsid w:val="00182702"/>
    <w:rsid w:val="00184909"/>
    <w:rsid w:val="00194AC8"/>
    <w:rsid w:val="00195665"/>
    <w:rsid w:val="00197453"/>
    <w:rsid w:val="001A3971"/>
    <w:rsid w:val="001A62D0"/>
    <w:rsid w:val="001B183F"/>
    <w:rsid w:val="001B296B"/>
    <w:rsid w:val="001B4FEC"/>
    <w:rsid w:val="001B51DD"/>
    <w:rsid w:val="001B755D"/>
    <w:rsid w:val="001C104F"/>
    <w:rsid w:val="001C31CF"/>
    <w:rsid w:val="001C32D2"/>
    <w:rsid w:val="001D109A"/>
    <w:rsid w:val="001E4F84"/>
    <w:rsid w:val="001E6E52"/>
    <w:rsid w:val="00200803"/>
    <w:rsid w:val="00201260"/>
    <w:rsid w:val="00204E8A"/>
    <w:rsid w:val="002105EE"/>
    <w:rsid w:val="00217A74"/>
    <w:rsid w:val="00221574"/>
    <w:rsid w:val="002218F7"/>
    <w:rsid w:val="00224752"/>
    <w:rsid w:val="00226717"/>
    <w:rsid w:val="00226A6F"/>
    <w:rsid w:val="002277D6"/>
    <w:rsid w:val="002317FF"/>
    <w:rsid w:val="00232D63"/>
    <w:rsid w:val="00233226"/>
    <w:rsid w:val="0023464D"/>
    <w:rsid w:val="002347AF"/>
    <w:rsid w:val="0023495D"/>
    <w:rsid w:val="00246879"/>
    <w:rsid w:val="00253ED2"/>
    <w:rsid w:val="00254EEB"/>
    <w:rsid w:val="0026324B"/>
    <w:rsid w:val="00267EBA"/>
    <w:rsid w:val="0027147A"/>
    <w:rsid w:val="002770DF"/>
    <w:rsid w:val="002804A5"/>
    <w:rsid w:val="00284ACC"/>
    <w:rsid w:val="0029247F"/>
    <w:rsid w:val="00292BF7"/>
    <w:rsid w:val="00295EB7"/>
    <w:rsid w:val="00296C53"/>
    <w:rsid w:val="002A07FE"/>
    <w:rsid w:val="002A1517"/>
    <w:rsid w:val="002A6967"/>
    <w:rsid w:val="002B00CA"/>
    <w:rsid w:val="002B3353"/>
    <w:rsid w:val="002B350E"/>
    <w:rsid w:val="002B559C"/>
    <w:rsid w:val="002C49E6"/>
    <w:rsid w:val="002D17C2"/>
    <w:rsid w:val="002D1CDF"/>
    <w:rsid w:val="002D44B8"/>
    <w:rsid w:val="002E1011"/>
    <w:rsid w:val="002E6BEA"/>
    <w:rsid w:val="002F0BCC"/>
    <w:rsid w:val="002F51B8"/>
    <w:rsid w:val="00301C40"/>
    <w:rsid w:val="00303916"/>
    <w:rsid w:val="00304E36"/>
    <w:rsid w:val="00306409"/>
    <w:rsid w:val="00310608"/>
    <w:rsid w:val="0031377A"/>
    <w:rsid w:val="0031489F"/>
    <w:rsid w:val="003164D3"/>
    <w:rsid w:val="00317106"/>
    <w:rsid w:val="00323F22"/>
    <w:rsid w:val="0033420C"/>
    <w:rsid w:val="00334FDC"/>
    <w:rsid w:val="00335B6E"/>
    <w:rsid w:val="00343D2A"/>
    <w:rsid w:val="003475EE"/>
    <w:rsid w:val="003476A9"/>
    <w:rsid w:val="00357876"/>
    <w:rsid w:val="0036141D"/>
    <w:rsid w:val="00362411"/>
    <w:rsid w:val="00365A84"/>
    <w:rsid w:val="00387455"/>
    <w:rsid w:val="00387C45"/>
    <w:rsid w:val="00390F99"/>
    <w:rsid w:val="00391219"/>
    <w:rsid w:val="00396EAB"/>
    <w:rsid w:val="003A02F4"/>
    <w:rsid w:val="003A1E53"/>
    <w:rsid w:val="003A530E"/>
    <w:rsid w:val="003A5F5D"/>
    <w:rsid w:val="003B1EA0"/>
    <w:rsid w:val="003B7F43"/>
    <w:rsid w:val="003C0B9E"/>
    <w:rsid w:val="003C3B1E"/>
    <w:rsid w:val="003C4088"/>
    <w:rsid w:val="003C4B26"/>
    <w:rsid w:val="003C6F10"/>
    <w:rsid w:val="003D7C3B"/>
    <w:rsid w:val="003E402D"/>
    <w:rsid w:val="003E5052"/>
    <w:rsid w:val="003F032B"/>
    <w:rsid w:val="003F0E17"/>
    <w:rsid w:val="003F0F0D"/>
    <w:rsid w:val="003F138B"/>
    <w:rsid w:val="003F2C5B"/>
    <w:rsid w:val="004003EF"/>
    <w:rsid w:val="00401C02"/>
    <w:rsid w:val="004033D3"/>
    <w:rsid w:val="00407706"/>
    <w:rsid w:val="00417E67"/>
    <w:rsid w:val="0042369C"/>
    <w:rsid w:val="00424930"/>
    <w:rsid w:val="00425859"/>
    <w:rsid w:val="00427128"/>
    <w:rsid w:val="0043080F"/>
    <w:rsid w:val="00431F27"/>
    <w:rsid w:val="00434731"/>
    <w:rsid w:val="004446BC"/>
    <w:rsid w:val="00452E2E"/>
    <w:rsid w:val="00452F0B"/>
    <w:rsid w:val="0045412B"/>
    <w:rsid w:val="0045476C"/>
    <w:rsid w:val="0046657C"/>
    <w:rsid w:val="0046746A"/>
    <w:rsid w:val="004701EE"/>
    <w:rsid w:val="00470510"/>
    <w:rsid w:val="004724B6"/>
    <w:rsid w:val="00477C7C"/>
    <w:rsid w:val="0048350F"/>
    <w:rsid w:val="004862CC"/>
    <w:rsid w:val="00486BBB"/>
    <w:rsid w:val="004925B3"/>
    <w:rsid w:val="0049503F"/>
    <w:rsid w:val="004A2A2D"/>
    <w:rsid w:val="004A4D41"/>
    <w:rsid w:val="004A4F59"/>
    <w:rsid w:val="004B0487"/>
    <w:rsid w:val="004B0626"/>
    <w:rsid w:val="004B437B"/>
    <w:rsid w:val="004B4543"/>
    <w:rsid w:val="004B5DDB"/>
    <w:rsid w:val="004C15F0"/>
    <w:rsid w:val="004C2CE1"/>
    <w:rsid w:val="004D1E4D"/>
    <w:rsid w:val="004D2B4D"/>
    <w:rsid w:val="004D3D26"/>
    <w:rsid w:val="004D3F31"/>
    <w:rsid w:val="004D5125"/>
    <w:rsid w:val="004E218F"/>
    <w:rsid w:val="004E33F7"/>
    <w:rsid w:val="004F114C"/>
    <w:rsid w:val="004F1BEE"/>
    <w:rsid w:val="004F2980"/>
    <w:rsid w:val="00501D5E"/>
    <w:rsid w:val="005027A8"/>
    <w:rsid w:val="00502A0F"/>
    <w:rsid w:val="005066AF"/>
    <w:rsid w:val="00512B8F"/>
    <w:rsid w:val="00521B28"/>
    <w:rsid w:val="005232E0"/>
    <w:rsid w:val="0052657C"/>
    <w:rsid w:val="005271CA"/>
    <w:rsid w:val="00531B13"/>
    <w:rsid w:val="00532F6E"/>
    <w:rsid w:val="0053390B"/>
    <w:rsid w:val="00534D9B"/>
    <w:rsid w:val="005358B0"/>
    <w:rsid w:val="00537248"/>
    <w:rsid w:val="00544202"/>
    <w:rsid w:val="00545340"/>
    <w:rsid w:val="00552AFC"/>
    <w:rsid w:val="005538E1"/>
    <w:rsid w:val="00554FFD"/>
    <w:rsid w:val="00555C2D"/>
    <w:rsid w:val="005618EE"/>
    <w:rsid w:val="00566414"/>
    <w:rsid w:val="00574BB5"/>
    <w:rsid w:val="005800D3"/>
    <w:rsid w:val="00580414"/>
    <w:rsid w:val="0058276F"/>
    <w:rsid w:val="00585BF9"/>
    <w:rsid w:val="00592BF1"/>
    <w:rsid w:val="00593CC6"/>
    <w:rsid w:val="0059796C"/>
    <w:rsid w:val="005A206E"/>
    <w:rsid w:val="005A3995"/>
    <w:rsid w:val="005A4959"/>
    <w:rsid w:val="005B4516"/>
    <w:rsid w:val="005B538C"/>
    <w:rsid w:val="005C0880"/>
    <w:rsid w:val="005C349E"/>
    <w:rsid w:val="005C4AF2"/>
    <w:rsid w:val="005D0038"/>
    <w:rsid w:val="005D0BCF"/>
    <w:rsid w:val="005D0DFD"/>
    <w:rsid w:val="005D67F0"/>
    <w:rsid w:val="005D78FA"/>
    <w:rsid w:val="005D7ECD"/>
    <w:rsid w:val="005E09F9"/>
    <w:rsid w:val="005E2605"/>
    <w:rsid w:val="005E2739"/>
    <w:rsid w:val="005E285F"/>
    <w:rsid w:val="005E3320"/>
    <w:rsid w:val="005E4700"/>
    <w:rsid w:val="005E4BE2"/>
    <w:rsid w:val="005E631A"/>
    <w:rsid w:val="005F0D36"/>
    <w:rsid w:val="005F2247"/>
    <w:rsid w:val="005F35DC"/>
    <w:rsid w:val="005F6991"/>
    <w:rsid w:val="006012B2"/>
    <w:rsid w:val="006012BC"/>
    <w:rsid w:val="006027D0"/>
    <w:rsid w:val="00606F96"/>
    <w:rsid w:val="00611E12"/>
    <w:rsid w:val="0061385B"/>
    <w:rsid w:val="006173B3"/>
    <w:rsid w:val="00621CA9"/>
    <w:rsid w:val="00624439"/>
    <w:rsid w:val="006254CA"/>
    <w:rsid w:val="00626C47"/>
    <w:rsid w:val="00627C5D"/>
    <w:rsid w:val="006300B8"/>
    <w:rsid w:val="00630C8D"/>
    <w:rsid w:val="00633222"/>
    <w:rsid w:val="00636547"/>
    <w:rsid w:val="00641E50"/>
    <w:rsid w:val="006440BD"/>
    <w:rsid w:val="00652B78"/>
    <w:rsid w:val="00657ED6"/>
    <w:rsid w:val="00660329"/>
    <w:rsid w:val="00664D97"/>
    <w:rsid w:val="00666711"/>
    <w:rsid w:val="0066735D"/>
    <w:rsid w:val="00670A2D"/>
    <w:rsid w:val="00671A6F"/>
    <w:rsid w:val="00672172"/>
    <w:rsid w:val="00672BE4"/>
    <w:rsid w:val="006773A2"/>
    <w:rsid w:val="00680BC1"/>
    <w:rsid w:val="00682173"/>
    <w:rsid w:val="00682E81"/>
    <w:rsid w:val="006834F1"/>
    <w:rsid w:val="00694596"/>
    <w:rsid w:val="00696D74"/>
    <w:rsid w:val="006A05EB"/>
    <w:rsid w:val="006A404F"/>
    <w:rsid w:val="006A62F0"/>
    <w:rsid w:val="006B293D"/>
    <w:rsid w:val="006B425A"/>
    <w:rsid w:val="006B43EF"/>
    <w:rsid w:val="006C6066"/>
    <w:rsid w:val="006D0198"/>
    <w:rsid w:val="006D76D2"/>
    <w:rsid w:val="006D7829"/>
    <w:rsid w:val="006E1460"/>
    <w:rsid w:val="006E2A45"/>
    <w:rsid w:val="006E3CB7"/>
    <w:rsid w:val="006E4C3D"/>
    <w:rsid w:val="006E6CB6"/>
    <w:rsid w:val="006F1404"/>
    <w:rsid w:val="006F19E8"/>
    <w:rsid w:val="006F42E9"/>
    <w:rsid w:val="006F6D61"/>
    <w:rsid w:val="006F6F15"/>
    <w:rsid w:val="007041E3"/>
    <w:rsid w:val="007042C8"/>
    <w:rsid w:val="00706AE4"/>
    <w:rsid w:val="00707AB1"/>
    <w:rsid w:val="00711C63"/>
    <w:rsid w:val="00720210"/>
    <w:rsid w:val="00722F9C"/>
    <w:rsid w:val="00734DBB"/>
    <w:rsid w:val="007367C6"/>
    <w:rsid w:val="00741F83"/>
    <w:rsid w:val="00742A08"/>
    <w:rsid w:val="007515C5"/>
    <w:rsid w:val="007576CF"/>
    <w:rsid w:val="0076325C"/>
    <w:rsid w:val="00763CE8"/>
    <w:rsid w:val="00765A1F"/>
    <w:rsid w:val="00765F28"/>
    <w:rsid w:val="0076669C"/>
    <w:rsid w:val="007679E0"/>
    <w:rsid w:val="00770228"/>
    <w:rsid w:val="00775E2F"/>
    <w:rsid w:val="007761F0"/>
    <w:rsid w:val="0077766A"/>
    <w:rsid w:val="00784901"/>
    <w:rsid w:val="00784D80"/>
    <w:rsid w:val="00785E89"/>
    <w:rsid w:val="0079060E"/>
    <w:rsid w:val="007A0C1D"/>
    <w:rsid w:val="007B026A"/>
    <w:rsid w:val="007B06E5"/>
    <w:rsid w:val="007B1D18"/>
    <w:rsid w:val="007B1DAD"/>
    <w:rsid w:val="007B64D3"/>
    <w:rsid w:val="007C06C6"/>
    <w:rsid w:val="007C0801"/>
    <w:rsid w:val="007C1DC3"/>
    <w:rsid w:val="007C5B47"/>
    <w:rsid w:val="007C60D5"/>
    <w:rsid w:val="007C77BC"/>
    <w:rsid w:val="007C7D99"/>
    <w:rsid w:val="007D02EF"/>
    <w:rsid w:val="007D6B17"/>
    <w:rsid w:val="007D7EE7"/>
    <w:rsid w:val="007E046F"/>
    <w:rsid w:val="007E2E8E"/>
    <w:rsid w:val="007E4472"/>
    <w:rsid w:val="007F7945"/>
    <w:rsid w:val="00800F72"/>
    <w:rsid w:val="0080575E"/>
    <w:rsid w:val="00806AEB"/>
    <w:rsid w:val="00810689"/>
    <w:rsid w:val="00815342"/>
    <w:rsid w:val="00815663"/>
    <w:rsid w:val="00816678"/>
    <w:rsid w:val="008217E1"/>
    <w:rsid w:val="00821E26"/>
    <w:rsid w:val="008239E9"/>
    <w:rsid w:val="00823B39"/>
    <w:rsid w:val="008263BB"/>
    <w:rsid w:val="00827D7F"/>
    <w:rsid w:val="00833F99"/>
    <w:rsid w:val="00836D12"/>
    <w:rsid w:val="008377F3"/>
    <w:rsid w:val="00841393"/>
    <w:rsid w:val="00841A71"/>
    <w:rsid w:val="0084269A"/>
    <w:rsid w:val="0084310C"/>
    <w:rsid w:val="00843EE9"/>
    <w:rsid w:val="00844086"/>
    <w:rsid w:val="0084521E"/>
    <w:rsid w:val="00860493"/>
    <w:rsid w:val="008607B1"/>
    <w:rsid w:val="00860F5B"/>
    <w:rsid w:val="008739D0"/>
    <w:rsid w:val="00874541"/>
    <w:rsid w:val="0087516C"/>
    <w:rsid w:val="00875A98"/>
    <w:rsid w:val="00876104"/>
    <w:rsid w:val="00887967"/>
    <w:rsid w:val="00887D0E"/>
    <w:rsid w:val="00891F06"/>
    <w:rsid w:val="0089574E"/>
    <w:rsid w:val="00896063"/>
    <w:rsid w:val="008963AC"/>
    <w:rsid w:val="00896945"/>
    <w:rsid w:val="008A01F1"/>
    <w:rsid w:val="008A5B3F"/>
    <w:rsid w:val="008A67BF"/>
    <w:rsid w:val="008A7C36"/>
    <w:rsid w:val="008B6ECC"/>
    <w:rsid w:val="008C041A"/>
    <w:rsid w:val="008C125D"/>
    <w:rsid w:val="008C5111"/>
    <w:rsid w:val="008C6593"/>
    <w:rsid w:val="008D0019"/>
    <w:rsid w:val="008D05B4"/>
    <w:rsid w:val="008D0DBA"/>
    <w:rsid w:val="008D16B0"/>
    <w:rsid w:val="008D1898"/>
    <w:rsid w:val="008D1C7A"/>
    <w:rsid w:val="008D3415"/>
    <w:rsid w:val="008D4CE4"/>
    <w:rsid w:val="008D72BB"/>
    <w:rsid w:val="008D7538"/>
    <w:rsid w:val="008E0581"/>
    <w:rsid w:val="008E0707"/>
    <w:rsid w:val="008E091D"/>
    <w:rsid w:val="008E2257"/>
    <w:rsid w:val="008E3097"/>
    <w:rsid w:val="008E4945"/>
    <w:rsid w:val="008F083E"/>
    <w:rsid w:val="008F1146"/>
    <w:rsid w:val="008F24B1"/>
    <w:rsid w:val="008F396A"/>
    <w:rsid w:val="008F4435"/>
    <w:rsid w:val="008F6C22"/>
    <w:rsid w:val="00901108"/>
    <w:rsid w:val="00902567"/>
    <w:rsid w:val="009033D0"/>
    <w:rsid w:val="00904100"/>
    <w:rsid w:val="009106A0"/>
    <w:rsid w:val="009120B8"/>
    <w:rsid w:val="009134E0"/>
    <w:rsid w:val="00914D31"/>
    <w:rsid w:val="00916042"/>
    <w:rsid w:val="00916935"/>
    <w:rsid w:val="009216F4"/>
    <w:rsid w:val="00924703"/>
    <w:rsid w:val="00924B6D"/>
    <w:rsid w:val="00930053"/>
    <w:rsid w:val="00932EF3"/>
    <w:rsid w:val="00932F74"/>
    <w:rsid w:val="00935461"/>
    <w:rsid w:val="0093683C"/>
    <w:rsid w:val="00937439"/>
    <w:rsid w:val="009479BB"/>
    <w:rsid w:val="009520A2"/>
    <w:rsid w:val="00953E78"/>
    <w:rsid w:val="00956D6B"/>
    <w:rsid w:val="009577B1"/>
    <w:rsid w:val="00960B11"/>
    <w:rsid w:val="00961D5C"/>
    <w:rsid w:val="00962145"/>
    <w:rsid w:val="00962F07"/>
    <w:rsid w:val="00971C3F"/>
    <w:rsid w:val="009757D0"/>
    <w:rsid w:val="00985A2B"/>
    <w:rsid w:val="00987205"/>
    <w:rsid w:val="00992B38"/>
    <w:rsid w:val="00993FFB"/>
    <w:rsid w:val="0099419A"/>
    <w:rsid w:val="00995DDC"/>
    <w:rsid w:val="009A0780"/>
    <w:rsid w:val="009A10FE"/>
    <w:rsid w:val="009A2400"/>
    <w:rsid w:val="009A4CA6"/>
    <w:rsid w:val="009A656B"/>
    <w:rsid w:val="009B2F17"/>
    <w:rsid w:val="009C0BB8"/>
    <w:rsid w:val="009C1114"/>
    <w:rsid w:val="009C5074"/>
    <w:rsid w:val="009D0696"/>
    <w:rsid w:val="009D0C9C"/>
    <w:rsid w:val="009D3BBD"/>
    <w:rsid w:val="009D48C6"/>
    <w:rsid w:val="009E1F27"/>
    <w:rsid w:val="009E30B7"/>
    <w:rsid w:val="009E45DF"/>
    <w:rsid w:val="009E58CF"/>
    <w:rsid w:val="009F1F12"/>
    <w:rsid w:val="009F2D01"/>
    <w:rsid w:val="009F5FB8"/>
    <w:rsid w:val="009F66EF"/>
    <w:rsid w:val="009F6C8D"/>
    <w:rsid w:val="009F6D0F"/>
    <w:rsid w:val="00A0307C"/>
    <w:rsid w:val="00A05191"/>
    <w:rsid w:val="00A05D83"/>
    <w:rsid w:val="00A05EC0"/>
    <w:rsid w:val="00A125F2"/>
    <w:rsid w:val="00A14378"/>
    <w:rsid w:val="00A15C29"/>
    <w:rsid w:val="00A2187C"/>
    <w:rsid w:val="00A23CD8"/>
    <w:rsid w:val="00A24931"/>
    <w:rsid w:val="00A26133"/>
    <w:rsid w:val="00A27139"/>
    <w:rsid w:val="00A35270"/>
    <w:rsid w:val="00A366A0"/>
    <w:rsid w:val="00A370C4"/>
    <w:rsid w:val="00A40911"/>
    <w:rsid w:val="00A44717"/>
    <w:rsid w:val="00A464CA"/>
    <w:rsid w:val="00A510E1"/>
    <w:rsid w:val="00A52814"/>
    <w:rsid w:val="00A53C30"/>
    <w:rsid w:val="00A54FA0"/>
    <w:rsid w:val="00A5658D"/>
    <w:rsid w:val="00A576A0"/>
    <w:rsid w:val="00A67EA8"/>
    <w:rsid w:val="00A7740D"/>
    <w:rsid w:val="00A77BCD"/>
    <w:rsid w:val="00A82D79"/>
    <w:rsid w:val="00A84596"/>
    <w:rsid w:val="00A93977"/>
    <w:rsid w:val="00A9576E"/>
    <w:rsid w:val="00A96B21"/>
    <w:rsid w:val="00AA09D6"/>
    <w:rsid w:val="00AA293B"/>
    <w:rsid w:val="00AA2CE2"/>
    <w:rsid w:val="00AA33F6"/>
    <w:rsid w:val="00AA373F"/>
    <w:rsid w:val="00AA4ED7"/>
    <w:rsid w:val="00AA4F78"/>
    <w:rsid w:val="00AB084D"/>
    <w:rsid w:val="00AB1986"/>
    <w:rsid w:val="00AB52A9"/>
    <w:rsid w:val="00AB7FCF"/>
    <w:rsid w:val="00AC0CF6"/>
    <w:rsid w:val="00AC3D49"/>
    <w:rsid w:val="00AC650B"/>
    <w:rsid w:val="00AD0BEF"/>
    <w:rsid w:val="00AD1255"/>
    <w:rsid w:val="00AD31D9"/>
    <w:rsid w:val="00AD43C1"/>
    <w:rsid w:val="00AD5F0F"/>
    <w:rsid w:val="00AE0A7C"/>
    <w:rsid w:val="00AE1A95"/>
    <w:rsid w:val="00AE40BB"/>
    <w:rsid w:val="00AF4D70"/>
    <w:rsid w:val="00AF6C90"/>
    <w:rsid w:val="00B0348E"/>
    <w:rsid w:val="00B047F3"/>
    <w:rsid w:val="00B14EC7"/>
    <w:rsid w:val="00B16B71"/>
    <w:rsid w:val="00B16D15"/>
    <w:rsid w:val="00B17F8A"/>
    <w:rsid w:val="00B232E4"/>
    <w:rsid w:val="00B24B29"/>
    <w:rsid w:val="00B308D7"/>
    <w:rsid w:val="00B33C36"/>
    <w:rsid w:val="00B36637"/>
    <w:rsid w:val="00B36EA9"/>
    <w:rsid w:val="00B376C4"/>
    <w:rsid w:val="00B4102C"/>
    <w:rsid w:val="00B43A01"/>
    <w:rsid w:val="00B45229"/>
    <w:rsid w:val="00B505F0"/>
    <w:rsid w:val="00B50B61"/>
    <w:rsid w:val="00B51251"/>
    <w:rsid w:val="00B553C9"/>
    <w:rsid w:val="00B60CA4"/>
    <w:rsid w:val="00B64A60"/>
    <w:rsid w:val="00B71859"/>
    <w:rsid w:val="00B73A42"/>
    <w:rsid w:val="00B73EB1"/>
    <w:rsid w:val="00B768FA"/>
    <w:rsid w:val="00B8090C"/>
    <w:rsid w:val="00B80E56"/>
    <w:rsid w:val="00B856E4"/>
    <w:rsid w:val="00B86848"/>
    <w:rsid w:val="00B927E7"/>
    <w:rsid w:val="00B94362"/>
    <w:rsid w:val="00B943DD"/>
    <w:rsid w:val="00B9732F"/>
    <w:rsid w:val="00BA672A"/>
    <w:rsid w:val="00BA6F21"/>
    <w:rsid w:val="00BA783C"/>
    <w:rsid w:val="00BB1B50"/>
    <w:rsid w:val="00BB5508"/>
    <w:rsid w:val="00BB6703"/>
    <w:rsid w:val="00BB7D20"/>
    <w:rsid w:val="00BC21A6"/>
    <w:rsid w:val="00BC5F5C"/>
    <w:rsid w:val="00BD4D94"/>
    <w:rsid w:val="00BD5AA6"/>
    <w:rsid w:val="00BD6051"/>
    <w:rsid w:val="00BD673D"/>
    <w:rsid w:val="00BD6C4A"/>
    <w:rsid w:val="00BE325D"/>
    <w:rsid w:val="00BE54BF"/>
    <w:rsid w:val="00BE62EC"/>
    <w:rsid w:val="00BF1B6B"/>
    <w:rsid w:val="00BF293F"/>
    <w:rsid w:val="00BF2A56"/>
    <w:rsid w:val="00BF5C91"/>
    <w:rsid w:val="00BF7731"/>
    <w:rsid w:val="00C0169F"/>
    <w:rsid w:val="00C01854"/>
    <w:rsid w:val="00C06ECB"/>
    <w:rsid w:val="00C07D09"/>
    <w:rsid w:val="00C13227"/>
    <w:rsid w:val="00C14A05"/>
    <w:rsid w:val="00C217D8"/>
    <w:rsid w:val="00C2265A"/>
    <w:rsid w:val="00C2354A"/>
    <w:rsid w:val="00C30358"/>
    <w:rsid w:val="00C361B6"/>
    <w:rsid w:val="00C3647C"/>
    <w:rsid w:val="00C37C5D"/>
    <w:rsid w:val="00C44659"/>
    <w:rsid w:val="00C53738"/>
    <w:rsid w:val="00C56052"/>
    <w:rsid w:val="00C635DC"/>
    <w:rsid w:val="00C6527B"/>
    <w:rsid w:val="00C70470"/>
    <w:rsid w:val="00C70D2F"/>
    <w:rsid w:val="00C71042"/>
    <w:rsid w:val="00C762E3"/>
    <w:rsid w:val="00C76B9F"/>
    <w:rsid w:val="00C8063A"/>
    <w:rsid w:val="00C82BF5"/>
    <w:rsid w:val="00C92450"/>
    <w:rsid w:val="00C948CC"/>
    <w:rsid w:val="00C959B0"/>
    <w:rsid w:val="00CA324F"/>
    <w:rsid w:val="00CB36A3"/>
    <w:rsid w:val="00CB7B4D"/>
    <w:rsid w:val="00CD5532"/>
    <w:rsid w:val="00CD7BD9"/>
    <w:rsid w:val="00CE049F"/>
    <w:rsid w:val="00CE11D1"/>
    <w:rsid w:val="00CE2BAC"/>
    <w:rsid w:val="00CE37F5"/>
    <w:rsid w:val="00CE4A7F"/>
    <w:rsid w:val="00CE6CE4"/>
    <w:rsid w:val="00CE76E2"/>
    <w:rsid w:val="00CE7ABE"/>
    <w:rsid w:val="00CF5650"/>
    <w:rsid w:val="00CF70AB"/>
    <w:rsid w:val="00D00EE5"/>
    <w:rsid w:val="00D0359D"/>
    <w:rsid w:val="00D035C3"/>
    <w:rsid w:val="00D03D0E"/>
    <w:rsid w:val="00D056E4"/>
    <w:rsid w:val="00D11E79"/>
    <w:rsid w:val="00D123D8"/>
    <w:rsid w:val="00D13F86"/>
    <w:rsid w:val="00D1508C"/>
    <w:rsid w:val="00D3059B"/>
    <w:rsid w:val="00D34AF8"/>
    <w:rsid w:val="00D34EAE"/>
    <w:rsid w:val="00D41B83"/>
    <w:rsid w:val="00D43E3B"/>
    <w:rsid w:val="00D448E0"/>
    <w:rsid w:val="00D5183A"/>
    <w:rsid w:val="00D5678C"/>
    <w:rsid w:val="00D60046"/>
    <w:rsid w:val="00D60911"/>
    <w:rsid w:val="00D645D6"/>
    <w:rsid w:val="00D656E0"/>
    <w:rsid w:val="00D67A2A"/>
    <w:rsid w:val="00D71F44"/>
    <w:rsid w:val="00D71FFB"/>
    <w:rsid w:val="00D73B11"/>
    <w:rsid w:val="00D74219"/>
    <w:rsid w:val="00D8592A"/>
    <w:rsid w:val="00D94BBC"/>
    <w:rsid w:val="00D95348"/>
    <w:rsid w:val="00D9562B"/>
    <w:rsid w:val="00D95641"/>
    <w:rsid w:val="00DA342E"/>
    <w:rsid w:val="00DA4DFC"/>
    <w:rsid w:val="00DA5727"/>
    <w:rsid w:val="00DA58A8"/>
    <w:rsid w:val="00DB0C7A"/>
    <w:rsid w:val="00DB50FB"/>
    <w:rsid w:val="00DB6857"/>
    <w:rsid w:val="00DC408C"/>
    <w:rsid w:val="00DC4861"/>
    <w:rsid w:val="00DC4E72"/>
    <w:rsid w:val="00DC5075"/>
    <w:rsid w:val="00DC5DC3"/>
    <w:rsid w:val="00DD3A9A"/>
    <w:rsid w:val="00DD492B"/>
    <w:rsid w:val="00DD6F1A"/>
    <w:rsid w:val="00DD7CE8"/>
    <w:rsid w:val="00DE05E0"/>
    <w:rsid w:val="00DF151A"/>
    <w:rsid w:val="00DF17B3"/>
    <w:rsid w:val="00DF7C04"/>
    <w:rsid w:val="00E0123F"/>
    <w:rsid w:val="00E01414"/>
    <w:rsid w:val="00E03458"/>
    <w:rsid w:val="00E0468C"/>
    <w:rsid w:val="00E1084F"/>
    <w:rsid w:val="00E122E9"/>
    <w:rsid w:val="00E12F85"/>
    <w:rsid w:val="00E14951"/>
    <w:rsid w:val="00E1597C"/>
    <w:rsid w:val="00E172FE"/>
    <w:rsid w:val="00E33628"/>
    <w:rsid w:val="00E4198F"/>
    <w:rsid w:val="00E4631C"/>
    <w:rsid w:val="00E50580"/>
    <w:rsid w:val="00E51573"/>
    <w:rsid w:val="00E578EA"/>
    <w:rsid w:val="00E60AA0"/>
    <w:rsid w:val="00E63B90"/>
    <w:rsid w:val="00E67DF7"/>
    <w:rsid w:val="00E71D45"/>
    <w:rsid w:val="00E72897"/>
    <w:rsid w:val="00E729F7"/>
    <w:rsid w:val="00E72B1E"/>
    <w:rsid w:val="00E74C05"/>
    <w:rsid w:val="00E75405"/>
    <w:rsid w:val="00E81F03"/>
    <w:rsid w:val="00E92940"/>
    <w:rsid w:val="00E949B0"/>
    <w:rsid w:val="00E9531D"/>
    <w:rsid w:val="00EA2094"/>
    <w:rsid w:val="00EA66DD"/>
    <w:rsid w:val="00EB14E5"/>
    <w:rsid w:val="00EB30CE"/>
    <w:rsid w:val="00EB51C6"/>
    <w:rsid w:val="00EB728E"/>
    <w:rsid w:val="00EC13D7"/>
    <w:rsid w:val="00EC43F0"/>
    <w:rsid w:val="00EC5235"/>
    <w:rsid w:val="00ED336C"/>
    <w:rsid w:val="00ED3849"/>
    <w:rsid w:val="00EE04AE"/>
    <w:rsid w:val="00EE0C8E"/>
    <w:rsid w:val="00EE4E51"/>
    <w:rsid w:val="00EE5781"/>
    <w:rsid w:val="00EF1637"/>
    <w:rsid w:val="00EF39E8"/>
    <w:rsid w:val="00EF6A46"/>
    <w:rsid w:val="00F1081A"/>
    <w:rsid w:val="00F10C72"/>
    <w:rsid w:val="00F111E2"/>
    <w:rsid w:val="00F11637"/>
    <w:rsid w:val="00F12145"/>
    <w:rsid w:val="00F21322"/>
    <w:rsid w:val="00F21EEB"/>
    <w:rsid w:val="00F258FB"/>
    <w:rsid w:val="00F25CE4"/>
    <w:rsid w:val="00F42B53"/>
    <w:rsid w:val="00F51F6C"/>
    <w:rsid w:val="00F545B6"/>
    <w:rsid w:val="00F547F0"/>
    <w:rsid w:val="00F56846"/>
    <w:rsid w:val="00F870CC"/>
    <w:rsid w:val="00F91CD1"/>
    <w:rsid w:val="00F93558"/>
    <w:rsid w:val="00F93FC9"/>
    <w:rsid w:val="00F940B7"/>
    <w:rsid w:val="00F946D5"/>
    <w:rsid w:val="00F95466"/>
    <w:rsid w:val="00FA1747"/>
    <w:rsid w:val="00FA18C9"/>
    <w:rsid w:val="00FA25A0"/>
    <w:rsid w:val="00FA2E7B"/>
    <w:rsid w:val="00FA3091"/>
    <w:rsid w:val="00FA451B"/>
    <w:rsid w:val="00FA5906"/>
    <w:rsid w:val="00FA5A6F"/>
    <w:rsid w:val="00FA7300"/>
    <w:rsid w:val="00FB70A4"/>
    <w:rsid w:val="00FC0602"/>
    <w:rsid w:val="00FC5674"/>
    <w:rsid w:val="00FD5149"/>
    <w:rsid w:val="00FD6CC6"/>
    <w:rsid w:val="00FE2B33"/>
    <w:rsid w:val="00FE3B49"/>
    <w:rsid w:val="00FE5DB6"/>
    <w:rsid w:val="00FF08E3"/>
    <w:rsid w:val="00FF761A"/>
    <w:rsid w:val="0D9CAFA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FCF98"/>
  <w15:chartTrackingRefBased/>
  <w15:docId w15:val="{E3D95EB8-A61F-4322-8ED9-6028AFC3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F4"/>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0">
    <w:name w:val="Para 1"/>
    <w:basedOn w:val="Normal"/>
    <w:qFormat/>
    <w:rsid w:val="00D95348"/>
    <w:pPr>
      <w:numPr>
        <w:numId w:val="45"/>
      </w:numPr>
      <w:tabs>
        <w:tab w:val="left" w:pos="1134"/>
      </w:tabs>
      <w:spacing w:before="120" w:after="120"/>
      <w:ind w:left="144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fr-CA"/>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fr-CA"/>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fr-CA"/>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fr-CA"/>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fr-CA"/>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fr-CA"/>
      <w14:ligatures w14:val="none"/>
    </w:rPr>
  </w:style>
  <w:style w:type="paragraph" w:customStyle="1" w:styleId="Para1">
    <w:name w:val="Para1"/>
    <w:basedOn w:val="Normal"/>
    <w:link w:val="Para1Char"/>
    <w:qFormat/>
    <w:rsid w:val="007F7945"/>
    <w:pPr>
      <w:numPr>
        <w:numId w:val="28"/>
      </w:numPr>
      <w:spacing w:before="120" w:after="120"/>
    </w:pPr>
    <w:rPr>
      <w:snapToGrid w:val="0"/>
      <w:szCs w:val="18"/>
    </w:rPr>
  </w:style>
  <w:style w:type="character" w:customStyle="1" w:styleId="Para1Char">
    <w:name w:val="Para1 Char"/>
    <w:link w:val="Para1"/>
    <w:qFormat/>
    <w:locked/>
    <w:rsid w:val="007F7945"/>
    <w:rPr>
      <w:rFonts w:ascii="Times New Roman" w:eastAsia="Times New Roman" w:hAnsi="Times New Roman" w:cs="Times New Roman"/>
      <w:snapToGrid w:val="0"/>
      <w:kern w:val="0"/>
      <w:szCs w:val="18"/>
      <w:lang w:val="fr-CA"/>
      <w14:ligatures w14:val="none"/>
    </w:rPr>
  </w:style>
  <w:style w:type="character" w:styleId="Hyperlink">
    <w:name w:val="Hyperlink"/>
    <w:rsid w:val="001B51DD"/>
    <w:rPr>
      <w:color w:val="0000FF"/>
      <w:sz w:val="18"/>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B51DD"/>
    <w:pPr>
      <w:spacing w:after="160" w:line="240" w:lineRule="exact"/>
    </w:pPr>
    <w:rPr>
      <w:rFonts w:asciiTheme="minorHAnsi" w:eastAsiaTheme="minorHAnsi" w:hAnsiTheme="minorHAnsi" w:cstheme="minorBidi"/>
      <w:kern w:val="2"/>
      <w:szCs w:val="22"/>
      <w:vertAlign w:val="superscript"/>
      <w14:ligatures w14:val="standardContextual"/>
    </w:rPr>
  </w:style>
  <w:style w:type="paragraph" w:styleId="NormalWeb">
    <w:name w:val="Normal (Web)"/>
    <w:basedOn w:val="Normal"/>
    <w:uiPriority w:val="99"/>
    <w:rsid w:val="001B51DD"/>
    <w:pPr>
      <w:spacing w:before="100" w:beforeAutospacing="1" w:after="100" w:afterAutospacing="1"/>
      <w:jc w:val="left"/>
    </w:pPr>
    <w:rPr>
      <w:rFonts w:ascii="Verdana" w:eastAsia="MS Mincho" w:hAnsi="Verdana" w:cs="Angsana New"/>
      <w:color w:val="000000"/>
      <w:sz w:val="18"/>
      <w:szCs w:val="18"/>
    </w:rPr>
  </w:style>
  <w:style w:type="character" w:customStyle="1" w:styleId="Mention">
    <w:name w:val="Mention"/>
    <w:basedOn w:val="DefaultParagraphFont"/>
    <w:uiPriority w:val="99"/>
    <w:unhideWhenUsed/>
    <w:rsid w:val="001B51DD"/>
    <w:rPr>
      <w:color w:val="2B579A"/>
      <w:shd w:val="clear" w:color="auto" w:fill="E1DFDD"/>
    </w:rPr>
  </w:style>
  <w:style w:type="paragraph" w:styleId="ListParagraph">
    <w:name w:val="List Paragraph"/>
    <w:basedOn w:val="Normal"/>
    <w:uiPriority w:val="34"/>
    <w:qFormat/>
    <w:rsid w:val="00226A6F"/>
    <w:pPr>
      <w:ind w:left="720"/>
      <w:contextualSpacing/>
    </w:pPr>
  </w:style>
  <w:style w:type="paragraph" w:styleId="Revision">
    <w:name w:val="Revision"/>
    <w:hidden/>
    <w:uiPriority w:val="99"/>
    <w:semiHidden/>
    <w:rsid w:val="00DF151A"/>
    <w:pPr>
      <w:spacing w:after="0" w:line="240" w:lineRule="auto"/>
    </w:pPr>
    <w:rPr>
      <w:rFonts w:ascii="Times New Roman" w:eastAsia="Times New Roman" w:hAnsi="Times New Roman" w:cs="Times New Roman"/>
      <w:kern w:val="0"/>
      <w:szCs w:val="24"/>
      <w14:ligatures w14:val="none"/>
    </w:rPr>
  </w:style>
  <w:style w:type="paragraph" w:styleId="BalloonText">
    <w:name w:val="Balloon Text"/>
    <w:basedOn w:val="Normal"/>
    <w:link w:val="BalloonTextChar"/>
    <w:uiPriority w:val="99"/>
    <w:semiHidden/>
    <w:unhideWhenUsed/>
    <w:rsid w:val="00096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1C"/>
    <w:rPr>
      <w:rFonts w:ascii="Segoe UI" w:eastAsia="Times New Roman" w:hAnsi="Segoe UI" w:cs="Segoe UI"/>
      <w:kern w:val="0"/>
      <w:sz w:val="18"/>
      <w:szCs w:val="18"/>
      <w:lang w:val="fr-CA"/>
      <w14:ligatures w14:val="none"/>
    </w:rPr>
  </w:style>
  <w:style w:type="character" w:customStyle="1" w:styleId="UnresolvedMention">
    <w:name w:val="Unresolved Mention"/>
    <w:basedOn w:val="DefaultParagraphFont"/>
    <w:uiPriority w:val="99"/>
    <w:semiHidden/>
    <w:unhideWhenUsed/>
    <w:rsid w:val="00A27139"/>
    <w:rPr>
      <w:color w:val="605E5C"/>
      <w:shd w:val="clear" w:color="auto" w:fill="E1DFDD"/>
    </w:rPr>
  </w:style>
  <w:style w:type="character" w:styleId="FollowedHyperlink">
    <w:name w:val="FollowedHyperlink"/>
    <w:basedOn w:val="DefaultParagraphFont"/>
    <w:uiPriority w:val="99"/>
    <w:semiHidden/>
    <w:unhideWhenUsed/>
    <w:rsid w:val="008A7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rt.informe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wg8j-12-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C2E245203C462EA1BEF26ACF7FEF21"/>
        <w:category>
          <w:name w:val="General"/>
          <w:gallery w:val="placeholder"/>
        </w:category>
        <w:types>
          <w:type w:val="bbPlcHdr"/>
        </w:types>
        <w:behaviors>
          <w:behavior w:val="content"/>
        </w:behaviors>
        <w:guid w:val="{D81D1B0F-439E-430D-A5F2-972B3C4E47C6}"/>
      </w:docPartPr>
      <w:docPartBody>
        <w:p w:rsidR="00C20AB3" w:rsidRDefault="00C0169F">
          <w:pPr>
            <w:pStyle w:val="41C2E245203C462EA1BEF26ACF7FEF21"/>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71"/>
    <w:rsid w:val="0011408D"/>
    <w:rsid w:val="0012298E"/>
    <w:rsid w:val="001B50FB"/>
    <w:rsid w:val="00232B52"/>
    <w:rsid w:val="0023524B"/>
    <w:rsid w:val="00245971"/>
    <w:rsid w:val="002A32BF"/>
    <w:rsid w:val="00421528"/>
    <w:rsid w:val="004C70DF"/>
    <w:rsid w:val="00534646"/>
    <w:rsid w:val="00594117"/>
    <w:rsid w:val="006216A6"/>
    <w:rsid w:val="006A713B"/>
    <w:rsid w:val="006E6C20"/>
    <w:rsid w:val="00752CD6"/>
    <w:rsid w:val="00776887"/>
    <w:rsid w:val="007A026C"/>
    <w:rsid w:val="008D3848"/>
    <w:rsid w:val="00935C4B"/>
    <w:rsid w:val="009D670E"/>
    <w:rsid w:val="00A51EDD"/>
    <w:rsid w:val="00A92DDA"/>
    <w:rsid w:val="00B43B01"/>
    <w:rsid w:val="00C0169F"/>
    <w:rsid w:val="00C20AB3"/>
    <w:rsid w:val="00D96180"/>
    <w:rsid w:val="00DF73A3"/>
    <w:rsid w:val="00EB5F5C"/>
    <w:rsid w:val="00EC4991"/>
    <w:rsid w:val="00ED6D99"/>
    <w:rsid w:val="00FB0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C2E245203C462EA1BEF26ACF7FEF21">
    <w:name w:val="41C2E245203C462EA1BEF26ACF7FE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13ad741f-c0db-4e29-b5a6-03b4a1bc18ba">
      <UserInfo>
        <DisplayName>Antonio Q''''Apaj Conde Choque</DisplayName>
        <AccountId>460</AccountId>
        <AccountType/>
      </UserInfo>
    </SharedWithUsers>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AD96-6A7C-4E27-B916-31DBCFC8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7AE91-216E-4340-9EAC-CB68B1950322}">
  <ds:schemaRefs>
    <ds:schemaRef ds:uri="http://schemas.microsoft.com/office/2006/metadata/properties"/>
    <ds:schemaRef ds:uri="http://schemas.microsoft.com/office/infopath/2007/PartnerControls"/>
    <ds:schemaRef ds:uri="985ec44e-1bab-4c0b-9df0-6ba128686fc9"/>
    <ds:schemaRef ds:uri="13ad741f-c0db-4e29-b5a6-03b4a1bc18ba"/>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6EFF0F39-F166-4150-BE14-B1A36FFD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wg8j-12-template</Template>
  <TotalTime>147</TotalTime>
  <Pages>10</Pages>
  <Words>3844</Words>
  <Characters>21143</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12/3.    Projet mis à jour de la composante de gestion des connaissances du Cadre mondial de la biodiversité de Kunming-Montréal</vt:lpstr>
      <vt:lpstr>Updated draft knowledge management component of the Kunming-Montreal Global Biodiversity Framework</vt:lpstr>
    </vt:vector>
  </TitlesOfParts>
  <Company/>
  <LinksUpToDate>false</LinksUpToDate>
  <CharactersWithSpaces>24938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    Projet actualisé de la composante de gestion des connaissances du Cadre mondial de la biodiversité de Kunming-Montréal</dc:title>
  <dc:subject>CBD/WG8J/REC/12/3</dc:subject>
  <dc:creator>Q"apaj Conde</dc:creator>
  <cp:keywords>Ad Hoc Open-ended Working Group on Article 8(j) and Related Provisions</cp:keywords>
  <dc:description/>
  <cp:lastModifiedBy>Finn Kinley</cp:lastModifiedBy>
  <cp:revision>34</cp:revision>
  <cp:lastPrinted>2023-11-13T17:52:00Z</cp:lastPrinted>
  <dcterms:created xsi:type="dcterms:W3CDTF">2023-11-16T13:53:00Z</dcterms:created>
  <dcterms:modified xsi:type="dcterms:W3CDTF">2023-12-20T02:51:00Z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