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350"/>
        <w:gridCol w:w="1260"/>
        <w:gridCol w:w="2611"/>
        <w:gridCol w:w="1710"/>
        <w:gridCol w:w="2941"/>
      </w:tblGrid>
      <w:tr w:rsidR="00F07A97" w:rsidRPr="00FE1F72" w:rsidTr="00757958">
        <w:trPr>
          <w:gridBefore w:val="1"/>
          <w:wBefore w:w="17" w:type="dxa"/>
          <w:trHeight w:val="1196"/>
        </w:trPr>
        <w:tc>
          <w:tcPr>
            <w:tcW w:w="1350" w:type="dxa"/>
            <w:tcBorders>
              <w:bottom w:val="single" w:sz="12" w:space="0" w:color="000000"/>
            </w:tcBorders>
          </w:tcPr>
          <w:p w:rsidR="00F07A97" w:rsidRPr="00FE1F72" w:rsidRDefault="00F07A97" w:rsidP="00757958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1" layoutInCell="1" allowOverlap="0" wp14:anchorId="3B77C1AD" wp14:editId="7C4DDCA4">
                  <wp:simplePos x="0" y="0"/>
                  <wp:positionH relativeFrom="column">
                    <wp:posOffset>78105</wp:posOffset>
                  </wp:positionH>
                  <wp:positionV relativeFrom="page">
                    <wp:posOffset>69215</wp:posOffset>
                  </wp:positionV>
                  <wp:extent cx="495300" cy="58102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F07A97" w:rsidRPr="00FE1F72" w:rsidRDefault="00F07A97" w:rsidP="00757958">
            <w:pPr>
              <w:rPr>
                <w:noProof/>
                <w:lang w:val="fr-FR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9264" behindDoc="0" locked="1" layoutInCell="1" allowOverlap="0" wp14:anchorId="521674C4" wp14:editId="428A6057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635</wp:posOffset>
                  </wp:positionV>
                  <wp:extent cx="822960" cy="58293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" r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62" w:type="dxa"/>
            <w:gridSpan w:val="3"/>
            <w:tcBorders>
              <w:bottom w:val="single" w:sz="12" w:space="0" w:color="000000"/>
            </w:tcBorders>
          </w:tcPr>
          <w:p w:rsidR="00F07A97" w:rsidRPr="00FE1F72" w:rsidRDefault="00F07A97" w:rsidP="00757958">
            <w:pPr>
              <w:jc w:val="right"/>
              <w:rPr>
                <w:rFonts w:ascii="Univers" w:hAnsi="Univers"/>
                <w:b/>
                <w:noProof/>
                <w:sz w:val="32"/>
                <w:lang w:val="fr-FR"/>
              </w:rPr>
            </w:pPr>
            <w:r>
              <w:rPr>
                <w:rFonts w:ascii="Univers" w:hAnsi="Univers"/>
                <w:b/>
                <w:noProof/>
                <w:sz w:val="32"/>
                <w:lang w:val="fr-FR"/>
              </w:rPr>
              <w:t>CBD</w:t>
            </w:r>
          </w:p>
          <w:p w:rsidR="00F07A97" w:rsidRPr="00FE1F72" w:rsidRDefault="00F07A97" w:rsidP="00757958">
            <w:pPr>
              <w:jc w:val="left"/>
              <w:rPr>
                <w:rFonts w:ascii="Univers" w:hAnsi="Univers"/>
                <w:b/>
                <w:noProof/>
                <w:sz w:val="32"/>
                <w:lang w:val="fr-FR"/>
              </w:rPr>
            </w:pPr>
          </w:p>
        </w:tc>
      </w:tr>
      <w:tr w:rsidR="00F07A97" w:rsidRPr="0092716F" w:rsidTr="00757958">
        <w:trPr>
          <w:trHeight w:val="1693"/>
        </w:trPr>
        <w:tc>
          <w:tcPr>
            <w:tcW w:w="5238" w:type="dxa"/>
            <w:gridSpan w:val="4"/>
          </w:tcPr>
          <w:p w:rsidR="00F07A97" w:rsidRPr="00FE1F72" w:rsidRDefault="00F07A97" w:rsidP="00757958">
            <w:pPr>
              <w:jc w:val="left"/>
              <w:rPr>
                <w:noProof/>
                <w:lang w:val="fr-FR"/>
              </w:rPr>
            </w:pPr>
            <w:r>
              <w:rPr>
                <w:bCs/>
                <w:noProof/>
                <w:szCs w:val="22"/>
                <w:lang w:val="en-US" w:eastAsia="zh-CN"/>
              </w:rPr>
              <w:drawing>
                <wp:inline distT="0" distB="0" distL="0" distR="0" wp14:anchorId="519EBAFA" wp14:editId="5177ECB3">
                  <wp:extent cx="2857500" cy="1076325"/>
                  <wp:effectExtent l="0" t="0" r="0" b="9525"/>
                  <wp:docPr id="2" name="Picture 2" descr="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F07A97" w:rsidRPr="00FE1F72" w:rsidRDefault="00F07A97" w:rsidP="00757958">
            <w:pPr>
              <w:rPr>
                <w:noProof/>
                <w:lang w:val="fr-FR"/>
              </w:rPr>
            </w:pPr>
          </w:p>
        </w:tc>
        <w:tc>
          <w:tcPr>
            <w:tcW w:w="2941" w:type="dxa"/>
          </w:tcPr>
          <w:p w:rsidR="00F07A97" w:rsidRPr="00FE1F72" w:rsidRDefault="00F07A97" w:rsidP="00757958">
            <w:pPr>
              <w:ind w:left="37"/>
              <w:rPr>
                <w:noProof/>
                <w:lang w:val="fr-FR"/>
              </w:rPr>
            </w:pPr>
            <w:r w:rsidRPr="00FE1F72">
              <w:rPr>
                <w:noProof/>
                <w:lang w:val="fr-FR"/>
              </w:rPr>
              <w:t>Distr.</w:t>
            </w:r>
          </w:p>
          <w:p w:rsidR="00F07A97" w:rsidRPr="00FE1F72" w:rsidRDefault="0092716F" w:rsidP="00757958">
            <w:pPr>
              <w:ind w:left="37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GÉN</w:t>
            </w:r>
            <w:r w:rsidR="00F07A97">
              <w:rPr>
                <w:noProof/>
                <w:lang w:val="fr-FR"/>
              </w:rPr>
              <w:t>É</w:t>
            </w:r>
            <w:r>
              <w:rPr>
                <w:noProof/>
                <w:lang w:val="fr-FR"/>
              </w:rPr>
              <w:t>RAL</w:t>
            </w:r>
            <w:r w:rsidR="00F07A97">
              <w:rPr>
                <w:noProof/>
                <w:lang w:val="fr-FR"/>
              </w:rPr>
              <w:t>E</w:t>
            </w:r>
          </w:p>
          <w:p w:rsidR="00F07A97" w:rsidRPr="00FE1F72" w:rsidRDefault="00F07A97" w:rsidP="00757958">
            <w:pPr>
              <w:ind w:left="37"/>
              <w:rPr>
                <w:noProof/>
                <w:lang w:val="fr-FR"/>
              </w:rPr>
            </w:pPr>
          </w:p>
          <w:p w:rsidR="00F07A97" w:rsidRPr="00FE1F72" w:rsidRDefault="00101EBE" w:rsidP="00757958">
            <w:pPr>
              <w:tabs>
                <w:tab w:val="left" w:pos="0"/>
              </w:tabs>
              <w:suppressAutoHyphens/>
              <w:ind w:left="37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CBD/WG8J/</w:t>
            </w:r>
            <w:r w:rsidR="0092716F">
              <w:rPr>
                <w:noProof/>
                <w:lang w:val="fr-FR"/>
              </w:rPr>
              <w:t>REC/10/5</w:t>
            </w:r>
          </w:p>
          <w:p w:rsidR="00F07A97" w:rsidRPr="00FE1F72" w:rsidRDefault="00F07A97" w:rsidP="00757958">
            <w:pPr>
              <w:ind w:left="37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16 décembre 2017</w:t>
            </w:r>
          </w:p>
          <w:p w:rsidR="00F07A97" w:rsidRPr="00FE1F72" w:rsidRDefault="00F07A97" w:rsidP="00757958">
            <w:pPr>
              <w:ind w:left="37"/>
              <w:rPr>
                <w:noProof/>
                <w:lang w:val="fr-FR"/>
              </w:rPr>
            </w:pPr>
          </w:p>
          <w:p w:rsidR="00F07A97" w:rsidRPr="00FE1F72" w:rsidRDefault="00F07A97" w:rsidP="00757958">
            <w:pPr>
              <w:ind w:left="37"/>
              <w:rPr>
                <w:noProof/>
                <w:lang w:val="fr-FR"/>
              </w:rPr>
            </w:pPr>
            <w:r w:rsidRPr="00FE1F72">
              <w:rPr>
                <w:noProof/>
                <w:lang w:val="fr-FR"/>
              </w:rPr>
              <w:t>FRANÇAIS</w:t>
            </w:r>
          </w:p>
          <w:p w:rsidR="00F07A97" w:rsidRDefault="00F07A97" w:rsidP="00757958">
            <w:pPr>
              <w:ind w:left="37"/>
              <w:rPr>
                <w:noProof/>
                <w:lang w:val="fr-FR"/>
              </w:rPr>
            </w:pPr>
            <w:r w:rsidRPr="00FE1F72">
              <w:rPr>
                <w:noProof/>
                <w:lang w:val="fr-FR"/>
              </w:rPr>
              <w:t>ORIGINAL</w:t>
            </w:r>
            <w:r>
              <w:rPr>
                <w:noProof/>
                <w:lang w:val="fr-FR"/>
              </w:rPr>
              <w:t xml:space="preserve"> : </w:t>
            </w:r>
            <w:r w:rsidRPr="00FE1F72">
              <w:rPr>
                <w:noProof/>
                <w:lang w:val="fr-FR"/>
              </w:rPr>
              <w:t>ANGLAIS</w:t>
            </w:r>
          </w:p>
          <w:p w:rsidR="0092716F" w:rsidRPr="00FE1F72" w:rsidRDefault="0092716F" w:rsidP="00757958">
            <w:pPr>
              <w:ind w:left="37"/>
              <w:rPr>
                <w:rFonts w:ascii="Courier New" w:hAnsi="Courier New"/>
                <w:noProof/>
                <w:lang w:val="fr-FR"/>
              </w:rPr>
            </w:pPr>
          </w:p>
        </w:tc>
      </w:tr>
    </w:tbl>
    <w:p w:rsidR="008545FB" w:rsidRPr="00640054" w:rsidRDefault="008545FB" w:rsidP="008545FB">
      <w:pPr>
        <w:suppressLineNumbers/>
        <w:suppressAutoHyphens/>
        <w:adjustRightInd w:val="0"/>
        <w:snapToGrid w:val="0"/>
        <w:ind w:left="170" w:right="4500" w:hanging="170"/>
        <w:jc w:val="left"/>
        <w:rPr>
          <w:snapToGrid w:val="0"/>
          <w:color w:val="000000"/>
          <w:kern w:val="22"/>
          <w:szCs w:val="22"/>
          <w:lang w:val="fr-CA"/>
        </w:rPr>
      </w:pPr>
      <w:r w:rsidRPr="00640054">
        <w:rPr>
          <w:snapToGrid w:val="0"/>
          <w:color w:val="000000"/>
          <w:kern w:val="22"/>
          <w:szCs w:val="22"/>
          <w:lang w:val="fr-CA"/>
        </w:rPr>
        <w:t>GROUPE DE TRAVAIL SPÉCIAL INTERSESSIONS À COMPOSITION NON LIMITÉE SUR L’ARTICLE 8 j) ET LES DISPOSITIONS CONNEXES DE LA CONVENTION SUR LA DIVERSITÉ BIOLOGIQUE</w:t>
      </w:r>
    </w:p>
    <w:p w:rsidR="008545FB" w:rsidRPr="00640054" w:rsidRDefault="008545FB" w:rsidP="008545FB">
      <w:pPr>
        <w:suppressLineNumbers/>
        <w:suppressAutoHyphens/>
        <w:adjustRightInd w:val="0"/>
        <w:snapToGrid w:val="0"/>
        <w:ind w:left="170" w:right="4740" w:hanging="170"/>
        <w:jc w:val="left"/>
        <w:rPr>
          <w:rFonts w:eastAsia="Malgun Gothic"/>
          <w:snapToGrid w:val="0"/>
          <w:color w:val="000000"/>
          <w:kern w:val="22"/>
          <w:szCs w:val="22"/>
          <w:lang w:val="fr-CA"/>
        </w:rPr>
      </w:pPr>
      <w:r w:rsidRPr="00640054">
        <w:rPr>
          <w:rFonts w:eastAsia="Malgun Gothic"/>
          <w:snapToGrid w:val="0"/>
          <w:color w:val="000000"/>
          <w:kern w:val="22"/>
          <w:szCs w:val="22"/>
          <w:lang w:val="fr-CA"/>
        </w:rPr>
        <w:t>Dixième réunion</w:t>
      </w:r>
    </w:p>
    <w:p w:rsidR="008545FB" w:rsidRPr="00640054" w:rsidRDefault="008545FB" w:rsidP="001475FE">
      <w:pPr>
        <w:rPr>
          <w:rFonts w:eastAsia="Malgun Gothic"/>
          <w:snapToGrid w:val="0"/>
          <w:color w:val="000000"/>
          <w:kern w:val="22"/>
          <w:szCs w:val="22"/>
          <w:lang w:val="fr-CA"/>
        </w:rPr>
      </w:pPr>
      <w:r w:rsidRPr="00640054">
        <w:rPr>
          <w:rFonts w:eastAsia="Malgun Gothic"/>
          <w:snapToGrid w:val="0"/>
          <w:color w:val="000000"/>
          <w:kern w:val="22"/>
          <w:szCs w:val="22"/>
          <w:lang w:val="fr-CA"/>
        </w:rPr>
        <w:t>Montréal</w:t>
      </w:r>
      <w:r w:rsidR="001475FE">
        <w:rPr>
          <w:rFonts w:eastAsia="Malgun Gothic"/>
          <w:snapToGrid w:val="0"/>
          <w:color w:val="000000"/>
          <w:kern w:val="22"/>
          <w:szCs w:val="22"/>
          <w:lang w:val="fr-CA"/>
        </w:rPr>
        <w:t xml:space="preserve">, </w:t>
      </w:r>
      <w:r w:rsidRPr="00640054">
        <w:rPr>
          <w:rFonts w:eastAsia="Malgun Gothic"/>
          <w:snapToGrid w:val="0"/>
          <w:color w:val="000000"/>
          <w:kern w:val="22"/>
          <w:szCs w:val="22"/>
          <w:lang w:val="fr-CA"/>
        </w:rPr>
        <w:t>Canada</w:t>
      </w:r>
      <w:bookmarkStart w:id="0" w:name="_GoBack"/>
      <w:bookmarkEnd w:id="0"/>
      <w:r w:rsidRPr="00640054">
        <w:rPr>
          <w:rFonts w:eastAsia="Malgun Gothic"/>
          <w:snapToGrid w:val="0"/>
          <w:color w:val="000000"/>
          <w:kern w:val="22"/>
          <w:szCs w:val="22"/>
          <w:lang w:val="fr-CA"/>
        </w:rPr>
        <w:t>, 13-16 décembre 2017</w:t>
      </w:r>
    </w:p>
    <w:p w:rsidR="00AB29A6" w:rsidRDefault="008545FB" w:rsidP="00AB29A6">
      <w:pPr>
        <w:suppressLineNumbers/>
        <w:suppressAutoHyphens/>
        <w:autoSpaceDE w:val="0"/>
        <w:autoSpaceDN w:val="0"/>
        <w:jc w:val="left"/>
        <w:rPr>
          <w:lang w:val="fr-CA"/>
        </w:rPr>
        <w:sectPr w:rsidR="00AB29A6" w:rsidSect="00CE0CD6">
          <w:headerReference w:type="even" r:id="rId11"/>
          <w:footerReference w:type="default" r:id="rId12"/>
          <w:pgSz w:w="12240" w:h="15840" w:code="1"/>
          <w:pgMar w:top="1021" w:right="1440" w:bottom="1134" w:left="1440" w:header="454" w:footer="720" w:gutter="0"/>
          <w:cols w:space="720"/>
          <w:docGrid w:linePitch="299"/>
        </w:sectPr>
      </w:pPr>
      <w:r w:rsidRPr="00640054">
        <w:rPr>
          <w:lang w:val="fr-CA"/>
        </w:rPr>
        <w:t xml:space="preserve">Point </w:t>
      </w:r>
      <w:r w:rsidR="00DF4DF2">
        <w:rPr>
          <w:lang w:val="fr-CA"/>
        </w:rPr>
        <w:t>9</w:t>
      </w:r>
      <w:r w:rsidRPr="00640054">
        <w:rPr>
          <w:lang w:val="fr-CA"/>
        </w:rPr>
        <w:t xml:space="preserve"> de l’ordre du jou</w:t>
      </w:r>
      <w:r>
        <w:rPr>
          <w:lang w:val="fr-CA"/>
        </w:rPr>
        <w:t>r</w:t>
      </w:r>
    </w:p>
    <w:p w:rsidR="00D53E6C" w:rsidRDefault="00D53E6C" w:rsidP="008545FB">
      <w:pPr>
        <w:suppressLineNumbers/>
        <w:suppressAutoHyphens/>
        <w:autoSpaceDE w:val="0"/>
        <w:autoSpaceDN w:val="0"/>
        <w:rPr>
          <w:kern w:val="22"/>
          <w:lang w:val="fr-CA"/>
        </w:rPr>
      </w:pPr>
    </w:p>
    <w:p w:rsidR="0092716F" w:rsidRPr="0092716F" w:rsidRDefault="0092716F" w:rsidP="0092716F">
      <w:pPr>
        <w:suppressLineNumbers/>
        <w:suppressAutoHyphens/>
        <w:autoSpaceDE w:val="0"/>
        <w:autoSpaceDN w:val="0"/>
        <w:jc w:val="center"/>
        <w:rPr>
          <w:b/>
          <w:kern w:val="22"/>
          <w:lang w:val="fr-CA"/>
        </w:rPr>
      </w:pPr>
      <w:r>
        <w:rPr>
          <w:b/>
          <w:kern w:val="22"/>
          <w:lang w:val="fr-CA"/>
        </w:rPr>
        <w:t>RECOMMANDATION ADOPTÉ</w:t>
      </w:r>
      <w:r w:rsidRPr="0092716F">
        <w:rPr>
          <w:b/>
          <w:kern w:val="22"/>
          <w:lang w:val="fr-CA"/>
        </w:rPr>
        <w:t>E PAR LE GROUPE DE TRAVAIL</w:t>
      </w:r>
    </w:p>
    <w:p w:rsidR="007B52BF" w:rsidRPr="0092716F" w:rsidRDefault="0092716F" w:rsidP="0092716F">
      <w:pPr>
        <w:pStyle w:val="Heading1"/>
        <w:suppressLineNumbers/>
        <w:tabs>
          <w:tab w:val="clear" w:pos="720"/>
        </w:tabs>
        <w:suppressAutoHyphens/>
        <w:autoSpaceDE w:val="0"/>
        <w:autoSpaceDN w:val="0"/>
        <w:spacing w:after="240"/>
        <w:jc w:val="left"/>
        <w:rPr>
          <w:kern w:val="22"/>
          <w:lang w:val="fr-CA"/>
        </w:rPr>
      </w:pPr>
      <w:r>
        <w:rPr>
          <w:caps w:val="0"/>
          <w:noProof/>
          <w:szCs w:val="22"/>
          <w:lang w:val="fr-CA"/>
        </w:rPr>
        <w:t>10/5.</w:t>
      </w:r>
      <w:r>
        <w:rPr>
          <w:caps w:val="0"/>
          <w:noProof/>
          <w:szCs w:val="22"/>
          <w:lang w:val="fr-CA"/>
        </w:rPr>
        <w:tab/>
        <w:t>D</w:t>
      </w:r>
      <w:r w:rsidRPr="008545FB">
        <w:rPr>
          <w:caps w:val="0"/>
          <w:noProof/>
          <w:szCs w:val="22"/>
          <w:lang w:val="fr-FR"/>
        </w:rPr>
        <w:t>ialogue</w:t>
      </w:r>
      <w:r>
        <w:rPr>
          <w:caps w:val="0"/>
          <w:noProof/>
          <w:szCs w:val="22"/>
          <w:lang w:val="fr-FR"/>
        </w:rPr>
        <w:t xml:space="preserve"> approfondi sur les domaines thé</w:t>
      </w:r>
      <w:r w:rsidRPr="008545FB">
        <w:rPr>
          <w:caps w:val="0"/>
          <w:noProof/>
          <w:szCs w:val="22"/>
          <w:lang w:val="fr-FR"/>
        </w:rPr>
        <w:t xml:space="preserve">matiques </w:t>
      </w:r>
      <w:r>
        <w:rPr>
          <w:caps w:val="0"/>
          <w:noProof/>
          <w:szCs w:val="22"/>
          <w:lang w:val="fr-FR"/>
        </w:rPr>
        <w:t xml:space="preserve">et </w:t>
      </w:r>
      <w:r w:rsidRPr="008545FB">
        <w:rPr>
          <w:caps w:val="0"/>
          <w:noProof/>
          <w:szCs w:val="22"/>
          <w:lang w:val="fr-FR"/>
        </w:rPr>
        <w:t>d’autres questions intersectorielles</w:t>
      </w:r>
    </w:p>
    <w:p w:rsidR="007D1C77" w:rsidRPr="007D1C77" w:rsidRDefault="007D1C77" w:rsidP="001A0BA3">
      <w:pPr>
        <w:pStyle w:val="Para1"/>
        <w:numPr>
          <w:ilvl w:val="0"/>
          <w:numId w:val="0"/>
        </w:numPr>
        <w:suppressLineNumbers/>
        <w:suppressAutoHyphens/>
        <w:autoSpaceDE w:val="0"/>
        <w:autoSpaceDN w:val="0"/>
        <w:ind w:firstLine="720"/>
        <w:rPr>
          <w:i/>
          <w:iCs/>
          <w:kern w:val="22"/>
          <w:szCs w:val="22"/>
          <w:lang w:val="fr-FR"/>
        </w:rPr>
      </w:pPr>
      <w:r w:rsidRPr="007D1C77">
        <w:rPr>
          <w:i/>
          <w:iCs/>
          <w:kern w:val="22"/>
          <w:szCs w:val="22"/>
          <w:lang w:val="fr-FR"/>
        </w:rPr>
        <w:t>L</w:t>
      </w:r>
      <w:r w:rsidR="0092716F">
        <w:rPr>
          <w:i/>
          <w:iCs/>
          <w:kern w:val="22"/>
          <w:szCs w:val="22"/>
          <w:lang w:val="fr-FR"/>
        </w:rPr>
        <w:t>e G</w:t>
      </w:r>
      <w:r w:rsidRPr="007D1C77">
        <w:rPr>
          <w:i/>
          <w:iCs/>
          <w:kern w:val="22"/>
          <w:szCs w:val="22"/>
          <w:lang w:val="fr-FR"/>
        </w:rPr>
        <w:t>roupe de travail spécial intersessions à composition non limitée sur l’article 8 j) et les dispositions connexes</w:t>
      </w:r>
      <w:r w:rsidR="0092716F">
        <w:rPr>
          <w:i/>
          <w:iCs/>
          <w:kern w:val="22"/>
          <w:szCs w:val="22"/>
          <w:lang w:val="fr-FR"/>
        </w:rPr>
        <w:t>,</w:t>
      </w:r>
    </w:p>
    <w:p w:rsidR="003059BA" w:rsidRPr="007D1C77" w:rsidRDefault="007D1C77" w:rsidP="001A0BA3">
      <w:pPr>
        <w:pStyle w:val="Para1"/>
        <w:numPr>
          <w:ilvl w:val="0"/>
          <w:numId w:val="0"/>
        </w:numPr>
        <w:suppressLineNumbers/>
        <w:suppressAutoHyphens/>
        <w:autoSpaceDE w:val="0"/>
        <w:autoSpaceDN w:val="0"/>
        <w:ind w:firstLine="720"/>
        <w:rPr>
          <w:iCs/>
          <w:snapToGrid/>
          <w:kern w:val="22"/>
          <w:szCs w:val="22"/>
          <w:lang w:val="fr-CA"/>
        </w:rPr>
      </w:pPr>
      <w:r>
        <w:rPr>
          <w:i/>
          <w:snapToGrid/>
          <w:kern w:val="22"/>
          <w:szCs w:val="22"/>
          <w:lang w:val="fr-CA"/>
        </w:rPr>
        <w:t>Recommande</w:t>
      </w:r>
      <w:r w:rsidR="003059BA" w:rsidRPr="007D1C77">
        <w:rPr>
          <w:iCs/>
          <w:snapToGrid/>
          <w:kern w:val="22"/>
          <w:szCs w:val="22"/>
          <w:lang w:val="fr-CA"/>
        </w:rPr>
        <w:t xml:space="preserve"> </w:t>
      </w:r>
      <w:r>
        <w:rPr>
          <w:iCs/>
          <w:kern w:val="22"/>
          <w:szCs w:val="22"/>
          <w:lang w:val="fr-FR"/>
        </w:rPr>
        <w:t xml:space="preserve">que la </w:t>
      </w:r>
      <w:r w:rsidRPr="002B4D6E">
        <w:rPr>
          <w:iCs/>
          <w:kern w:val="22"/>
          <w:szCs w:val="22"/>
          <w:lang w:val="fr-FR"/>
        </w:rPr>
        <w:t>Conférence des Parties</w:t>
      </w:r>
      <w:r w:rsidR="009F36C9">
        <w:rPr>
          <w:iCs/>
          <w:kern w:val="22"/>
          <w:szCs w:val="22"/>
          <w:lang w:val="fr-FR"/>
        </w:rPr>
        <w:t xml:space="preserve"> adopte</w:t>
      </w:r>
      <w:r w:rsidR="0092716F">
        <w:rPr>
          <w:iCs/>
          <w:kern w:val="22"/>
          <w:szCs w:val="22"/>
          <w:lang w:val="fr-FR"/>
        </w:rPr>
        <w:t>,</w:t>
      </w:r>
      <w:r>
        <w:rPr>
          <w:iCs/>
          <w:kern w:val="22"/>
          <w:szCs w:val="22"/>
          <w:lang w:val="fr-FR"/>
        </w:rPr>
        <w:t xml:space="preserve"> à sa quato</w:t>
      </w:r>
      <w:r w:rsidR="00191342">
        <w:rPr>
          <w:iCs/>
          <w:kern w:val="22"/>
          <w:szCs w:val="22"/>
          <w:lang w:val="fr-FR"/>
        </w:rPr>
        <w:t>rzièm</w:t>
      </w:r>
      <w:r>
        <w:rPr>
          <w:iCs/>
          <w:kern w:val="22"/>
          <w:szCs w:val="22"/>
          <w:lang w:val="fr-FR"/>
        </w:rPr>
        <w:t>e réunion</w:t>
      </w:r>
      <w:r w:rsidR="0092716F">
        <w:rPr>
          <w:iCs/>
          <w:kern w:val="22"/>
          <w:szCs w:val="22"/>
          <w:lang w:val="fr-FR"/>
        </w:rPr>
        <w:t>,</w:t>
      </w:r>
      <w:r w:rsidR="009F36C9">
        <w:rPr>
          <w:iCs/>
          <w:kern w:val="22"/>
          <w:szCs w:val="22"/>
          <w:lang w:val="fr-FR"/>
        </w:rPr>
        <w:t xml:space="preserve"> </w:t>
      </w:r>
      <w:r>
        <w:rPr>
          <w:iCs/>
          <w:kern w:val="22"/>
          <w:szCs w:val="22"/>
          <w:lang w:val="fr-FR"/>
        </w:rPr>
        <w:t xml:space="preserve">une décision dont le libellé serait le suivant </w:t>
      </w:r>
      <w:r w:rsidR="003059BA" w:rsidRPr="007D1C77">
        <w:rPr>
          <w:iCs/>
          <w:snapToGrid/>
          <w:kern w:val="22"/>
          <w:szCs w:val="22"/>
          <w:lang w:val="fr-CA"/>
        </w:rPr>
        <w:t>:</w:t>
      </w:r>
    </w:p>
    <w:p w:rsidR="007D1C77" w:rsidRPr="0039246D" w:rsidRDefault="007D1C77" w:rsidP="009F36C9">
      <w:pPr>
        <w:autoSpaceDE w:val="0"/>
        <w:autoSpaceDN w:val="0"/>
        <w:adjustRightInd w:val="0"/>
        <w:spacing w:before="120" w:after="120"/>
        <w:ind w:left="709" w:firstLine="709"/>
        <w:rPr>
          <w:i/>
          <w:iCs/>
          <w:kern w:val="22"/>
          <w:szCs w:val="22"/>
          <w:lang w:val="fr-FR"/>
        </w:rPr>
      </w:pPr>
      <w:r w:rsidRPr="0039246D">
        <w:rPr>
          <w:i/>
          <w:iCs/>
          <w:kern w:val="22"/>
          <w:szCs w:val="22"/>
          <w:lang w:val="fr-FR"/>
        </w:rPr>
        <w:t>La Conférence des Parties,</w:t>
      </w:r>
    </w:p>
    <w:p w:rsidR="007D1C77" w:rsidRDefault="007D1C77" w:rsidP="007D1C77">
      <w:pPr>
        <w:autoSpaceDE w:val="0"/>
        <w:autoSpaceDN w:val="0"/>
        <w:adjustRightInd w:val="0"/>
        <w:spacing w:before="120" w:after="120"/>
        <w:ind w:left="720"/>
        <w:rPr>
          <w:bCs/>
          <w:noProof/>
          <w:kern w:val="22"/>
          <w:szCs w:val="22"/>
          <w:lang w:val="fr-FR" w:eastAsia="en-CA"/>
        </w:rPr>
      </w:pPr>
      <w:r w:rsidRPr="0039246D">
        <w:rPr>
          <w:i/>
          <w:iCs/>
          <w:noProof/>
          <w:kern w:val="22"/>
          <w:szCs w:val="22"/>
          <w:lang w:val="fr-FR"/>
        </w:rPr>
        <w:tab/>
        <w:t xml:space="preserve">Notant </w:t>
      </w:r>
      <w:r w:rsidRPr="0039246D">
        <w:rPr>
          <w:iCs/>
          <w:noProof/>
          <w:kern w:val="22"/>
          <w:szCs w:val="22"/>
          <w:lang w:val="fr-FR"/>
        </w:rPr>
        <w:t>que</w:t>
      </w:r>
      <w:r>
        <w:rPr>
          <w:iCs/>
          <w:noProof/>
          <w:kern w:val="22"/>
          <w:szCs w:val="22"/>
          <w:lang w:val="fr-FR"/>
        </w:rPr>
        <w:t>, à sa dixième réunion,</w:t>
      </w:r>
      <w:r w:rsidRPr="0039246D">
        <w:rPr>
          <w:iCs/>
          <w:noProof/>
          <w:kern w:val="22"/>
          <w:szCs w:val="22"/>
          <w:lang w:val="fr-FR"/>
        </w:rPr>
        <w:t xml:space="preserve"> le</w:t>
      </w:r>
      <w:r>
        <w:rPr>
          <w:iCs/>
          <w:noProof/>
          <w:kern w:val="22"/>
          <w:szCs w:val="22"/>
          <w:lang w:val="fr-FR"/>
        </w:rPr>
        <w:t xml:space="preserve"> </w:t>
      </w:r>
      <w:r w:rsidR="0092716F">
        <w:rPr>
          <w:iCs/>
          <w:kern w:val="22"/>
          <w:szCs w:val="22"/>
          <w:lang w:val="fr-FR"/>
        </w:rPr>
        <w:t>G</w:t>
      </w:r>
      <w:r w:rsidRPr="002B4D6E">
        <w:rPr>
          <w:iCs/>
          <w:kern w:val="22"/>
          <w:szCs w:val="22"/>
          <w:lang w:val="fr-FR"/>
        </w:rPr>
        <w:t>roupe de travail</w:t>
      </w:r>
      <w:r>
        <w:rPr>
          <w:iCs/>
          <w:kern w:val="22"/>
          <w:szCs w:val="22"/>
          <w:lang w:val="fr-FR"/>
        </w:rPr>
        <w:t xml:space="preserve"> spécial</w:t>
      </w:r>
      <w:r w:rsidRPr="002B4D6E">
        <w:rPr>
          <w:iCs/>
          <w:kern w:val="22"/>
          <w:szCs w:val="22"/>
          <w:lang w:val="fr-FR"/>
        </w:rPr>
        <w:t xml:space="preserve"> intersessions à composition non limitée sur l’article 8 j) et les dispositions connexes</w:t>
      </w:r>
      <w:r>
        <w:rPr>
          <w:iCs/>
          <w:kern w:val="22"/>
          <w:szCs w:val="22"/>
          <w:lang w:val="fr-FR"/>
        </w:rPr>
        <w:t xml:space="preserve"> s’est livré à un dialogue approfondi sur le </w:t>
      </w:r>
      <w:r w:rsidR="00E459D4">
        <w:rPr>
          <w:iCs/>
          <w:kern w:val="22"/>
          <w:szCs w:val="22"/>
          <w:lang w:val="fr-FR"/>
        </w:rPr>
        <w:t>thème de la</w:t>
      </w:r>
      <w:r>
        <w:rPr>
          <w:iCs/>
          <w:kern w:val="22"/>
          <w:szCs w:val="22"/>
          <w:lang w:val="fr-FR"/>
        </w:rPr>
        <w:t xml:space="preserve"> </w:t>
      </w:r>
      <w:r w:rsidR="00E459D4">
        <w:rPr>
          <w:iCs/>
          <w:noProof/>
          <w:kern w:val="22"/>
          <w:szCs w:val="22"/>
          <w:lang w:val="fr-FR"/>
        </w:rPr>
        <w:t>« </w:t>
      </w:r>
      <w:r w:rsidRPr="00E459D4">
        <w:rPr>
          <w:bCs/>
          <w:noProof/>
          <w:kern w:val="22"/>
          <w:szCs w:val="22"/>
          <w:lang w:val="fr-FR" w:eastAsia="en-CA"/>
        </w:rPr>
        <w:t>Contribution des connaissances, innovations et pratiques traditionnelles des peuples autochtones et des communautés locales à la mise en œuvre du Programme de développement durable à l’horizon 2030 en mettant l’accent notamment sur la conservation et l’utilisation durable de la diversité biologique</w:t>
      </w:r>
      <w:r w:rsidR="0092716F">
        <w:rPr>
          <w:bCs/>
          <w:noProof/>
          <w:kern w:val="22"/>
          <w:szCs w:val="22"/>
          <w:lang w:val="fr-FR" w:eastAsia="en-CA"/>
        </w:rPr>
        <w:t> »,</w:t>
      </w:r>
    </w:p>
    <w:p w:rsidR="00E459D4" w:rsidRPr="00E459D4" w:rsidRDefault="00E459D4" w:rsidP="007D1C77">
      <w:pPr>
        <w:autoSpaceDE w:val="0"/>
        <w:autoSpaceDN w:val="0"/>
        <w:adjustRightInd w:val="0"/>
        <w:spacing w:before="120" w:after="120"/>
        <w:ind w:left="720"/>
        <w:rPr>
          <w:b/>
          <w:bCs/>
          <w:noProof/>
          <w:kern w:val="22"/>
          <w:szCs w:val="22"/>
          <w:lang w:val="fr-FR" w:eastAsia="en-CA"/>
        </w:rPr>
      </w:pPr>
      <w:r>
        <w:rPr>
          <w:i/>
          <w:iCs/>
          <w:noProof/>
          <w:kern w:val="22"/>
          <w:szCs w:val="22"/>
          <w:lang w:val="fr-FR"/>
        </w:rPr>
        <w:tab/>
        <w:t xml:space="preserve">Reconnaissant </w:t>
      </w:r>
      <w:r>
        <w:rPr>
          <w:iCs/>
          <w:noProof/>
          <w:kern w:val="22"/>
          <w:szCs w:val="22"/>
          <w:lang w:val="fr-FR"/>
        </w:rPr>
        <w:t xml:space="preserve">la contribution importante que les connaissances traditionnelles, les innovations et les pratiques, ainsi que l’utilisation coutumière de la diversité biologique par les peuples autochtones et les communautés locales </w:t>
      </w:r>
      <w:r w:rsidR="00100B76">
        <w:rPr>
          <w:iCs/>
          <w:noProof/>
          <w:kern w:val="22"/>
          <w:szCs w:val="22"/>
          <w:lang w:val="fr-FR"/>
        </w:rPr>
        <w:t>pour la conservation et l’utilisation durable de la diversité biologique, peuvent apporter à la réalisation de la plupart des Objectifs de développement durable</w:t>
      </w:r>
      <w:r w:rsidR="0092716F">
        <w:rPr>
          <w:iCs/>
          <w:noProof/>
          <w:kern w:val="22"/>
          <w:szCs w:val="22"/>
          <w:lang w:val="fr-FR"/>
        </w:rPr>
        <w:t>,</w:t>
      </w:r>
    </w:p>
    <w:p w:rsidR="007D1C77" w:rsidRPr="0039246D" w:rsidRDefault="007D1C77" w:rsidP="007D1C77">
      <w:pPr>
        <w:autoSpaceDE w:val="0"/>
        <w:autoSpaceDN w:val="0"/>
        <w:adjustRightInd w:val="0"/>
        <w:spacing w:before="120" w:after="120"/>
        <w:ind w:left="720" w:firstLine="709"/>
        <w:rPr>
          <w:snapToGrid w:val="0"/>
          <w:kern w:val="22"/>
          <w:szCs w:val="22"/>
          <w:lang w:val="fr-FR" w:eastAsia="ko-KR"/>
        </w:rPr>
      </w:pPr>
      <w:r w:rsidRPr="00615D67">
        <w:rPr>
          <w:snapToGrid w:val="0"/>
          <w:kern w:val="22"/>
          <w:szCs w:val="22"/>
          <w:lang w:val="fr-CA" w:eastAsia="ko-KR"/>
        </w:rPr>
        <w:t>1</w:t>
      </w:r>
      <w:r w:rsidRPr="00615D67">
        <w:rPr>
          <w:i/>
          <w:snapToGrid w:val="0"/>
          <w:kern w:val="22"/>
          <w:szCs w:val="22"/>
          <w:lang w:val="fr-CA" w:eastAsia="ko-KR"/>
        </w:rPr>
        <w:t xml:space="preserve">. </w:t>
      </w:r>
      <w:r w:rsidRPr="00615D67">
        <w:rPr>
          <w:i/>
          <w:snapToGrid w:val="0"/>
          <w:kern w:val="22"/>
          <w:szCs w:val="22"/>
          <w:lang w:val="fr-CA" w:eastAsia="ko-KR"/>
        </w:rPr>
        <w:tab/>
      </w:r>
      <w:r w:rsidRPr="0039246D">
        <w:rPr>
          <w:i/>
          <w:noProof/>
          <w:snapToGrid w:val="0"/>
          <w:kern w:val="22"/>
          <w:szCs w:val="22"/>
          <w:lang w:val="fr-FR" w:eastAsia="ko-KR"/>
        </w:rPr>
        <w:t>Invite</w:t>
      </w:r>
      <w:r w:rsidRPr="0039246D">
        <w:rPr>
          <w:noProof/>
          <w:snapToGrid w:val="0"/>
          <w:kern w:val="22"/>
          <w:szCs w:val="22"/>
          <w:lang w:val="fr-FR" w:eastAsia="ko-KR"/>
        </w:rPr>
        <w:t xml:space="preserve"> les Parties, lorsqu’elles mettent en oeuvre le Programme de développement durable à l’horizon 2030</w:t>
      </w:r>
      <w:r w:rsidRPr="00100B76">
        <w:rPr>
          <w:rStyle w:val="FootnoteReference"/>
          <w:noProof/>
          <w:snapToGrid w:val="0"/>
          <w:kern w:val="22"/>
          <w:sz w:val="22"/>
          <w:szCs w:val="22"/>
          <w:u w:val="none"/>
          <w:vertAlign w:val="superscript"/>
          <w:lang w:eastAsia="ko-KR"/>
        </w:rPr>
        <w:footnoteReference w:id="1"/>
      </w:r>
      <w:r w:rsidRPr="0039246D">
        <w:rPr>
          <w:noProof/>
          <w:snapToGrid w:val="0"/>
          <w:kern w:val="22"/>
          <w:szCs w:val="22"/>
          <w:lang w:val="fr-FR" w:eastAsia="ko-KR"/>
        </w:rPr>
        <w:t xml:space="preserve">, </w:t>
      </w:r>
      <w:r>
        <w:rPr>
          <w:noProof/>
          <w:snapToGrid w:val="0"/>
          <w:kern w:val="22"/>
          <w:szCs w:val="22"/>
          <w:lang w:val="fr-FR" w:eastAsia="ko-KR"/>
        </w:rPr>
        <w:t>à intégrer les</w:t>
      </w:r>
      <w:r w:rsidRPr="0039246D">
        <w:rPr>
          <w:noProof/>
          <w:snapToGrid w:val="0"/>
          <w:kern w:val="22"/>
          <w:szCs w:val="22"/>
          <w:lang w:val="fr-FR" w:eastAsia="ko-KR"/>
        </w:rPr>
        <w:t xml:space="preserve"> </w:t>
      </w:r>
      <w:r w:rsidRPr="0039246D">
        <w:rPr>
          <w:bCs/>
          <w:noProof/>
          <w:kern w:val="22"/>
          <w:szCs w:val="22"/>
          <w:lang w:val="fr-FR" w:eastAsia="en-CA"/>
        </w:rPr>
        <w:t>connaissances, innovations et pratiques traditionnelles</w:t>
      </w:r>
      <w:r>
        <w:rPr>
          <w:bCs/>
          <w:noProof/>
          <w:kern w:val="22"/>
          <w:szCs w:val="22"/>
          <w:lang w:val="fr-FR" w:eastAsia="en-CA"/>
        </w:rPr>
        <w:t>, y compris celles sur l’utilisation coutumière durable de la diversité biologique, dans la réalisation de tous les</w:t>
      </w:r>
      <w:r w:rsidRPr="0039246D">
        <w:rPr>
          <w:noProof/>
          <w:snapToGrid w:val="0"/>
          <w:kern w:val="22"/>
          <w:szCs w:val="22"/>
          <w:lang w:val="fr-FR" w:eastAsia="ko-KR"/>
        </w:rPr>
        <w:t xml:space="preserve"> </w:t>
      </w:r>
      <w:r w:rsidRPr="0039246D">
        <w:rPr>
          <w:iCs/>
          <w:noProof/>
          <w:snapToGrid w:val="0"/>
          <w:kern w:val="22"/>
          <w:szCs w:val="22"/>
          <w:lang w:val="fr-FR"/>
        </w:rPr>
        <w:t>Objectifs de développement durable</w:t>
      </w:r>
      <w:r w:rsidRPr="0039246D">
        <w:rPr>
          <w:noProof/>
          <w:snapToGrid w:val="0"/>
          <w:kern w:val="22"/>
          <w:szCs w:val="22"/>
          <w:lang w:val="fr-FR" w:eastAsia="ko-KR"/>
        </w:rPr>
        <w:t xml:space="preserve"> </w:t>
      </w:r>
      <w:r>
        <w:rPr>
          <w:noProof/>
          <w:snapToGrid w:val="0"/>
          <w:kern w:val="22"/>
          <w:szCs w:val="22"/>
          <w:lang w:val="fr-FR" w:eastAsia="ko-KR"/>
        </w:rPr>
        <w:t>pertinents</w:t>
      </w:r>
      <w:r w:rsidR="00862295">
        <w:rPr>
          <w:noProof/>
          <w:snapToGrid w:val="0"/>
          <w:kern w:val="22"/>
          <w:szCs w:val="22"/>
          <w:lang w:val="fr-FR" w:eastAsia="ko-KR"/>
        </w:rPr>
        <w:t>,</w:t>
      </w:r>
      <w:r>
        <w:rPr>
          <w:noProof/>
          <w:snapToGrid w:val="0"/>
          <w:kern w:val="22"/>
          <w:szCs w:val="22"/>
          <w:lang w:val="fr-FR" w:eastAsia="ko-KR"/>
        </w:rPr>
        <w:t xml:space="preserve"> </w:t>
      </w:r>
      <w:r w:rsidR="00862295">
        <w:rPr>
          <w:noProof/>
          <w:snapToGrid w:val="0"/>
          <w:kern w:val="22"/>
          <w:szCs w:val="22"/>
          <w:lang w:val="fr-FR" w:eastAsia="ko-KR"/>
        </w:rPr>
        <w:t>avec</w:t>
      </w:r>
      <w:r>
        <w:rPr>
          <w:noProof/>
          <w:snapToGrid w:val="0"/>
          <w:kern w:val="22"/>
          <w:szCs w:val="22"/>
          <w:lang w:val="fr-FR" w:eastAsia="ko-KR"/>
        </w:rPr>
        <w:t xml:space="preserve"> la participation pleine et entière</w:t>
      </w:r>
      <w:r w:rsidRPr="0039246D">
        <w:rPr>
          <w:noProof/>
          <w:snapToGrid w:val="0"/>
          <w:kern w:val="22"/>
          <w:szCs w:val="22"/>
          <w:lang w:val="fr-FR" w:eastAsia="ko-KR"/>
        </w:rPr>
        <w:t xml:space="preserve"> </w:t>
      </w:r>
      <w:r>
        <w:rPr>
          <w:noProof/>
          <w:snapToGrid w:val="0"/>
          <w:kern w:val="22"/>
          <w:szCs w:val="22"/>
          <w:lang w:val="fr-FR" w:eastAsia="ko-KR"/>
        </w:rPr>
        <w:t>des</w:t>
      </w:r>
      <w:r w:rsidRPr="0039246D">
        <w:rPr>
          <w:noProof/>
          <w:snapToGrid w:val="0"/>
          <w:kern w:val="22"/>
          <w:szCs w:val="22"/>
          <w:lang w:val="fr-FR" w:eastAsia="ko-KR"/>
        </w:rPr>
        <w:t xml:space="preserve"> peuples autochtones et </w:t>
      </w:r>
      <w:r>
        <w:rPr>
          <w:noProof/>
          <w:snapToGrid w:val="0"/>
          <w:kern w:val="22"/>
          <w:szCs w:val="22"/>
          <w:lang w:val="fr-FR" w:eastAsia="ko-KR"/>
        </w:rPr>
        <w:t xml:space="preserve">des </w:t>
      </w:r>
      <w:r w:rsidRPr="0039246D">
        <w:rPr>
          <w:noProof/>
          <w:snapToGrid w:val="0"/>
          <w:kern w:val="22"/>
          <w:szCs w:val="22"/>
          <w:lang w:val="fr-FR" w:eastAsia="ko-KR"/>
        </w:rPr>
        <w:t>communautés locales;</w:t>
      </w:r>
    </w:p>
    <w:p w:rsidR="007D1C77" w:rsidRPr="00A825CE" w:rsidRDefault="007D1C77" w:rsidP="007D1C77">
      <w:pPr>
        <w:autoSpaceDE w:val="0"/>
        <w:autoSpaceDN w:val="0"/>
        <w:adjustRightInd w:val="0"/>
        <w:spacing w:before="120" w:after="120"/>
        <w:ind w:left="720" w:firstLine="709"/>
        <w:rPr>
          <w:i/>
          <w:iCs/>
          <w:kern w:val="22"/>
          <w:szCs w:val="22"/>
          <w:lang w:val="fr-FR"/>
        </w:rPr>
      </w:pPr>
      <w:r w:rsidRPr="00A825CE">
        <w:rPr>
          <w:iCs/>
          <w:kern w:val="22"/>
          <w:szCs w:val="22"/>
          <w:lang w:val="fr-FR"/>
        </w:rPr>
        <w:lastRenderedPageBreak/>
        <w:t>2.</w:t>
      </w:r>
      <w:r w:rsidRPr="00A825CE">
        <w:rPr>
          <w:iCs/>
          <w:kern w:val="22"/>
          <w:szCs w:val="22"/>
          <w:lang w:val="fr-FR"/>
        </w:rPr>
        <w:tab/>
      </w:r>
      <w:r w:rsidRPr="00A825CE">
        <w:rPr>
          <w:i/>
          <w:iCs/>
          <w:kern w:val="22"/>
          <w:szCs w:val="22"/>
          <w:lang w:val="fr-FR"/>
        </w:rPr>
        <w:t>Décide</w:t>
      </w:r>
      <w:r w:rsidR="0092716F">
        <w:rPr>
          <w:iCs/>
          <w:kern w:val="22"/>
          <w:szCs w:val="22"/>
          <w:lang w:val="fr-FR"/>
        </w:rPr>
        <w:t xml:space="preserve"> que le thème</w:t>
      </w:r>
      <w:r w:rsidRPr="00A825CE">
        <w:rPr>
          <w:iCs/>
          <w:kern w:val="22"/>
          <w:szCs w:val="22"/>
          <w:lang w:val="fr-FR"/>
        </w:rPr>
        <w:t xml:space="preserve"> du dialogue approfondi qui se tiendra à la onzième </w:t>
      </w:r>
      <w:r>
        <w:rPr>
          <w:iCs/>
          <w:kern w:val="22"/>
          <w:szCs w:val="22"/>
          <w:lang w:val="fr-FR"/>
        </w:rPr>
        <w:t xml:space="preserve">réunion du </w:t>
      </w:r>
      <w:r w:rsidR="0092716F">
        <w:rPr>
          <w:iCs/>
          <w:kern w:val="22"/>
          <w:szCs w:val="22"/>
          <w:lang w:val="fr-FR"/>
        </w:rPr>
        <w:t>G</w:t>
      </w:r>
      <w:r w:rsidRPr="002B4D6E">
        <w:rPr>
          <w:iCs/>
          <w:kern w:val="22"/>
          <w:szCs w:val="22"/>
          <w:lang w:val="fr-FR"/>
        </w:rPr>
        <w:t>roupe de travail</w:t>
      </w:r>
      <w:r>
        <w:rPr>
          <w:iCs/>
          <w:kern w:val="22"/>
          <w:szCs w:val="22"/>
          <w:lang w:val="fr-FR"/>
        </w:rPr>
        <w:t xml:space="preserve"> spécial</w:t>
      </w:r>
      <w:r w:rsidRPr="002B4D6E">
        <w:rPr>
          <w:iCs/>
          <w:kern w:val="22"/>
          <w:szCs w:val="22"/>
          <w:lang w:val="fr-FR"/>
        </w:rPr>
        <w:t xml:space="preserve"> intersessions à composition non limitée sur l’article 8 j) et les dispositions connexes </w:t>
      </w:r>
      <w:r>
        <w:rPr>
          <w:iCs/>
          <w:kern w:val="22"/>
          <w:szCs w:val="22"/>
          <w:lang w:val="fr-FR"/>
        </w:rPr>
        <w:t xml:space="preserve">sera le suivant </w:t>
      </w:r>
      <w:r w:rsidRPr="00A825CE">
        <w:rPr>
          <w:iCs/>
          <w:kern w:val="22"/>
          <w:szCs w:val="22"/>
          <w:lang w:val="fr-FR"/>
        </w:rPr>
        <w:t xml:space="preserve">: </w:t>
      </w:r>
      <w:r w:rsidR="00862295">
        <w:rPr>
          <w:iCs/>
          <w:kern w:val="22"/>
          <w:szCs w:val="22"/>
          <w:lang w:val="fr-FR"/>
        </w:rPr>
        <w:t>« </w:t>
      </w:r>
      <w:r w:rsidRPr="00862295">
        <w:rPr>
          <w:bCs/>
          <w:iCs/>
          <w:kern w:val="22"/>
          <w:szCs w:val="22"/>
          <w:lang w:val="fr-FR"/>
        </w:rPr>
        <w:t>Contribution des connaissances, innovations et pratiques traditionnelles des peuples autochtones et des communautés locales</w:t>
      </w:r>
      <w:r w:rsidR="00862295">
        <w:rPr>
          <w:bCs/>
          <w:iCs/>
          <w:kern w:val="22"/>
          <w:szCs w:val="22"/>
          <w:lang w:val="fr-FR"/>
        </w:rPr>
        <w:t>, et de la diversité culturelle,</w:t>
      </w:r>
      <w:r w:rsidR="0092716F">
        <w:rPr>
          <w:bCs/>
          <w:iCs/>
          <w:kern w:val="22"/>
          <w:szCs w:val="22"/>
          <w:lang w:val="fr-FR"/>
        </w:rPr>
        <w:t xml:space="preserve"> au c</w:t>
      </w:r>
      <w:r w:rsidRPr="00862295">
        <w:rPr>
          <w:bCs/>
          <w:iCs/>
          <w:kern w:val="22"/>
          <w:szCs w:val="22"/>
          <w:lang w:val="fr-FR"/>
        </w:rPr>
        <w:t>adre</w:t>
      </w:r>
      <w:r w:rsidR="0092716F">
        <w:rPr>
          <w:bCs/>
          <w:iCs/>
          <w:kern w:val="22"/>
          <w:szCs w:val="22"/>
          <w:lang w:val="fr-FR"/>
        </w:rPr>
        <w:t xml:space="preserve"> mondial de</w:t>
      </w:r>
      <w:r w:rsidRPr="00862295">
        <w:rPr>
          <w:bCs/>
          <w:iCs/>
          <w:kern w:val="22"/>
          <w:szCs w:val="22"/>
          <w:lang w:val="fr-FR"/>
        </w:rPr>
        <w:t xml:space="preserve"> l’après</w:t>
      </w:r>
      <w:r w:rsidRPr="00862295">
        <w:rPr>
          <w:iCs/>
          <w:kern w:val="22"/>
          <w:szCs w:val="22"/>
          <w:lang w:val="fr-FR"/>
        </w:rPr>
        <w:t xml:space="preserve"> 2020</w:t>
      </w:r>
      <w:r w:rsidR="0092716F">
        <w:rPr>
          <w:iCs/>
          <w:kern w:val="22"/>
          <w:szCs w:val="22"/>
          <w:lang w:val="fr-FR"/>
        </w:rPr>
        <w:t xml:space="preserve"> pour la biodiversité »</w:t>
      </w:r>
      <w:r w:rsidRPr="00A825CE">
        <w:rPr>
          <w:i/>
          <w:iCs/>
          <w:kern w:val="22"/>
          <w:szCs w:val="22"/>
          <w:lang w:val="fr-FR"/>
        </w:rPr>
        <w:t>.</w:t>
      </w:r>
    </w:p>
    <w:p w:rsidR="00736BC2" w:rsidRPr="001A0BA3" w:rsidRDefault="00091C34" w:rsidP="001A0BA3">
      <w:pPr>
        <w:suppressLineNumbers/>
        <w:suppressAutoHyphens/>
        <w:autoSpaceDE w:val="0"/>
        <w:autoSpaceDN w:val="0"/>
        <w:ind w:firstLine="709"/>
        <w:jc w:val="center"/>
        <w:rPr>
          <w:kern w:val="22"/>
        </w:rPr>
      </w:pPr>
      <w:r w:rsidRPr="001A0BA3">
        <w:rPr>
          <w:kern w:val="22"/>
          <w:szCs w:val="22"/>
        </w:rPr>
        <w:t>__________</w:t>
      </w:r>
    </w:p>
    <w:sectPr w:rsidR="00736BC2" w:rsidRPr="001A0BA3" w:rsidSect="0091354E">
      <w:headerReference w:type="even" r:id="rId13"/>
      <w:type w:val="continuous"/>
      <w:pgSz w:w="12240" w:h="15840" w:code="1"/>
      <w:pgMar w:top="1022" w:right="1440" w:bottom="1138" w:left="1440" w:header="46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16" w:rsidRDefault="00324916">
      <w:r>
        <w:separator/>
      </w:r>
    </w:p>
  </w:endnote>
  <w:endnote w:type="continuationSeparator" w:id="0">
    <w:p w:rsidR="00324916" w:rsidRDefault="0032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36" w:rsidRDefault="00875636" w:rsidP="001A0BA3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16" w:rsidRDefault="00324916">
      <w:r>
        <w:separator/>
      </w:r>
    </w:p>
  </w:footnote>
  <w:footnote w:type="continuationSeparator" w:id="0">
    <w:p w:rsidR="00324916" w:rsidRDefault="00324916">
      <w:r>
        <w:continuationSeparator/>
      </w:r>
    </w:p>
  </w:footnote>
  <w:footnote w:id="1">
    <w:p w:rsidR="007D1C77" w:rsidRPr="006A5D2C" w:rsidRDefault="007D1C77" w:rsidP="007D1C77">
      <w:pPr>
        <w:pStyle w:val="FootnoteText"/>
        <w:keepLines w:val="0"/>
        <w:widowControl w:val="0"/>
        <w:suppressLineNumbers/>
        <w:suppressAutoHyphens/>
        <w:adjustRightInd w:val="0"/>
        <w:snapToGrid w:val="0"/>
        <w:ind w:firstLine="0"/>
        <w:jc w:val="left"/>
        <w:rPr>
          <w:snapToGrid w:val="0"/>
          <w:kern w:val="18"/>
          <w:szCs w:val="18"/>
          <w:lang w:val="fr-FR"/>
        </w:rPr>
      </w:pPr>
      <w:r w:rsidRPr="00862295">
        <w:rPr>
          <w:rStyle w:val="FootnoteReference"/>
          <w:snapToGrid w:val="0"/>
          <w:kern w:val="18"/>
          <w:szCs w:val="18"/>
          <w:u w:val="none"/>
          <w:vertAlign w:val="superscript"/>
        </w:rPr>
        <w:footnoteRef/>
      </w:r>
      <w:r w:rsidRPr="00862295">
        <w:rPr>
          <w:snapToGrid w:val="0"/>
          <w:kern w:val="18"/>
          <w:szCs w:val="18"/>
          <w:lang w:val="fr-FR"/>
        </w:rPr>
        <w:t xml:space="preserve"> </w:t>
      </w:r>
      <w:hyperlink r:id="rId1" w:history="1">
        <w:r w:rsidRPr="00862295">
          <w:rPr>
            <w:rStyle w:val="Hyperlink"/>
            <w:snapToGrid w:val="0"/>
            <w:kern w:val="18"/>
            <w:szCs w:val="18"/>
            <w:lang w:val="fr-FR"/>
          </w:rPr>
          <w:t>Résolution 70/1 du 25 septembre 2015 de l’Assemblée générale intitulée « Transformer notre monde : le Programme de développement durable à l’horizon 2030 »</w:t>
        </w:r>
      </w:hyperlink>
      <w:r>
        <w:rPr>
          <w:snapToGrid w:val="0"/>
          <w:kern w:val="18"/>
          <w:szCs w:val="18"/>
          <w:lang w:val="fr-FR"/>
        </w:rPr>
        <w:t>, annexe</w:t>
      </w:r>
      <w:r w:rsidRPr="006A5D2C">
        <w:rPr>
          <w:snapToGrid w:val="0"/>
          <w:kern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E5" w:rsidRPr="00FE1F72" w:rsidRDefault="00C56DE5" w:rsidP="00C56DE5">
    <w:pPr>
      <w:tabs>
        <w:tab w:val="left" w:pos="0"/>
      </w:tabs>
      <w:suppressAutoHyphens/>
      <w:ind w:left="37"/>
      <w:rPr>
        <w:noProof/>
        <w:lang w:val="fr-FR"/>
      </w:rPr>
    </w:pPr>
    <w:r>
      <w:rPr>
        <w:noProof/>
        <w:lang w:val="fr-FR"/>
      </w:rPr>
      <w:t>CBD/WG8J/10/L.6</w:t>
    </w:r>
  </w:p>
  <w:p w:rsidR="00C56DE5" w:rsidRDefault="00C56DE5">
    <w:pPr>
      <w:pStyle w:val="Header"/>
    </w:pPr>
    <w:r>
      <w:t xml:space="preserve">Page </w:t>
    </w:r>
  </w:p>
  <w:p w:rsidR="00C56DE5" w:rsidRDefault="00C56D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E5" w:rsidRPr="00FE1F72" w:rsidRDefault="00C56DE5" w:rsidP="00C56DE5">
    <w:pPr>
      <w:tabs>
        <w:tab w:val="left" w:pos="0"/>
      </w:tabs>
      <w:suppressAutoHyphens/>
      <w:ind w:left="37"/>
      <w:rPr>
        <w:noProof/>
        <w:lang w:val="fr-FR"/>
      </w:rPr>
    </w:pPr>
    <w:r>
      <w:rPr>
        <w:noProof/>
        <w:lang w:val="fr-FR"/>
      </w:rPr>
      <w:t>CBD/WG8J/</w:t>
    </w:r>
    <w:r w:rsidR="0092716F">
      <w:rPr>
        <w:noProof/>
        <w:lang w:val="fr-FR"/>
      </w:rPr>
      <w:t>REC/10/5</w:t>
    </w:r>
  </w:p>
  <w:p w:rsidR="00C56DE5" w:rsidRDefault="00C56DE5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475FE">
      <w:rPr>
        <w:noProof/>
      </w:rPr>
      <w:t>2</w:t>
    </w:r>
    <w:r>
      <w:rPr>
        <w:noProof/>
      </w:rPr>
      <w:fldChar w:fldCharType="end"/>
    </w:r>
  </w:p>
  <w:p w:rsidR="00C56DE5" w:rsidRDefault="00C56D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B0CF9"/>
    <w:multiLevelType w:val="hybridMultilevel"/>
    <w:tmpl w:val="044C39F6"/>
    <w:lvl w:ilvl="0" w:tplc="74660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8A6303E"/>
    <w:multiLevelType w:val="multilevel"/>
    <w:tmpl w:val="E280D0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B318A"/>
    <w:multiLevelType w:val="hybridMultilevel"/>
    <w:tmpl w:val="940E8760"/>
    <w:lvl w:ilvl="0" w:tplc="E266F2B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E4D1AA5"/>
    <w:multiLevelType w:val="hybridMultilevel"/>
    <w:tmpl w:val="E690C7C2"/>
    <w:lvl w:ilvl="0" w:tplc="FDA42E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4"/>
  </w:num>
  <w:num w:numId="5">
    <w:abstractNumId w:val="10"/>
  </w:num>
  <w:num w:numId="6">
    <w:abstractNumId w:val="17"/>
  </w:num>
  <w:num w:numId="7">
    <w:abstractNumId w:val="13"/>
  </w:num>
  <w:num w:numId="8">
    <w:abstractNumId w:val="11"/>
  </w:num>
  <w:num w:numId="9">
    <w:abstractNumId w:val="17"/>
  </w:num>
  <w:num w:numId="10">
    <w:abstractNumId w:val="16"/>
  </w:num>
  <w:num w:numId="11">
    <w:abstractNumId w:val="12"/>
  </w:num>
  <w:num w:numId="12">
    <w:abstractNumId w:val="4"/>
  </w:num>
  <w:num w:numId="13">
    <w:abstractNumId w:val="15"/>
  </w:num>
  <w:num w:numId="14">
    <w:abstractNumId w:val="0"/>
  </w:num>
  <w:num w:numId="15">
    <w:abstractNumId w:val="25"/>
  </w:num>
  <w:num w:numId="16">
    <w:abstractNumId w:val="20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2"/>
  </w:num>
  <w:num w:numId="21">
    <w:abstractNumId w:val="21"/>
  </w:num>
  <w:num w:numId="22">
    <w:abstractNumId w:val="19"/>
  </w:num>
  <w:num w:numId="23">
    <w:abstractNumId w:val="5"/>
  </w:num>
  <w:num w:numId="24">
    <w:abstractNumId w:val="22"/>
  </w:num>
  <w:num w:numId="25">
    <w:abstractNumId w:val="23"/>
  </w:num>
  <w:num w:numId="26">
    <w:abstractNumId w:val="14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6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D"/>
    <w:rsid w:val="00040735"/>
    <w:rsid w:val="000711E1"/>
    <w:rsid w:val="00091C34"/>
    <w:rsid w:val="000A5550"/>
    <w:rsid w:val="000B5590"/>
    <w:rsid w:val="000B6666"/>
    <w:rsid w:val="000F63AB"/>
    <w:rsid w:val="00100B76"/>
    <w:rsid w:val="00101EBE"/>
    <w:rsid w:val="0012633E"/>
    <w:rsid w:val="001475FE"/>
    <w:rsid w:val="00166273"/>
    <w:rsid w:val="00191342"/>
    <w:rsid w:val="00191DFC"/>
    <w:rsid w:val="001A0BA3"/>
    <w:rsid w:val="001D1859"/>
    <w:rsid w:val="0021283D"/>
    <w:rsid w:val="00293EBD"/>
    <w:rsid w:val="002C67AF"/>
    <w:rsid w:val="003059BA"/>
    <w:rsid w:val="00324916"/>
    <w:rsid w:val="00372640"/>
    <w:rsid w:val="003F2D5A"/>
    <w:rsid w:val="00427B19"/>
    <w:rsid w:val="0044487E"/>
    <w:rsid w:val="004A4369"/>
    <w:rsid w:val="005975F1"/>
    <w:rsid w:val="005E77AA"/>
    <w:rsid w:val="00605229"/>
    <w:rsid w:val="00612727"/>
    <w:rsid w:val="006507F2"/>
    <w:rsid w:val="006632AA"/>
    <w:rsid w:val="0066501B"/>
    <w:rsid w:val="006724F3"/>
    <w:rsid w:val="00694201"/>
    <w:rsid w:val="006A7879"/>
    <w:rsid w:val="006C6F8F"/>
    <w:rsid w:val="006C7948"/>
    <w:rsid w:val="00727994"/>
    <w:rsid w:val="00730AE3"/>
    <w:rsid w:val="00736BC2"/>
    <w:rsid w:val="00747994"/>
    <w:rsid w:val="00764F8B"/>
    <w:rsid w:val="0077016B"/>
    <w:rsid w:val="00774EDC"/>
    <w:rsid w:val="0079325E"/>
    <w:rsid w:val="007B52BF"/>
    <w:rsid w:val="007D1C77"/>
    <w:rsid w:val="007D65C6"/>
    <w:rsid w:val="007E6F89"/>
    <w:rsid w:val="008545FB"/>
    <w:rsid w:val="00856177"/>
    <w:rsid w:val="00862295"/>
    <w:rsid w:val="00862D66"/>
    <w:rsid w:val="008747C1"/>
    <w:rsid w:val="00875636"/>
    <w:rsid w:val="008C6579"/>
    <w:rsid w:val="008E0887"/>
    <w:rsid w:val="009130D6"/>
    <w:rsid w:val="0091354E"/>
    <w:rsid w:val="0092716F"/>
    <w:rsid w:val="009A4088"/>
    <w:rsid w:val="009C3913"/>
    <w:rsid w:val="009E6DB0"/>
    <w:rsid w:val="009E749E"/>
    <w:rsid w:val="009F36C9"/>
    <w:rsid w:val="00A03ECB"/>
    <w:rsid w:val="00A46F4A"/>
    <w:rsid w:val="00A51823"/>
    <w:rsid w:val="00A52F8C"/>
    <w:rsid w:val="00A63C12"/>
    <w:rsid w:val="00AB29A6"/>
    <w:rsid w:val="00AE2F44"/>
    <w:rsid w:val="00BA1498"/>
    <w:rsid w:val="00C31FC0"/>
    <w:rsid w:val="00C374F5"/>
    <w:rsid w:val="00C56DE5"/>
    <w:rsid w:val="00C8695C"/>
    <w:rsid w:val="00CE0CD6"/>
    <w:rsid w:val="00D049C9"/>
    <w:rsid w:val="00D51AF2"/>
    <w:rsid w:val="00D53E6C"/>
    <w:rsid w:val="00DD77D3"/>
    <w:rsid w:val="00DE3070"/>
    <w:rsid w:val="00DF31E2"/>
    <w:rsid w:val="00DF4DF2"/>
    <w:rsid w:val="00E3741B"/>
    <w:rsid w:val="00E459D4"/>
    <w:rsid w:val="00E67B5D"/>
    <w:rsid w:val="00EA7525"/>
    <w:rsid w:val="00EE51DB"/>
    <w:rsid w:val="00F07A97"/>
    <w:rsid w:val="00FA0666"/>
    <w:rsid w:val="00FB7C32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"/>
    <w:pPr>
      <w:numPr>
        <w:numId w:val="6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Normal"/>
    <w:link w:val="FootnoteTextChar"/>
    <w:qFormat/>
    <w:pPr>
      <w:keepLines/>
      <w:spacing w:after="60"/>
      <w:ind w:firstLine="720"/>
    </w:pPr>
    <w:rPr>
      <w:sz w:val="18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styleId="PlaceholderText">
    <w:name w:val="Placeholder Text"/>
    <w:basedOn w:val="DefaultParagraphFont"/>
    <w:uiPriority w:val="99"/>
    <w:semiHidden/>
    <w:rsid w:val="00DD77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D3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3059BA"/>
    <w:rPr>
      <w:sz w:val="22"/>
      <w:szCs w:val="24"/>
      <w:lang w:val="en-GB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link w:val="FootnoteText"/>
    <w:uiPriority w:val="99"/>
    <w:rsid w:val="003059BA"/>
    <w:rPr>
      <w:sz w:val="18"/>
      <w:szCs w:val="24"/>
      <w:lang w:val="en-GB"/>
    </w:rPr>
  </w:style>
  <w:style w:type="paragraph" w:customStyle="1" w:styleId="Default">
    <w:name w:val="Default"/>
    <w:rsid w:val="003059B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styleId="Hyperlink">
    <w:name w:val="Hyperlink"/>
    <w:rsid w:val="003059B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059BA"/>
    <w:rPr>
      <w:sz w:val="22"/>
      <w:szCs w:val="24"/>
      <w:lang w:val="en-GB"/>
    </w:rPr>
  </w:style>
  <w:style w:type="character" w:customStyle="1" w:styleId="Para1Char">
    <w:name w:val="Para1 Char"/>
    <w:link w:val="Para1"/>
    <w:locked/>
    <w:rsid w:val="003059BA"/>
    <w:rPr>
      <w:snapToGrid w:val="0"/>
      <w:sz w:val="22"/>
      <w:szCs w:val="18"/>
      <w:lang w:val="en-GB"/>
    </w:rPr>
  </w:style>
  <w:style w:type="paragraph" w:styleId="Revision">
    <w:name w:val="Revision"/>
    <w:hidden/>
    <w:uiPriority w:val="99"/>
    <w:semiHidden/>
    <w:rsid w:val="00372640"/>
    <w:rPr>
      <w:sz w:val="2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"/>
    <w:pPr>
      <w:numPr>
        <w:numId w:val="6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Normal"/>
    <w:link w:val="FootnoteTextChar"/>
    <w:qFormat/>
    <w:pPr>
      <w:keepLines/>
      <w:spacing w:after="60"/>
      <w:ind w:firstLine="720"/>
    </w:pPr>
    <w:rPr>
      <w:sz w:val="18"/>
    </w:rPr>
  </w:style>
  <w:style w:type="paragraph" w:styleId="BodyText">
    <w:name w:val="Body Text"/>
    <w:basedOn w:val="Normal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styleId="PlaceholderText">
    <w:name w:val="Placeholder Text"/>
    <w:basedOn w:val="DefaultParagraphFont"/>
    <w:uiPriority w:val="99"/>
    <w:semiHidden/>
    <w:rsid w:val="00DD77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D3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3059BA"/>
    <w:rPr>
      <w:sz w:val="22"/>
      <w:szCs w:val="24"/>
      <w:lang w:val="en-GB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link w:val="FootnoteText"/>
    <w:uiPriority w:val="99"/>
    <w:rsid w:val="003059BA"/>
    <w:rPr>
      <w:sz w:val="18"/>
      <w:szCs w:val="24"/>
      <w:lang w:val="en-GB"/>
    </w:rPr>
  </w:style>
  <w:style w:type="paragraph" w:customStyle="1" w:styleId="Default">
    <w:name w:val="Default"/>
    <w:rsid w:val="003059BA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character" w:styleId="Hyperlink">
    <w:name w:val="Hyperlink"/>
    <w:rsid w:val="003059B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059BA"/>
    <w:rPr>
      <w:sz w:val="22"/>
      <w:szCs w:val="24"/>
      <w:lang w:val="en-GB"/>
    </w:rPr>
  </w:style>
  <w:style w:type="character" w:customStyle="1" w:styleId="Para1Char">
    <w:name w:val="Para1 Char"/>
    <w:link w:val="Para1"/>
    <w:locked/>
    <w:rsid w:val="003059BA"/>
    <w:rPr>
      <w:snapToGrid w:val="0"/>
      <w:sz w:val="22"/>
      <w:szCs w:val="18"/>
      <w:lang w:val="en-GB"/>
    </w:rPr>
  </w:style>
  <w:style w:type="paragraph" w:styleId="Revision">
    <w:name w:val="Revision"/>
    <w:hidden/>
    <w:uiPriority w:val="99"/>
    <w:semiHidden/>
    <w:rsid w:val="00372640"/>
    <w:rPr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-dds-ny.un.org/doc/UNDOC/GEN/N15/291/89/doc/N1529189.DOCX?OpenEl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template-sbstta-18.dot</Template>
  <TotalTime>14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In-depth dialogue on thematic areas and other cross-cutting issue</vt:lpstr>
      <vt:lpstr>In-depth dialogue on thematic areas and other cross-cutting issue</vt:lpstr>
    </vt:vector>
  </TitlesOfParts>
  <Company>Secretariat of the Convention on Biological Diversity (SCBD)</Company>
  <LinksUpToDate>false</LinksUpToDate>
  <CharactersWithSpaces>2531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In-depth dialogue on thematic areas and other cross-cutting issue</dc:title>
  <dc:subject>CBD/WG8J/10/CRP.5</dc:subject>
  <dc:creator>SCBD</dc:creator>
  <cp:lastModifiedBy>Administrator</cp:lastModifiedBy>
  <cp:revision>10</cp:revision>
  <cp:lastPrinted>2007-06-04T13:35:00Z</cp:lastPrinted>
  <dcterms:created xsi:type="dcterms:W3CDTF">2017-12-16T16:23:00Z</dcterms:created>
  <dcterms:modified xsi:type="dcterms:W3CDTF">2018-01-16T15:37:00Z</dcterms:modified>
  <cp:contentStatus>CRP</cp:contentStatus>
</cp:coreProperties>
</file>