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1F708A" w:rsidRPr="00585674" w:rsidTr="00A60A25">
        <w:trPr>
          <w:trHeight w:val="709"/>
        </w:trPr>
        <w:tc>
          <w:tcPr>
            <w:tcW w:w="976" w:type="dxa"/>
            <w:tcBorders>
              <w:bottom w:val="single" w:sz="12" w:space="0" w:color="auto"/>
            </w:tcBorders>
          </w:tcPr>
          <w:p w:rsidR="001F708A" w:rsidRPr="00A60A25" w:rsidRDefault="00710F6E" w:rsidP="006F005D">
            <w:pPr>
              <w:rPr>
                <w:rFonts w:ascii="Calibri" w:eastAsia="SimSun" w:hAnsi="Calibri"/>
              </w:rPr>
            </w:pPr>
            <w:r>
              <w:rPr>
                <w:rFonts w:ascii="Calibri" w:hAnsi="Calibri"/>
                <w:noProof/>
                <w:lang w:val="es-UY" w:eastAsia="es-UY"/>
              </w:rPr>
              <w:drawing>
                <wp:inline distT="0" distB="0" distL="0" distR="0">
                  <wp:extent cx="428625" cy="3619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p>
        </w:tc>
        <w:tc>
          <w:tcPr>
            <w:tcW w:w="5141" w:type="dxa"/>
            <w:tcBorders>
              <w:bottom w:val="single" w:sz="12" w:space="0" w:color="auto"/>
            </w:tcBorders>
          </w:tcPr>
          <w:p w:rsidR="001F708A" w:rsidRPr="00A60A25" w:rsidRDefault="00710F6E" w:rsidP="006F005D">
            <w:pPr>
              <w:rPr>
                <w:rFonts w:ascii="Calibri" w:eastAsia="SimSun" w:hAnsi="Calibri"/>
              </w:rPr>
            </w:pPr>
            <w:r>
              <w:rPr>
                <w:rFonts w:ascii="Calibri" w:hAnsi="Calibri"/>
                <w:noProof/>
                <w:lang w:val="es-UY" w:eastAsia="es-UY"/>
              </w:rPr>
              <w:drawing>
                <wp:inline distT="0" distB="0" distL="0" distR="0">
                  <wp:extent cx="314325" cy="371475"/>
                  <wp:effectExtent l="0" t="0" r="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371475"/>
                          </a:xfrm>
                          <a:prstGeom prst="rect">
                            <a:avLst/>
                          </a:prstGeom>
                          <a:noFill/>
                          <a:ln>
                            <a:noFill/>
                          </a:ln>
                        </pic:spPr>
                      </pic:pic>
                    </a:graphicData>
                  </a:graphic>
                </wp:inline>
              </w:drawing>
            </w:r>
          </w:p>
        </w:tc>
        <w:tc>
          <w:tcPr>
            <w:tcW w:w="4090" w:type="dxa"/>
            <w:tcBorders>
              <w:bottom w:val="single" w:sz="12" w:space="0" w:color="auto"/>
            </w:tcBorders>
          </w:tcPr>
          <w:p w:rsidR="001F708A" w:rsidRPr="00A60A25" w:rsidRDefault="00BD56D9" w:rsidP="00A60A25">
            <w:pPr>
              <w:jc w:val="right"/>
              <w:rPr>
                <w:rFonts w:ascii="Arial" w:eastAsia="SimSun" w:hAnsi="Arial" w:cs="Arial"/>
                <w:b/>
                <w:sz w:val="32"/>
                <w:szCs w:val="32"/>
              </w:rPr>
            </w:pPr>
            <w:r>
              <w:rPr>
                <w:rFonts w:ascii="Arial" w:hAnsi="Arial"/>
                <w:b/>
                <w:sz w:val="32"/>
              </w:rPr>
              <w:t>CBD</w:t>
            </w:r>
          </w:p>
        </w:tc>
      </w:tr>
      <w:tr w:rsidR="001F708A" w:rsidRPr="00585674" w:rsidTr="00A60A25">
        <w:tc>
          <w:tcPr>
            <w:tcW w:w="6117" w:type="dxa"/>
            <w:gridSpan w:val="2"/>
            <w:tcBorders>
              <w:top w:val="single" w:sz="12" w:space="0" w:color="auto"/>
              <w:bottom w:val="single" w:sz="36" w:space="0" w:color="auto"/>
            </w:tcBorders>
            <w:vAlign w:val="center"/>
          </w:tcPr>
          <w:p w:rsidR="001F708A" w:rsidRPr="00A60A25" w:rsidRDefault="00AC1474" w:rsidP="006F005D">
            <w:pPr>
              <w:rPr>
                <w:rFonts w:ascii="Calibri" w:eastAsia="SimSun" w:hAnsi="Calibri"/>
              </w:rPr>
            </w:pPr>
            <w:r w:rsidRPr="00AC1474">
              <w:rPr>
                <w:rFonts w:ascii="Calibri" w:hAnsi="Calibri"/>
                <w:noProof/>
                <w:lang w:val="es-UY" w:eastAsia="es-UY"/>
              </w:rPr>
              <w:drawing>
                <wp:inline distT="0" distB="0" distL="0" distR="0">
                  <wp:extent cx="2905125" cy="10763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1F708A" w:rsidRPr="00A60A25" w:rsidRDefault="00BD56D9" w:rsidP="00B46502">
            <w:pPr>
              <w:ind w:left="722"/>
              <w:rPr>
                <w:rFonts w:eastAsia="SimSun"/>
                <w:szCs w:val="22"/>
              </w:rPr>
            </w:pPr>
            <w:r>
              <w:t>Distr.</w:t>
            </w:r>
          </w:p>
          <w:p w:rsidR="001F708A" w:rsidRPr="00A60A25" w:rsidRDefault="00D8731D" w:rsidP="00B46502">
            <w:pPr>
              <w:ind w:left="722"/>
              <w:rPr>
                <w:rFonts w:eastAsia="SimSun"/>
                <w:szCs w:val="22"/>
              </w:rPr>
            </w:pPr>
            <w:r>
              <w:t>GENERAL</w:t>
            </w:r>
          </w:p>
          <w:p w:rsidR="001F708A" w:rsidRPr="00A60A25" w:rsidRDefault="001F708A" w:rsidP="00B46502">
            <w:pPr>
              <w:ind w:left="722"/>
              <w:rPr>
                <w:rFonts w:eastAsia="SimSun"/>
                <w:szCs w:val="22"/>
              </w:rPr>
            </w:pPr>
          </w:p>
          <w:p w:rsidR="001F708A" w:rsidRPr="00A60A25" w:rsidRDefault="00BD56D9" w:rsidP="00B46502">
            <w:pPr>
              <w:ind w:left="722"/>
              <w:rPr>
                <w:rFonts w:eastAsia="SimSun"/>
                <w:szCs w:val="22"/>
              </w:rPr>
            </w:pPr>
            <w:r>
              <w:t>CBD/WG8J/</w:t>
            </w:r>
            <w:r w:rsidR="00D8731D">
              <w:t>REC/</w:t>
            </w:r>
            <w:r>
              <w:t>10</w:t>
            </w:r>
            <w:r w:rsidR="00D8731D">
              <w:t>/2</w:t>
            </w:r>
          </w:p>
          <w:p w:rsidR="001F708A" w:rsidRPr="00A60A25" w:rsidRDefault="00BD56D9" w:rsidP="00B46502">
            <w:pPr>
              <w:ind w:left="722"/>
              <w:rPr>
                <w:rFonts w:eastAsia="SimSun"/>
                <w:szCs w:val="22"/>
              </w:rPr>
            </w:pPr>
            <w:r>
              <w:t>1</w:t>
            </w:r>
            <w:r w:rsidR="00D8731D">
              <w:t>6</w:t>
            </w:r>
            <w:r>
              <w:t> de diciembre de 2017</w:t>
            </w:r>
          </w:p>
          <w:p w:rsidR="001F708A" w:rsidRPr="00A60A25" w:rsidRDefault="001F708A" w:rsidP="00B46502">
            <w:pPr>
              <w:ind w:left="722"/>
              <w:rPr>
                <w:rFonts w:eastAsia="SimSun"/>
                <w:szCs w:val="22"/>
              </w:rPr>
            </w:pPr>
          </w:p>
          <w:p w:rsidR="00AC1474" w:rsidRDefault="00BD56D9" w:rsidP="00B46502">
            <w:pPr>
              <w:ind w:left="722"/>
            </w:pPr>
            <w:r>
              <w:t>ESPAÑOL</w:t>
            </w:r>
          </w:p>
          <w:p w:rsidR="001F708A" w:rsidRPr="00A60A25" w:rsidRDefault="00BD56D9" w:rsidP="00B46502">
            <w:pPr>
              <w:ind w:left="722"/>
              <w:rPr>
                <w:rFonts w:eastAsia="SimSun"/>
                <w:szCs w:val="22"/>
              </w:rPr>
            </w:pPr>
            <w:r>
              <w:t>ORIGINAL:  INGLÉS</w:t>
            </w:r>
          </w:p>
          <w:p w:rsidR="001F708A" w:rsidRPr="00A60A25" w:rsidRDefault="001F708A" w:rsidP="00A60A25">
            <w:pPr>
              <w:ind w:left="716"/>
              <w:rPr>
                <w:rFonts w:eastAsia="SimSun"/>
              </w:rPr>
            </w:pPr>
          </w:p>
        </w:tc>
      </w:tr>
    </w:tbl>
    <w:p w:rsidR="001F708A" w:rsidRPr="00585674" w:rsidRDefault="00BD56D9" w:rsidP="001F708A">
      <w:pPr>
        <w:suppressLineNumbers/>
        <w:suppressAutoHyphens/>
        <w:adjustRightInd w:val="0"/>
        <w:snapToGrid w:val="0"/>
        <w:ind w:left="170" w:right="4500" w:hanging="170"/>
        <w:jc w:val="left"/>
        <w:rPr>
          <w:snapToGrid w:val="0"/>
          <w:color w:val="000000"/>
          <w:kern w:val="22"/>
          <w:szCs w:val="22"/>
        </w:rPr>
      </w:pPr>
      <w:r>
        <w:rPr>
          <w:color w:val="000000"/>
          <w:kern w:val="22"/>
        </w:rPr>
        <w:t>GRUPO DE TRABAJO ESPECIAL DE COMPOSICIÓN ABIERTA ENTRE PERÍODOS DE SESIONES SOBRE EL ARTÍCULO 8 j) Y DISPOSICIONES CONEXAS DEL CONVENIO SOBRE LA DIVERSIDAD BIOLÓGICA</w:t>
      </w:r>
    </w:p>
    <w:p w:rsidR="001F708A" w:rsidRPr="00585674" w:rsidRDefault="00BD56D9" w:rsidP="001F708A">
      <w:pPr>
        <w:suppressLineNumbers/>
        <w:suppressAutoHyphens/>
        <w:adjustRightInd w:val="0"/>
        <w:snapToGrid w:val="0"/>
        <w:ind w:left="170" w:right="4740" w:hanging="170"/>
        <w:jc w:val="left"/>
        <w:rPr>
          <w:rFonts w:eastAsia="Malgun Gothic"/>
          <w:snapToGrid w:val="0"/>
          <w:color w:val="000000"/>
          <w:kern w:val="22"/>
          <w:szCs w:val="22"/>
        </w:rPr>
      </w:pPr>
      <w:r>
        <w:rPr>
          <w:color w:val="000000"/>
          <w:kern w:val="22"/>
        </w:rPr>
        <w:t>Décima reunión</w:t>
      </w:r>
    </w:p>
    <w:p w:rsidR="001F708A" w:rsidRPr="00585674" w:rsidRDefault="00BD56D9" w:rsidP="001F708A">
      <w:pPr>
        <w:rPr>
          <w:rFonts w:eastAsia="Malgun Gothic"/>
          <w:snapToGrid w:val="0"/>
          <w:color w:val="000000"/>
          <w:kern w:val="22"/>
          <w:szCs w:val="22"/>
        </w:rPr>
      </w:pPr>
      <w:r>
        <w:rPr>
          <w:color w:val="000000"/>
          <w:kern w:val="22"/>
        </w:rPr>
        <w:t>Montreal (Canadá), 13 a 16 de diciembre de 2017</w:t>
      </w:r>
    </w:p>
    <w:p w:rsidR="00D53E6C" w:rsidRPr="00585674" w:rsidRDefault="00BD56D9" w:rsidP="00D53E6C">
      <w:pPr>
        <w:rPr>
          <w:kern w:val="22"/>
          <w:szCs w:val="22"/>
        </w:rPr>
      </w:pPr>
      <w:r>
        <w:rPr>
          <w:kern w:val="22"/>
        </w:rPr>
        <w:t>Tema 4 del programa</w:t>
      </w:r>
    </w:p>
    <w:p w:rsidR="00736BC2" w:rsidRPr="00585674" w:rsidRDefault="00D8731D" w:rsidP="001D046A">
      <w:pPr>
        <w:pStyle w:val="HEADINGNOTFORTOC"/>
        <w:tabs>
          <w:tab w:val="clear" w:pos="720"/>
        </w:tabs>
        <w:rPr>
          <w:kern w:val="22"/>
          <w:szCs w:val="22"/>
        </w:rPr>
      </w:pPr>
      <w:r>
        <w:t>RECOMENDACIÓN ADOPTADA POR EL GRUPO DE TRABAJO</w:t>
      </w:r>
    </w:p>
    <w:p w:rsidR="00CE0CD6" w:rsidRPr="00585674" w:rsidRDefault="00D8731D" w:rsidP="009B6F5E">
      <w:pPr>
        <w:pStyle w:val="Heading2"/>
        <w:tabs>
          <w:tab w:val="clear" w:pos="720"/>
        </w:tabs>
        <w:ind w:left="1804" w:hanging="902"/>
        <w:jc w:val="left"/>
        <w:rPr>
          <w:i w:val="0"/>
          <w:kern w:val="22"/>
          <w:szCs w:val="22"/>
        </w:rPr>
      </w:pPr>
      <w:r w:rsidRPr="00D8731D">
        <w:rPr>
          <w:i w:val="0"/>
        </w:rPr>
        <w:t>10/2.</w:t>
      </w:r>
      <w:r w:rsidRPr="00D8731D">
        <w:rPr>
          <w:i w:val="0"/>
        </w:rPr>
        <w:tab/>
      </w:r>
      <w:r w:rsidRPr="00D8731D">
        <w:rPr>
          <w:i w:val="0"/>
          <w:kern w:val="22"/>
        </w:rPr>
        <w:t>Glosario de términos y conceptos clave pertinentes en el contexto del artículo</w:t>
      </w:r>
      <w:r w:rsidR="00A109E0">
        <w:rPr>
          <w:i w:val="0"/>
          <w:kern w:val="22"/>
        </w:rPr>
        <w:t> </w:t>
      </w:r>
      <w:r w:rsidRPr="00D8731D">
        <w:rPr>
          <w:i w:val="0"/>
          <w:kern w:val="22"/>
        </w:rPr>
        <w:t>8</w:t>
      </w:r>
      <w:r w:rsidR="00A109E0">
        <w:rPr>
          <w:i w:val="0"/>
          <w:kern w:val="22"/>
        </w:rPr>
        <w:t> </w:t>
      </w:r>
      <w:r w:rsidRPr="00D8731D">
        <w:rPr>
          <w:i w:val="0"/>
          <w:kern w:val="22"/>
        </w:rPr>
        <w:t>j) y disposiciones conexas</w:t>
      </w:r>
    </w:p>
    <w:p w:rsidR="00D37D34" w:rsidRPr="00585674" w:rsidRDefault="00BD56D9" w:rsidP="00272BD1">
      <w:pPr>
        <w:pStyle w:val="Para1"/>
        <w:numPr>
          <w:ilvl w:val="0"/>
          <w:numId w:val="0"/>
        </w:numPr>
        <w:ind w:firstLine="720"/>
        <w:rPr>
          <w:i/>
          <w:kern w:val="22"/>
          <w:szCs w:val="22"/>
        </w:rPr>
      </w:pPr>
      <w:r>
        <w:rPr>
          <w:i/>
          <w:kern w:val="22"/>
        </w:rPr>
        <w:t xml:space="preserve">El Grupo de Trabajo especial de composición abierta </w:t>
      </w:r>
      <w:r w:rsidR="002816F7" w:rsidRPr="009029B0">
        <w:rPr>
          <w:i/>
          <w:iCs/>
        </w:rPr>
        <w:t xml:space="preserve">entre períodos de sesiones </w:t>
      </w:r>
      <w:r>
        <w:rPr>
          <w:i/>
          <w:kern w:val="22"/>
        </w:rPr>
        <w:t>sobre el artículo 8 j) y disposiciones conexas</w:t>
      </w:r>
    </w:p>
    <w:p w:rsidR="00736BC2" w:rsidRPr="00272BD1" w:rsidRDefault="00BD56D9" w:rsidP="001D046A">
      <w:pPr>
        <w:pStyle w:val="Para1"/>
        <w:numPr>
          <w:ilvl w:val="0"/>
          <w:numId w:val="0"/>
        </w:numPr>
        <w:ind w:firstLine="720"/>
        <w:rPr>
          <w:b/>
          <w:bCs/>
          <w:kern w:val="22"/>
          <w:szCs w:val="22"/>
        </w:rPr>
      </w:pPr>
      <w:r>
        <w:rPr>
          <w:i/>
        </w:rPr>
        <w:t>Recomienda</w:t>
      </w:r>
      <w:r>
        <w:t xml:space="preserve"> </w:t>
      </w:r>
      <w:r w:rsidR="00FA4720">
        <w:t>a</w:t>
      </w:r>
      <w:r>
        <w:t xml:space="preserve"> la Conferencia de las Partes </w:t>
      </w:r>
      <w:r w:rsidR="00FA4720">
        <w:t xml:space="preserve">que </w:t>
      </w:r>
      <w:r>
        <w:t>adopte una decisión del siguiente tenor:</w:t>
      </w:r>
    </w:p>
    <w:p w:rsidR="004A3C92" w:rsidRPr="007D30D9" w:rsidRDefault="00BD56D9" w:rsidP="00272BD1">
      <w:pPr>
        <w:suppressLineNumbers/>
        <w:suppressAutoHyphens/>
        <w:spacing w:before="120" w:after="120"/>
        <w:ind w:left="720" w:firstLine="720"/>
        <w:rPr>
          <w:snapToGrid w:val="0"/>
          <w:kern w:val="22"/>
          <w:szCs w:val="22"/>
        </w:rPr>
      </w:pPr>
      <w:r>
        <w:rPr>
          <w:i/>
          <w:kern w:val="22"/>
        </w:rPr>
        <w:t>La Conferencia de las Partes,</w:t>
      </w:r>
    </w:p>
    <w:p w:rsidR="004A3C92" w:rsidRPr="00585674" w:rsidRDefault="00BD56D9" w:rsidP="001D046A">
      <w:pPr>
        <w:suppressLineNumbers/>
        <w:suppressAutoHyphens/>
        <w:spacing w:before="120" w:after="120"/>
        <w:ind w:left="720" w:firstLine="720"/>
        <w:rPr>
          <w:snapToGrid w:val="0"/>
          <w:kern w:val="22"/>
          <w:szCs w:val="22"/>
        </w:rPr>
      </w:pPr>
      <w:r>
        <w:rPr>
          <w:i/>
        </w:rPr>
        <w:t>Observando</w:t>
      </w:r>
      <w:r>
        <w:t xml:space="preserve"> que la claridad en el uso de términos y conceptos en el contexto del artículo 8 j) y disposiciones conexas puede contribuir a una interpretación común y </w:t>
      </w:r>
      <w:r w:rsidR="00A8155F">
        <w:t>ayudar a</w:t>
      </w:r>
      <w:r>
        <w:t xml:space="preserve"> su aplicación con miras a alcanzar la meta 18 de Aichi para la Diversidad Biológica </w:t>
      </w:r>
      <w:r w:rsidR="00FA4720">
        <w:t>a más tardar en</w:t>
      </w:r>
      <w:r>
        <w:t xml:space="preserve"> 2020,</w:t>
      </w:r>
    </w:p>
    <w:p w:rsidR="00A559EC" w:rsidRPr="00585674" w:rsidRDefault="00BD56D9" w:rsidP="001D046A">
      <w:pPr>
        <w:suppressLineNumbers/>
        <w:suppressAutoHyphens/>
        <w:spacing w:before="120" w:after="120"/>
        <w:ind w:left="720" w:firstLine="720"/>
        <w:rPr>
          <w:snapToGrid w:val="0"/>
          <w:kern w:val="22"/>
          <w:szCs w:val="22"/>
        </w:rPr>
      </w:pPr>
      <w:r>
        <w:rPr>
          <w:i/>
        </w:rPr>
        <w:t>Observando también</w:t>
      </w:r>
      <w:r>
        <w:t xml:space="preserve"> que una interpretación común de los términos y conceptos clave en el contexto del artículo 8 j) y disposiciones conexas en las reuniones celebradas en el marco del Convenio puede ayudar a las Partes a llegar a un consenso en decisiones y rumbos futuros que </w:t>
      </w:r>
      <w:r w:rsidR="00FA4720">
        <w:t>se t</w:t>
      </w:r>
      <w:r>
        <w:t>o</w:t>
      </w:r>
      <w:r w:rsidR="00FA4720">
        <w:t>m</w:t>
      </w:r>
      <w:r>
        <w:t>e</w:t>
      </w:r>
      <w:r w:rsidR="00FA4720">
        <w:t>n</w:t>
      </w:r>
      <w:r>
        <w:t xml:space="preserve"> </w:t>
      </w:r>
      <w:r w:rsidR="00FA4720">
        <w:t xml:space="preserve">en </w:t>
      </w:r>
      <w:r>
        <w:t xml:space="preserve">el </w:t>
      </w:r>
      <w:r w:rsidR="00FA4720">
        <w:t xml:space="preserve">marco del </w:t>
      </w:r>
      <w:r>
        <w:t xml:space="preserve">Convenio, tales como </w:t>
      </w:r>
      <w:r w:rsidR="00FA4720">
        <w:t>los</w:t>
      </w:r>
      <w:r>
        <w:t xml:space="preserve"> a</w:t>
      </w:r>
      <w:r w:rsidR="00FA4720">
        <w:t>rr</w:t>
      </w:r>
      <w:r>
        <w:t>e</w:t>
      </w:r>
      <w:r w:rsidR="00FA4720">
        <w:t>gl</w:t>
      </w:r>
      <w:r>
        <w:t xml:space="preserve">os que se concierten </w:t>
      </w:r>
      <w:r w:rsidR="00FA4720">
        <w:t xml:space="preserve">para </w:t>
      </w:r>
      <w:r>
        <w:t>después de 2020,</w:t>
      </w:r>
    </w:p>
    <w:p w:rsidR="002354B1" w:rsidRPr="00585674" w:rsidRDefault="00BD56D9" w:rsidP="00272BD1">
      <w:pPr>
        <w:suppressLineNumbers/>
        <w:suppressAutoHyphens/>
        <w:spacing w:before="120" w:after="120"/>
        <w:ind w:left="720" w:firstLine="720"/>
        <w:rPr>
          <w:snapToGrid w:val="0"/>
          <w:kern w:val="22"/>
          <w:szCs w:val="22"/>
        </w:rPr>
      </w:pPr>
      <w:r>
        <w:rPr>
          <w:i/>
          <w:kern w:val="22"/>
        </w:rPr>
        <w:t xml:space="preserve">Subrayando </w:t>
      </w:r>
      <w:r>
        <w:t xml:space="preserve">que el glosario se </w:t>
      </w:r>
      <w:r w:rsidR="00334699">
        <w:t>utilizará</w:t>
      </w:r>
      <w:r>
        <w:t xml:space="preserve"> sin perjuicio de la terminología utilizada en el Convenio y </w:t>
      </w:r>
      <w:r w:rsidR="00334699">
        <w:t xml:space="preserve">que </w:t>
      </w:r>
      <w:r>
        <w:t xml:space="preserve">no constituye una interpretación del </w:t>
      </w:r>
      <w:r w:rsidR="00334699">
        <w:t>Convenio</w:t>
      </w:r>
      <w:r>
        <w:t xml:space="preserve"> o la aplicación de sus disposiciones de conformidad con la Convención de Viena sobre el Derecho de los Tratados</w:t>
      </w:r>
      <w:r>
        <w:rPr>
          <w:rStyle w:val="FootnoteReference"/>
          <w:snapToGrid w:val="0"/>
          <w:kern w:val="22"/>
          <w:sz w:val="22"/>
          <w:u w:val="none"/>
          <w:vertAlign w:val="superscript"/>
        </w:rPr>
        <w:footnoteReference w:id="1"/>
      </w:r>
      <w:r>
        <w:t xml:space="preserve">, y </w:t>
      </w:r>
      <w:r w:rsidR="00334699">
        <w:t xml:space="preserve">que </w:t>
      </w:r>
      <w:r>
        <w:t xml:space="preserve">se </w:t>
      </w:r>
      <w:r w:rsidR="00334699">
        <w:t xml:space="preserve">utilizará </w:t>
      </w:r>
      <w:r>
        <w:t>sin perjuicio de</w:t>
      </w:r>
      <w:r w:rsidR="00334699">
        <w:t xml:space="preserve"> las</w:t>
      </w:r>
      <w:r>
        <w:t xml:space="preserve"> deliberaciones sobre terminología </w:t>
      </w:r>
      <w:r w:rsidR="00334699">
        <w:t xml:space="preserve">que puedan darse en </w:t>
      </w:r>
      <w:r>
        <w:t>otros foros internacionales,</w:t>
      </w:r>
    </w:p>
    <w:p w:rsidR="004A3C92" w:rsidRPr="00585674" w:rsidRDefault="00BD56D9" w:rsidP="001D046A">
      <w:pPr>
        <w:suppressLineNumbers/>
        <w:suppressAutoHyphens/>
        <w:spacing w:before="120" w:after="120"/>
        <w:ind w:left="720" w:firstLine="720"/>
        <w:rPr>
          <w:snapToGrid w:val="0"/>
          <w:kern w:val="22"/>
          <w:szCs w:val="22"/>
        </w:rPr>
      </w:pPr>
      <w:r>
        <w:rPr>
          <w:kern w:val="22"/>
        </w:rPr>
        <w:t>1.</w:t>
      </w:r>
      <w:r>
        <w:rPr>
          <w:i/>
          <w:kern w:val="22"/>
        </w:rPr>
        <w:tab/>
        <w:t xml:space="preserve">[Adopta][Toma nota de] </w:t>
      </w:r>
      <w:r>
        <w:t xml:space="preserve">el glosario voluntario de términos y conceptos clave para usar en el contexto del artículo 8 j) y disposiciones conexas que figura en el anexo de la presente decisión, teniendo en cuenta que los términos y conceptos están sujetos a la legislación nacional y las diversas circunstancias nacionales de cada Parte o Gobierno, y que muchas Partes </w:t>
      </w:r>
      <w:r w:rsidR="00334699">
        <w:t xml:space="preserve">tienen </w:t>
      </w:r>
      <w:r w:rsidR="006573CD">
        <w:t>interpretaciones</w:t>
      </w:r>
      <w:r w:rsidR="00334699">
        <w:t xml:space="preserve"> específicas </w:t>
      </w:r>
      <w:r>
        <w:t xml:space="preserve">de los términos y conceptos que </w:t>
      </w:r>
      <w:r w:rsidR="00FE2A80">
        <w:t>pueden estar a</w:t>
      </w:r>
      <w:r w:rsidR="006573CD">
        <w:t>plican</w:t>
      </w:r>
      <w:r w:rsidR="00FE2A80">
        <w:t>do</w:t>
      </w:r>
      <w:r>
        <w:t xml:space="preserve"> </w:t>
      </w:r>
      <w:r w:rsidR="006D4A4F">
        <w:t xml:space="preserve">ya </w:t>
      </w:r>
      <w:r>
        <w:t>en su</w:t>
      </w:r>
      <w:r w:rsidR="006573CD">
        <w:t>s</w:t>
      </w:r>
      <w:r>
        <w:t xml:space="preserve"> jurisdicci</w:t>
      </w:r>
      <w:r w:rsidR="006573CD">
        <w:t>o</w:t>
      </w:r>
      <w:r>
        <w:t>n</w:t>
      </w:r>
      <w:r w:rsidR="006573CD">
        <w:t>es</w:t>
      </w:r>
      <w:r>
        <w:t>;</w:t>
      </w:r>
    </w:p>
    <w:p w:rsidR="004A3C92" w:rsidRPr="00585674" w:rsidRDefault="00BD56D9" w:rsidP="001D046A">
      <w:pPr>
        <w:suppressLineNumbers/>
        <w:suppressAutoHyphens/>
        <w:spacing w:before="120" w:after="120"/>
        <w:ind w:left="720" w:firstLine="720"/>
        <w:rPr>
          <w:rFonts w:eastAsia="Batang"/>
          <w:snapToGrid w:val="0"/>
          <w:kern w:val="22"/>
          <w:szCs w:val="22"/>
        </w:rPr>
      </w:pPr>
      <w:r>
        <w:rPr>
          <w:kern w:val="22"/>
        </w:rPr>
        <w:lastRenderedPageBreak/>
        <w:t>2.</w:t>
      </w:r>
      <w:r>
        <w:rPr>
          <w:i/>
          <w:kern w:val="22"/>
        </w:rPr>
        <w:tab/>
      </w:r>
      <w:r>
        <w:rPr>
          <w:i/>
        </w:rPr>
        <w:t>Alienta</w:t>
      </w:r>
      <w:r>
        <w:t xml:space="preserve"> a las Partes, otros Gobiernos y observadores a que, con la participación plena y efectiva de los pueblos indígenas y las comunidades locales, di</w:t>
      </w:r>
      <w:r w:rsidR="005754E0">
        <w:t>f</w:t>
      </w:r>
      <w:r>
        <w:t>u</w:t>
      </w:r>
      <w:r w:rsidR="005754E0">
        <w:t>nda</w:t>
      </w:r>
      <w:r>
        <w:t xml:space="preserve">n y utilicen el glosario </w:t>
      </w:r>
      <w:r w:rsidR="005754E0">
        <w:t>p</w:t>
      </w:r>
      <w:r>
        <w:t>a</w:t>
      </w:r>
      <w:r w:rsidR="005754E0">
        <w:t>ra apoyar</w:t>
      </w:r>
      <w:r>
        <w:t xml:space="preserve"> la aplicación del artículo 8 j) y disposiciones conexas, de conformidad con la legislación y las circunstancias nacionales, según proceda, y a que lo tengan en cuenta en la labor futura desarrollada en el marco del Convenio;</w:t>
      </w:r>
    </w:p>
    <w:p w:rsidR="004A3C92" w:rsidRPr="00585674" w:rsidRDefault="00BD56D9" w:rsidP="001D046A">
      <w:pPr>
        <w:suppressLineNumbers/>
        <w:suppressAutoHyphens/>
        <w:spacing w:before="120" w:after="120"/>
        <w:ind w:left="720" w:firstLine="720"/>
        <w:rPr>
          <w:rFonts w:eastAsia="Batang"/>
          <w:snapToGrid w:val="0"/>
          <w:kern w:val="22"/>
          <w:szCs w:val="22"/>
        </w:rPr>
      </w:pPr>
      <w:r>
        <w:rPr>
          <w:kern w:val="22"/>
        </w:rPr>
        <w:t>3.</w:t>
      </w:r>
      <w:r>
        <w:rPr>
          <w:kern w:val="22"/>
        </w:rPr>
        <w:tab/>
      </w:r>
      <w:r>
        <w:rPr>
          <w:i/>
        </w:rPr>
        <w:t>Pide</w:t>
      </w:r>
      <w:r>
        <w:t xml:space="preserve"> al Grupo de Trabajo especial de composición abierta </w:t>
      </w:r>
      <w:r w:rsidR="005754E0">
        <w:t xml:space="preserve">entre períodos de sesiones </w:t>
      </w:r>
      <w:r>
        <w:t xml:space="preserve">sobre el artículo 8 j) y disposiciones conexas que tenga en cuenta </w:t>
      </w:r>
      <w:r w:rsidR="00A8155F">
        <w:t xml:space="preserve">el glosario </w:t>
      </w:r>
      <w:r>
        <w:t xml:space="preserve">en su labor futura, como un recurso y una referencia dinámicos, y que lo revise y actualice a intervalos regulares, según sea apropiado como parte del </w:t>
      </w:r>
      <w:r w:rsidR="00A8155F">
        <w:t>arreglo</w:t>
      </w:r>
      <w:r>
        <w:t xml:space="preserve"> </w:t>
      </w:r>
      <w:r w:rsidR="00A8155F">
        <w:t>post</w:t>
      </w:r>
      <w:r>
        <w:t>e</w:t>
      </w:r>
      <w:r w:rsidR="00A8155F">
        <w:t>rior a</w:t>
      </w:r>
      <w:r>
        <w:t xml:space="preserve"> 2020.</w:t>
      </w:r>
    </w:p>
    <w:p w:rsidR="00187FA9" w:rsidRDefault="00187FA9" w:rsidP="004A3C92">
      <w:pPr>
        <w:keepNext/>
        <w:suppressLineNumbers/>
        <w:suppressAutoHyphens/>
        <w:spacing w:after="120"/>
        <w:jc w:val="center"/>
        <w:outlineLvl w:val="2"/>
      </w:pPr>
    </w:p>
    <w:p w:rsidR="004A3C92" w:rsidRPr="00585674" w:rsidRDefault="00BD56D9" w:rsidP="004A3C92">
      <w:pPr>
        <w:keepNext/>
        <w:suppressLineNumbers/>
        <w:suppressAutoHyphens/>
        <w:spacing w:after="120"/>
        <w:jc w:val="center"/>
        <w:outlineLvl w:val="2"/>
        <w:rPr>
          <w:i/>
          <w:snapToGrid w:val="0"/>
          <w:kern w:val="22"/>
          <w:szCs w:val="22"/>
        </w:rPr>
      </w:pPr>
      <w:r>
        <w:rPr>
          <w:i/>
          <w:kern w:val="22"/>
        </w:rPr>
        <w:t>Anexo</w:t>
      </w:r>
    </w:p>
    <w:p w:rsidR="002053C6" w:rsidRPr="00585674" w:rsidRDefault="00BD56D9" w:rsidP="009B6F5E">
      <w:pPr>
        <w:keepNext/>
        <w:suppressLineNumbers/>
        <w:suppressAutoHyphens/>
        <w:spacing w:after="120"/>
        <w:ind w:left="709"/>
        <w:jc w:val="center"/>
        <w:outlineLvl w:val="2"/>
        <w:rPr>
          <w:i/>
          <w:snapToGrid w:val="0"/>
          <w:kern w:val="22"/>
          <w:szCs w:val="22"/>
        </w:rPr>
      </w:pPr>
      <w:r>
        <w:rPr>
          <w:b/>
          <w:kern w:val="22"/>
        </w:rPr>
        <w:t>GLOSARIO VOLUNTARIO DE TÉRMINOS Y CONCEPTOS CLAVE EN EL CONTEXTO DEL ARTÍCULO 8 </w:t>
      </w:r>
      <w:r w:rsidR="00A8155F">
        <w:rPr>
          <w:b/>
          <w:kern w:val="22"/>
        </w:rPr>
        <w:t>j</w:t>
      </w:r>
      <w:r>
        <w:rPr>
          <w:b/>
          <w:kern w:val="22"/>
        </w:rPr>
        <w:t>) Y DISPOSICIONES CONEXAS</w:t>
      </w:r>
    </w:p>
    <w:p w:rsidR="002053C6" w:rsidRPr="00585674" w:rsidRDefault="002053C6" w:rsidP="001D046A">
      <w:pPr>
        <w:keepNext/>
        <w:suppressLineNumbers/>
        <w:suppressAutoHyphens/>
        <w:jc w:val="center"/>
        <w:outlineLvl w:val="2"/>
        <w:rPr>
          <w:bCs/>
          <w:iCs/>
          <w:snapToGrid w:val="0"/>
          <w:kern w:val="22"/>
          <w:szCs w:val="22"/>
        </w:rPr>
      </w:pPr>
    </w:p>
    <w:p w:rsidR="004A3C92" w:rsidRPr="00585674" w:rsidRDefault="00BD56D9" w:rsidP="009B6F5E">
      <w:pPr>
        <w:suppressLineNumbers/>
        <w:suppressAutoHyphens/>
        <w:autoSpaceDE w:val="0"/>
        <w:autoSpaceDN w:val="0"/>
        <w:adjustRightInd w:val="0"/>
        <w:spacing w:before="120" w:after="120"/>
        <w:ind w:left="720" w:firstLine="720"/>
        <w:rPr>
          <w:snapToGrid w:val="0"/>
          <w:kern w:val="22"/>
          <w:szCs w:val="22"/>
        </w:rPr>
      </w:pPr>
      <w:r>
        <w:rPr>
          <w:kern w:val="22"/>
        </w:rPr>
        <w:t xml:space="preserve">El presente glosario brinda descripciones para una serie de términos y conceptos empleados en el contexto del artículo 8 j) y disposiciones conexas. </w:t>
      </w:r>
      <w:r w:rsidR="00E06D44">
        <w:rPr>
          <w:kern w:val="22"/>
        </w:rPr>
        <w:t>N</w:t>
      </w:r>
      <w:r>
        <w:rPr>
          <w:kern w:val="22"/>
        </w:rPr>
        <w:t xml:space="preserve">o </w:t>
      </w:r>
      <w:r w:rsidR="00E06D44">
        <w:rPr>
          <w:kern w:val="22"/>
        </w:rPr>
        <w:t xml:space="preserve">se </w:t>
      </w:r>
      <w:r>
        <w:rPr>
          <w:kern w:val="22"/>
        </w:rPr>
        <w:t xml:space="preserve">pretende dar definiciones formales ni </w:t>
      </w:r>
      <w:r w:rsidR="00E06D44">
        <w:rPr>
          <w:kern w:val="22"/>
        </w:rPr>
        <w:t xml:space="preserve">una lista </w:t>
      </w:r>
      <w:r>
        <w:rPr>
          <w:kern w:val="22"/>
        </w:rPr>
        <w:t>exhaustiv</w:t>
      </w:r>
      <w:r w:rsidR="00E06D44">
        <w:rPr>
          <w:kern w:val="22"/>
        </w:rPr>
        <w:t>a de términos y conceptos</w:t>
      </w:r>
      <w:r>
        <w:rPr>
          <w:kern w:val="22"/>
        </w:rPr>
        <w:t xml:space="preserve">. </w:t>
      </w:r>
      <w:r w:rsidR="00E06D44">
        <w:rPr>
          <w:kern w:val="22"/>
        </w:rPr>
        <w:t>La utilización del</w:t>
      </w:r>
      <w:r>
        <w:rPr>
          <w:kern w:val="22"/>
        </w:rPr>
        <w:t xml:space="preserve"> glosario es</w:t>
      </w:r>
      <w:r w:rsidR="00E06D44">
        <w:rPr>
          <w:kern w:val="22"/>
        </w:rPr>
        <w:t xml:space="preserve"> de carácter </w:t>
      </w:r>
      <w:r>
        <w:rPr>
          <w:kern w:val="22"/>
        </w:rPr>
        <w:t>voluntari</w:t>
      </w:r>
      <w:r w:rsidR="00E06D44">
        <w:rPr>
          <w:kern w:val="22"/>
        </w:rPr>
        <w:t>o</w:t>
      </w:r>
      <w:r>
        <w:rPr>
          <w:kern w:val="22"/>
        </w:rPr>
        <w:t>.</w:t>
      </w:r>
    </w:p>
    <w:p w:rsidR="00F21EDA" w:rsidRPr="00585674" w:rsidRDefault="00BD56D9" w:rsidP="009B6F5E">
      <w:pPr>
        <w:suppressLineNumbers/>
        <w:suppressAutoHyphens/>
        <w:autoSpaceDE w:val="0"/>
        <w:autoSpaceDN w:val="0"/>
        <w:adjustRightInd w:val="0"/>
        <w:spacing w:before="120" w:after="120"/>
        <w:ind w:left="720" w:firstLine="720"/>
        <w:rPr>
          <w:snapToGrid w:val="0"/>
          <w:kern w:val="22"/>
          <w:szCs w:val="22"/>
        </w:rPr>
      </w:pPr>
      <w:r>
        <w:rPr>
          <w:kern w:val="22"/>
        </w:rPr>
        <w:t xml:space="preserve">El glosario se </w:t>
      </w:r>
      <w:r w:rsidR="00FE2A80">
        <w:rPr>
          <w:kern w:val="22"/>
        </w:rPr>
        <w:t>u</w:t>
      </w:r>
      <w:r>
        <w:rPr>
          <w:kern w:val="22"/>
        </w:rPr>
        <w:t>t</w:t>
      </w:r>
      <w:r w:rsidR="00FE2A80">
        <w:rPr>
          <w:kern w:val="22"/>
        </w:rPr>
        <w:t>iliza</w:t>
      </w:r>
      <w:r>
        <w:rPr>
          <w:kern w:val="22"/>
        </w:rPr>
        <w:t xml:space="preserve">rá sin perjuicio de la terminología </w:t>
      </w:r>
      <w:r w:rsidR="00FE2A80">
        <w:rPr>
          <w:kern w:val="22"/>
        </w:rPr>
        <w:t>empleada en el Convenio y no debe</w:t>
      </w:r>
      <w:r>
        <w:rPr>
          <w:kern w:val="22"/>
        </w:rPr>
        <w:t xml:space="preserve"> interpretarse que impli</w:t>
      </w:r>
      <w:r w:rsidR="00FE2A80">
        <w:rPr>
          <w:kern w:val="22"/>
        </w:rPr>
        <w:t>ca</w:t>
      </w:r>
      <w:r>
        <w:rPr>
          <w:kern w:val="22"/>
        </w:rPr>
        <w:t xml:space="preserve"> un cambio e</w:t>
      </w:r>
      <w:r w:rsidR="00FE2A80">
        <w:rPr>
          <w:kern w:val="22"/>
        </w:rPr>
        <w:t>n los</w:t>
      </w:r>
      <w:r>
        <w:rPr>
          <w:kern w:val="22"/>
        </w:rPr>
        <w:t xml:space="preserve"> derechos u obligaciones </w:t>
      </w:r>
      <w:r w:rsidR="00FE2A80">
        <w:rPr>
          <w:kern w:val="22"/>
        </w:rPr>
        <w:t xml:space="preserve">que le corresponden a las Partes </w:t>
      </w:r>
      <w:r>
        <w:rPr>
          <w:kern w:val="22"/>
        </w:rPr>
        <w:t>en virtud del Convenio.</w:t>
      </w:r>
    </w:p>
    <w:p w:rsidR="00F21EDA" w:rsidRPr="00585674" w:rsidRDefault="00BD56D9" w:rsidP="009B6F5E">
      <w:pPr>
        <w:suppressLineNumbers/>
        <w:suppressAutoHyphens/>
        <w:autoSpaceDE w:val="0"/>
        <w:autoSpaceDN w:val="0"/>
        <w:adjustRightInd w:val="0"/>
        <w:spacing w:before="120" w:after="120"/>
        <w:ind w:left="720" w:firstLine="720"/>
        <w:rPr>
          <w:snapToGrid w:val="0"/>
          <w:kern w:val="22"/>
          <w:szCs w:val="22"/>
        </w:rPr>
      </w:pPr>
      <w:r>
        <w:rPr>
          <w:kern w:val="22"/>
        </w:rPr>
        <w:t>El objetivo del glosario es facilitar la interpretación común de los términos y conceptos utilizados en el contexto del artículo 8 j) y disposiciones conexas, en las reuniones celebradas en el marco del Convenio.</w:t>
      </w:r>
    </w:p>
    <w:p w:rsidR="00F21EDA" w:rsidRPr="008E492F" w:rsidRDefault="001E46F1" w:rsidP="009B6F5E">
      <w:pPr>
        <w:suppressLineNumbers/>
        <w:suppressAutoHyphens/>
        <w:autoSpaceDE w:val="0"/>
        <w:autoSpaceDN w:val="0"/>
        <w:adjustRightInd w:val="0"/>
        <w:spacing w:before="120" w:after="120"/>
        <w:ind w:left="720" w:firstLine="720"/>
        <w:rPr>
          <w:snapToGrid w:val="0"/>
          <w:kern w:val="22"/>
          <w:szCs w:val="22"/>
        </w:rPr>
      </w:pPr>
      <w:r>
        <w:rPr>
          <w:kern w:val="22"/>
        </w:rPr>
        <w:t>En lo que</w:t>
      </w:r>
      <w:r w:rsidR="00BD56D9">
        <w:rPr>
          <w:kern w:val="22"/>
        </w:rPr>
        <w:t xml:space="preserve"> respect</w:t>
      </w:r>
      <w:r>
        <w:rPr>
          <w:kern w:val="22"/>
        </w:rPr>
        <w:t>a</w:t>
      </w:r>
      <w:r w:rsidR="00BD56D9">
        <w:rPr>
          <w:kern w:val="22"/>
        </w:rPr>
        <w:t xml:space="preserve"> al uso nacional, los términos y conceptos están sujetos a la legislación nacional y a las diversas circunstancias nacionales de cada Parte o Gobierno, teniendo en cuenta que muchas Partes tienen interpretaciones específicas para</w:t>
      </w:r>
      <w:r w:rsidR="00FE2A80">
        <w:rPr>
          <w:kern w:val="22"/>
        </w:rPr>
        <w:t xml:space="preserve"> los</w:t>
      </w:r>
      <w:r w:rsidR="00BD56D9">
        <w:rPr>
          <w:kern w:val="22"/>
        </w:rPr>
        <w:t xml:space="preserve"> términos y conceptos que </w:t>
      </w:r>
      <w:r w:rsidR="00FE2A80">
        <w:rPr>
          <w:kern w:val="22"/>
        </w:rPr>
        <w:t>pueden estar</w:t>
      </w:r>
      <w:r w:rsidR="00BD56D9">
        <w:rPr>
          <w:kern w:val="22"/>
        </w:rPr>
        <w:t xml:space="preserve"> aplican</w:t>
      </w:r>
      <w:r w:rsidR="00FE2A80">
        <w:rPr>
          <w:kern w:val="22"/>
        </w:rPr>
        <w:t>do</w:t>
      </w:r>
      <w:r w:rsidR="00BD56D9">
        <w:rPr>
          <w:kern w:val="22"/>
        </w:rPr>
        <w:t xml:space="preserve"> </w:t>
      </w:r>
      <w:r>
        <w:rPr>
          <w:kern w:val="22"/>
        </w:rPr>
        <w:t xml:space="preserve">ya </w:t>
      </w:r>
      <w:r w:rsidR="00BD56D9">
        <w:rPr>
          <w:kern w:val="22"/>
        </w:rPr>
        <w:t>e</w:t>
      </w:r>
      <w:r w:rsidR="00FE2A80">
        <w:rPr>
          <w:kern w:val="22"/>
        </w:rPr>
        <w:t>n</w:t>
      </w:r>
      <w:r w:rsidR="00BD56D9">
        <w:rPr>
          <w:kern w:val="22"/>
        </w:rPr>
        <w:t xml:space="preserve"> sus jurisdicciones.</w:t>
      </w:r>
    </w:p>
    <w:p w:rsidR="004A3C92" w:rsidRPr="00585674" w:rsidRDefault="00BD56D9" w:rsidP="009B6F5E">
      <w:pPr>
        <w:suppressLineNumbers/>
        <w:suppressAutoHyphens/>
        <w:autoSpaceDE w:val="0"/>
        <w:autoSpaceDN w:val="0"/>
        <w:adjustRightInd w:val="0"/>
        <w:spacing w:before="120" w:after="120"/>
        <w:ind w:left="720" w:firstLine="720"/>
        <w:rPr>
          <w:snapToGrid w:val="0"/>
          <w:kern w:val="22"/>
          <w:szCs w:val="22"/>
        </w:rPr>
      </w:pPr>
      <w:r>
        <w:rPr>
          <w:kern w:val="22"/>
        </w:rPr>
        <w:t xml:space="preserve">Los términos y conceptos que se describen a continuación complementan los términos </w:t>
      </w:r>
      <w:r w:rsidR="001E46F1">
        <w:rPr>
          <w:kern w:val="22"/>
        </w:rPr>
        <w:t>que figuran</w:t>
      </w:r>
      <w:r>
        <w:rPr>
          <w:kern w:val="22"/>
        </w:rPr>
        <w:t xml:space="preserve"> en el Convenio y </w:t>
      </w:r>
      <w:r w:rsidR="0061591C">
        <w:rPr>
          <w:kern w:val="22"/>
        </w:rPr>
        <w:t xml:space="preserve">en </w:t>
      </w:r>
      <w:r>
        <w:rPr>
          <w:kern w:val="22"/>
        </w:rPr>
        <w:t>el Protocolo de Nagoya.</w:t>
      </w:r>
    </w:p>
    <w:p w:rsidR="004A3C92" w:rsidRPr="00585674" w:rsidRDefault="00BD56D9" w:rsidP="009B6F5E">
      <w:pPr>
        <w:suppressLineNumbers/>
        <w:suppressAutoHyphens/>
        <w:autoSpaceDE w:val="0"/>
        <w:autoSpaceDN w:val="0"/>
        <w:adjustRightInd w:val="0"/>
        <w:spacing w:before="120" w:after="120"/>
        <w:ind w:left="720" w:firstLine="720"/>
        <w:rPr>
          <w:snapToGrid w:val="0"/>
          <w:kern w:val="22"/>
          <w:szCs w:val="22"/>
        </w:rPr>
      </w:pPr>
      <w:r>
        <w:rPr>
          <w:kern w:val="22"/>
        </w:rPr>
        <w:t>Se incluyen términos y conceptos que figuran en las Directrices Akwé:</w:t>
      </w:r>
      <w:r w:rsidR="002833D7">
        <w:rPr>
          <w:kern w:val="22"/>
        </w:rPr>
        <w:t xml:space="preserve"> </w:t>
      </w:r>
      <w:r>
        <w:rPr>
          <w:kern w:val="22"/>
        </w:rPr>
        <w:t xml:space="preserve">Kon voluntarias para realizar evaluaciones de las repercusiones culturales, ambientales y sociales de proyectos de desarrollo que hayan de realizarse en lugares sagrados o en tierras o aguas ocupadas o utilizadas tradicionalmente por las comunidades indígenas y locales, o que puedan afectar esos lugares, </w:t>
      </w:r>
      <w:r w:rsidR="009142D0">
        <w:rPr>
          <w:kern w:val="22"/>
        </w:rPr>
        <w:t xml:space="preserve">a las </w:t>
      </w:r>
      <w:r>
        <w:rPr>
          <w:kern w:val="22"/>
        </w:rPr>
        <w:t xml:space="preserve">que </w:t>
      </w:r>
      <w:r w:rsidR="00985182">
        <w:rPr>
          <w:kern w:val="22"/>
        </w:rPr>
        <w:t xml:space="preserve">la Conferencia de las Partes </w:t>
      </w:r>
      <w:r w:rsidR="009142D0">
        <w:rPr>
          <w:kern w:val="22"/>
        </w:rPr>
        <w:t xml:space="preserve">prestó su apoyo </w:t>
      </w:r>
      <w:r>
        <w:rPr>
          <w:kern w:val="22"/>
        </w:rPr>
        <w:t xml:space="preserve">en </w:t>
      </w:r>
      <w:r w:rsidR="00C87520">
        <w:rPr>
          <w:kern w:val="22"/>
        </w:rPr>
        <w:t>la</w:t>
      </w:r>
      <w:r>
        <w:rPr>
          <w:kern w:val="22"/>
        </w:rPr>
        <w:t xml:space="preserve"> decisión VII/16 F, y las Directrices voluntarias Mo</w:t>
      </w:r>
      <w:r>
        <w:rPr>
          <w:kern w:val="22"/>
          <w:cs/>
        </w:rPr>
        <w:t>’</w:t>
      </w:r>
      <w:r>
        <w:rPr>
          <w:kern w:val="22"/>
        </w:rPr>
        <w:t xml:space="preserve">otz Kuxtal, </w:t>
      </w:r>
      <w:r w:rsidR="009142D0">
        <w:rPr>
          <w:kern w:val="22"/>
        </w:rPr>
        <w:t xml:space="preserve">que </w:t>
      </w:r>
      <w:r w:rsidR="00985182">
        <w:rPr>
          <w:kern w:val="22"/>
        </w:rPr>
        <w:t xml:space="preserve">la Conferencia de las Partes </w:t>
      </w:r>
      <w:r w:rsidR="009142D0">
        <w:rPr>
          <w:kern w:val="22"/>
        </w:rPr>
        <w:t xml:space="preserve">acogió con satisfacción y </w:t>
      </w:r>
      <w:r>
        <w:rPr>
          <w:kern w:val="22"/>
        </w:rPr>
        <w:t>adopt</w:t>
      </w:r>
      <w:r w:rsidR="00985182">
        <w:rPr>
          <w:kern w:val="22"/>
        </w:rPr>
        <w:t>ó</w:t>
      </w:r>
      <w:r>
        <w:rPr>
          <w:kern w:val="22"/>
        </w:rPr>
        <w:t xml:space="preserve"> en </w:t>
      </w:r>
      <w:r w:rsidR="00C87520">
        <w:rPr>
          <w:kern w:val="22"/>
        </w:rPr>
        <w:t>la</w:t>
      </w:r>
      <w:r>
        <w:rPr>
          <w:kern w:val="22"/>
        </w:rPr>
        <w:t xml:space="preserve"> decisión XIII/18, dado que </w:t>
      </w:r>
      <w:r w:rsidR="00985182">
        <w:rPr>
          <w:kern w:val="22"/>
        </w:rPr>
        <w:t>se relacionan directamente</w:t>
      </w:r>
      <w:r>
        <w:rPr>
          <w:kern w:val="22"/>
        </w:rPr>
        <w:t xml:space="preserve"> con el artículo 8 j) y disposiciones conexas.</w:t>
      </w:r>
    </w:p>
    <w:p w:rsidR="004A3C92" w:rsidRPr="00585674" w:rsidRDefault="00BD56D9" w:rsidP="009B6F5E">
      <w:pPr>
        <w:keepNext/>
        <w:suppressLineNumbers/>
        <w:suppressAutoHyphens/>
        <w:autoSpaceDE w:val="0"/>
        <w:autoSpaceDN w:val="0"/>
        <w:adjustRightInd w:val="0"/>
        <w:spacing w:before="120" w:after="120"/>
        <w:ind w:left="720" w:firstLine="720"/>
        <w:rPr>
          <w:snapToGrid w:val="0"/>
          <w:kern w:val="22"/>
          <w:szCs w:val="22"/>
        </w:rPr>
      </w:pPr>
      <w:r>
        <w:rPr>
          <w:kern w:val="22"/>
        </w:rPr>
        <w:t xml:space="preserve">El glosario se </w:t>
      </w:r>
      <w:r w:rsidR="00F23E04">
        <w:rPr>
          <w:kern w:val="22"/>
        </w:rPr>
        <w:t xml:space="preserve">brinda como recurso para u consideración </w:t>
      </w:r>
      <w:r>
        <w:rPr>
          <w:kern w:val="22"/>
        </w:rPr>
        <w:t xml:space="preserve">y </w:t>
      </w:r>
      <w:r w:rsidR="00F23E04">
        <w:rPr>
          <w:kern w:val="22"/>
        </w:rPr>
        <w:t>uso</w:t>
      </w:r>
      <w:r>
        <w:rPr>
          <w:kern w:val="22"/>
        </w:rPr>
        <w:t>, según proceda, en el contexto del artículo 8 j) y disposiciones conexas, en las reuniones celebradas en el marco del Convenio.</w:t>
      </w:r>
    </w:p>
    <w:p w:rsidR="004A3C92" w:rsidRPr="00585674" w:rsidRDefault="00BD56D9" w:rsidP="009B6F5E">
      <w:pPr>
        <w:suppressLineNumbers/>
        <w:suppressAutoHyphens/>
        <w:autoSpaceDE w:val="0"/>
        <w:autoSpaceDN w:val="0"/>
        <w:adjustRightInd w:val="0"/>
        <w:spacing w:before="120" w:after="120"/>
        <w:ind w:left="720" w:firstLine="720"/>
        <w:rPr>
          <w:bCs/>
          <w:iCs/>
          <w:snapToGrid w:val="0"/>
          <w:kern w:val="22"/>
          <w:szCs w:val="22"/>
        </w:rPr>
      </w:pPr>
      <w:r>
        <w:rPr>
          <w:kern w:val="22"/>
        </w:rPr>
        <w:t>El glosario complementa el Código de conducta ética Tkarihwaié:ri para asegurar el respeto al patrimonio cultural e intelectual de las comunidades indígenas y locales, adoptado en la decisión X/42.</w:t>
      </w:r>
    </w:p>
    <w:p w:rsidR="004A3C92" w:rsidRPr="00585674" w:rsidRDefault="004A3C92" w:rsidP="004A3C92">
      <w:pPr>
        <w:suppressLineNumbers/>
        <w:suppressAutoHyphens/>
        <w:spacing w:before="120" w:after="120"/>
        <w:jc w:val="left"/>
        <w:rPr>
          <w:snapToGrid w:val="0"/>
          <w:kern w:val="22"/>
          <w:szCs w:val="22"/>
        </w:rPr>
      </w:pPr>
    </w:p>
    <w:p w:rsidR="004A3C92" w:rsidRPr="00272BD1" w:rsidRDefault="00BD56D9" w:rsidP="004A3C92">
      <w:pPr>
        <w:suppressLineNumbers/>
        <w:suppressAutoHyphens/>
        <w:spacing w:after="120"/>
        <w:jc w:val="center"/>
        <w:rPr>
          <w:bCs/>
          <w:snapToGrid w:val="0"/>
          <w:kern w:val="22"/>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9"/>
        <w:gridCol w:w="6667"/>
      </w:tblGrid>
      <w:tr w:rsidR="004A3C92" w:rsidRPr="00585674" w:rsidTr="00CE52C9">
        <w:trPr>
          <w:cantSplit/>
        </w:trPr>
        <w:tc>
          <w:tcPr>
            <w:tcW w:w="9747" w:type="dxa"/>
            <w:gridSpan w:val="2"/>
          </w:tcPr>
          <w:p w:rsidR="004A3C92" w:rsidRPr="008E492F" w:rsidRDefault="00BD56D9" w:rsidP="004A3C92">
            <w:pPr>
              <w:suppressLineNumbers/>
              <w:suppressAutoHyphens/>
              <w:spacing w:before="60" w:after="60"/>
              <w:ind w:left="360"/>
              <w:jc w:val="center"/>
              <w:rPr>
                <w:b/>
                <w:snapToGrid w:val="0"/>
                <w:kern w:val="22"/>
                <w:szCs w:val="22"/>
              </w:rPr>
            </w:pPr>
            <w:r>
              <w:rPr>
                <w:b/>
                <w:kern w:val="22"/>
              </w:rPr>
              <w:lastRenderedPageBreak/>
              <w:t>Sección I</w:t>
            </w:r>
          </w:p>
          <w:p w:rsidR="004A3C92" w:rsidRPr="00CF1A12" w:rsidRDefault="00BD56D9" w:rsidP="00966444">
            <w:pPr>
              <w:suppressLineNumbers/>
              <w:suppressAutoHyphens/>
              <w:spacing w:before="60" w:after="60"/>
              <w:ind w:left="360"/>
              <w:jc w:val="center"/>
              <w:rPr>
                <w:snapToGrid w:val="0"/>
                <w:kern w:val="22"/>
                <w:szCs w:val="22"/>
              </w:rPr>
            </w:pPr>
            <w:r>
              <w:rPr>
                <w:b/>
                <w:kern w:val="22"/>
              </w:rPr>
              <w:t xml:space="preserve">Términos y conceptos </w:t>
            </w:r>
            <w:r w:rsidR="00F23E04">
              <w:rPr>
                <w:b/>
                <w:kern w:val="22"/>
              </w:rPr>
              <w:t>d</w:t>
            </w:r>
            <w:r w:rsidR="00966444">
              <w:rPr>
                <w:b/>
                <w:kern w:val="22"/>
              </w:rPr>
              <w:t>erivad</w:t>
            </w:r>
            <w:r w:rsidR="00F23E04">
              <w:rPr>
                <w:b/>
                <w:kern w:val="22"/>
              </w:rPr>
              <w:t>os</w:t>
            </w:r>
            <w:r>
              <w:rPr>
                <w:b/>
                <w:kern w:val="22"/>
              </w:rPr>
              <w:t xml:space="preserve"> del texto del Convenio sobre la Diversidad Biológica o de decisiones adoptadas en </w:t>
            </w:r>
            <w:r w:rsidR="00F23E04">
              <w:rPr>
                <w:b/>
                <w:kern w:val="22"/>
              </w:rPr>
              <w:t>el marco</w:t>
            </w:r>
            <w:r>
              <w:rPr>
                <w:b/>
                <w:kern w:val="22"/>
              </w:rPr>
              <w:t xml:space="preserve"> del Convenio</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b/>
                <w:kern w:val="22"/>
              </w:rPr>
              <w:t>Término o concepto</w:t>
            </w:r>
          </w:p>
        </w:tc>
        <w:tc>
          <w:tcPr>
            <w:tcW w:w="6804" w:type="dxa"/>
          </w:tcPr>
          <w:p w:rsidR="004A3C92" w:rsidRPr="00585674" w:rsidRDefault="00BD56D9" w:rsidP="00C953F5">
            <w:pPr>
              <w:suppressLineNumbers/>
              <w:suppressAutoHyphens/>
              <w:spacing w:before="60" w:after="60"/>
              <w:jc w:val="left"/>
              <w:rPr>
                <w:b/>
                <w:snapToGrid w:val="0"/>
                <w:kern w:val="22"/>
                <w:szCs w:val="22"/>
              </w:rPr>
            </w:pPr>
            <w:r>
              <w:rPr>
                <w:b/>
                <w:kern w:val="22"/>
              </w:rPr>
              <w:t>Interpretación del término o concepto en el contexto del Convenio</w:t>
            </w:r>
          </w:p>
        </w:tc>
      </w:tr>
      <w:tr w:rsidR="00BE332B" w:rsidRPr="00585674" w:rsidTr="00CE52C9">
        <w:trPr>
          <w:cantSplit/>
        </w:trPr>
        <w:tc>
          <w:tcPr>
            <w:tcW w:w="2943" w:type="dxa"/>
          </w:tcPr>
          <w:p w:rsidR="004A3C92" w:rsidRPr="00585674" w:rsidRDefault="00BD56D9" w:rsidP="00972867">
            <w:pPr>
              <w:suppressLineNumbers/>
              <w:suppressAutoHyphens/>
              <w:spacing w:before="60" w:after="60"/>
              <w:jc w:val="left"/>
              <w:rPr>
                <w:snapToGrid w:val="0"/>
                <w:kern w:val="22"/>
                <w:szCs w:val="22"/>
              </w:rPr>
            </w:pPr>
            <w:r>
              <w:rPr>
                <w:kern w:val="22"/>
              </w:rPr>
              <w:t>Conocimientos tradicionales</w:t>
            </w:r>
          </w:p>
        </w:tc>
        <w:tc>
          <w:tcPr>
            <w:tcW w:w="6804" w:type="dxa"/>
          </w:tcPr>
          <w:p w:rsidR="004A3C92" w:rsidRPr="00585674" w:rsidRDefault="00BD56D9" w:rsidP="004A3C92">
            <w:pPr>
              <w:suppressLineNumbers/>
              <w:suppressAutoHyphens/>
              <w:spacing w:before="60" w:after="60"/>
              <w:jc w:val="left"/>
              <w:rPr>
                <w:snapToGrid w:val="0"/>
                <w:kern w:val="22"/>
                <w:szCs w:val="22"/>
              </w:rPr>
            </w:pPr>
            <w:r>
              <w:rPr>
                <w:kern w:val="22"/>
              </w:rPr>
              <w:t>Los conocimientos, las innovaciones y las prácticas de las comunidades indígenas y locales que entrañen estilos tradicionales de vida pertinentes para la conservación y la utilización sostenible de la diversidad biológica</w:t>
            </w:r>
            <w:r>
              <w:rPr>
                <w:snapToGrid w:val="0"/>
                <w:kern w:val="22"/>
                <w:vertAlign w:val="superscript"/>
              </w:rPr>
              <w:footnoteReference w:id="2"/>
            </w:r>
            <w:r w:rsidR="00AC1474">
              <w:rPr>
                <w:kern w:val="22"/>
              </w:rPr>
              <w:t>.</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kern w:val="22"/>
              </w:rPr>
              <w:t>Utilización consuetudinaria sostenible</w:t>
            </w:r>
          </w:p>
        </w:tc>
        <w:tc>
          <w:tcPr>
            <w:tcW w:w="6804" w:type="dxa"/>
          </w:tcPr>
          <w:p w:rsidR="004A3C92" w:rsidRPr="00585674" w:rsidRDefault="00BD56D9" w:rsidP="004A3C92">
            <w:pPr>
              <w:suppressLineNumbers/>
              <w:suppressAutoHyphens/>
              <w:spacing w:before="60" w:after="60"/>
              <w:jc w:val="left"/>
              <w:rPr>
                <w:snapToGrid w:val="0"/>
                <w:kern w:val="22"/>
                <w:szCs w:val="22"/>
              </w:rPr>
            </w:pPr>
            <w:r>
              <w:rPr>
                <w:kern w:val="22"/>
              </w:rPr>
              <w:t>Usos de los recursos biológicos de conformidad con prácticas culturales tradicionales que son compatibles con los requisitos de conservación y utilización sostenible</w:t>
            </w:r>
            <w:r>
              <w:rPr>
                <w:snapToGrid w:val="0"/>
                <w:kern w:val="22"/>
                <w:vertAlign w:val="superscript"/>
              </w:rPr>
              <w:footnoteReference w:id="3"/>
            </w:r>
            <w:r w:rsidR="00AC1474">
              <w:rPr>
                <w:kern w:val="22"/>
              </w:rPr>
              <w:t>.</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kern w:val="22"/>
              </w:rPr>
              <w:t>Comunidades indígenas y locales o</w:t>
            </w:r>
          </w:p>
          <w:p w:rsidR="004A3C92" w:rsidRPr="008E492F" w:rsidRDefault="0022640D" w:rsidP="00A966A0">
            <w:pPr>
              <w:suppressLineNumbers/>
              <w:suppressAutoHyphens/>
              <w:spacing w:before="60" w:after="60"/>
              <w:jc w:val="left"/>
              <w:rPr>
                <w:snapToGrid w:val="0"/>
                <w:kern w:val="22"/>
                <w:szCs w:val="22"/>
              </w:rPr>
            </w:pPr>
            <w:r>
              <w:rPr>
                <w:kern w:val="22"/>
              </w:rPr>
              <w:t>P</w:t>
            </w:r>
            <w:r w:rsidR="00BD56D9">
              <w:rPr>
                <w:kern w:val="22"/>
              </w:rPr>
              <w:t>ueblos indígenas y comunidades locales</w:t>
            </w:r>
            <w:r w:rsidR="00BD56D9">
              <w:rPr>
                <w:snapToGrid w:val="0"/>
                <w:kern w:val="22"/>
                <w:vertAlign w:val="superscript"/>
              </w:rPr>
              <w:footnoteReference w:id="4"/>
            </w:r>
            <w:r w:rsidR="00BD56D9">
              <w:rPr>
                <w:kern w:val="22"/>
              </w:rPr>
              <w:t xml:space="preserve"> </w:t>
            </w:r>
          </w:p>
        </w:tc>
        <w:tc>
          <w:tcPr>
            <w:tcW w:w="6804" w:type="dxa"/>
          </w:tcPr>
          <w:p w:rsidR="004A3C92" w:rsidRPr="00585674" w:rsidRDefault="00BD56D9" w:rsidP="0022640D">
            <w:pPr>
              <w:suppressLineNumbers/>
              <w:suppressAutoHyphens/>
              <w:spacing w:before="60" w:after="60"/>
              <w:jc w:val="left"/>
              <w:rPr>
                <w:snapToGrid w:val="0"/>
                <w:kern w:val="22"/>
                <w:szCs w:val="22"/>
              </w:rPr>
            </w:pPr>
            <w:r>
              <w:t xml:space="preserve">El Convenio sobre la Diversidad Biológica no define los términos </w:t>
            </w:r>
            <w:r>
              <w:rPr>
                <w:cs/>
              </w:rPr>
              <w:t>“</w:t>
            </w:r>
            <w:r>
              <w:t>comunidades indígenas y locales</w:t>
            </w:r>
            <w:r>
              <w:rPr>
                <w:cs/>
              </w:rPr>
              <w:t>”</w:t>
            </w:r>
            <w:r>
              <w:rPr>
                <w:color w:val="000000"/>
                <w:kern w:val="22"/>
                <w:cs/>
              </w:rPr>
              <w:t xml:space="preserve"> </w:t>
            </w:r>
            <w:r>
              <w:t xml:space="preserve">o </w:t>
            </w:r>
            <w:r>
              <w:rPr>
                <w:cs/>
              </w:rPr>
              <w:t>“</w:t>
            </w:r>
            <w:r>
              <w:t>pueblos indígenas y comunidades locales</w:t>
            </w:r>
            <w:r>
              <w:rPr>
                <w:cs/>
              </w:rPr>
              <w:t>”</w:t>
            </w:r>
            <w:r>
              <w:t>.</w:t>
            </w:r>
            <w:r>
              <w:rPr>
                <w:kern w:val="22"/>
                <w:vertAlign w:val="superscript"/>
              </w:rPr>
              <w:t xml:space="preserve"> </w:t>
            </w:r>
            <w:r>
              <w:rPr>
                <w:kern w:val="22"/>
              </w:rPr>
              <w:t xml:space="preserve">En la Declaración de las Naciones Unidas sobre los Derechos de los Pueblos Indígenas no se adopta una definición universal para </w:t>
            </w:r>
            <w:r>
              <w:rPr>
                <w:kern w:val="22"/>
                <w:cs/>
              </w:rPr>
              <w:t>“</w:t>
            </w:r>
            <w:r>
              <w:rPr>
                <w:kern w:val="22"/>
              </w:rPr>
              <w:t>pueblos indígenas</w:t>
            </w:r>
            <w:r>
              <w:rPr>
                <w:kern w:val="22"/>
                <w:cs/>
              </w:rPr>
              <w:t>”</w:t>
            </w:r>
            <w:r>
              <w:rPr>
                <w:kern w:val="22"/>
              </w:rPr>
              <w:t xml:space="preserve"> y no se recomienda una definición</w:t>
            </w:r>
            <w:r>
              <w:rPr>
                <w:snapToGrid w:val="0"/>
                <w:kern w:val="22"/>
                <w:vertAlign w:val="superscript"/>
              </w:rPr>
              <w:footnoteReference w:id="5"/>
            </w:r>
            <w:r w:rsidR="0022640D" w:rsidRPr="0022640D">
              <w:rPr>
                <w:kern w:val="22"/>
                <w:vertAlign w:val="superscript"/>
              </w:rPr>
              <w:t>,</w:t>
            </w:r>
            <w:r>
              <w:rPr>
                <w:snapToGrid w:val="0"/>
                <w:kern w:val="22"/>
                <w:vertAlign w:val="superscript"/>
              </w:rPr>
              <w:footnoteReference w:id="6"/>
            </w:r>
            <w:r w:rsidR="00AC1474">
              <w:rPr>
                <w:kern w:val="22"/>
              </w:rPr>
              <w:t>.</w:t>
            </w:r>
          </w:p>
        </w:tc>
      </w:tr>
      <w:tr w:rsidR="004A3C92" w:rsidRPr="00585674" w:rsidTr="00CE52C9">
        <w:trPr>
          <w:cantSplit/>
        </w:trPr>
        <w:tc>
          <w:tcPr>
            <w:tcW w:w="9747" w:type="dxa"/>
            <w:gridSpan w:val="2"/>
          </w:tcPr>
          <w:p w:rsidR="004A3C92" w:rsidRPr="00585674" w:rsidRDefault="00BD56D9" w:rsidP="004A3C92">
            <w:pPr>
              <w:suppressLineNumbers/>
              <w:suppressAutoHyphens/>
              <w:spacing w:before="60" w:after="60"/>
              <w:jc w:val="center"/>
              <w:rPr>
                <w:b/>
                <w:snapToGrid w:val="0"/>
                <w:kern w:val="22"/>
                <w:szCs w:val="22"/>
              </w:rPr>
            </w:pPr>
            <w:r>
              <w:rPr>
                <w:b/>
                <w:kern w:val="22"/>
              </w:rPr>
              <w:t>Sección II</w:t>
            </w:r>
          </w:p>
          <w:p w:rsidR="004A3C92" w:rsidRPr="00585674" w:rsidRDefault="00BD56D9" w:rsidP="00455047">
            <w:pPr>
              <w:suppressLineNumbers/>
              <w:suppressAutoHyphens/>
              <w:spacing w:before="60" w:after="60"/>
              <w:jc w:val="center"/>
              <w:rPr>
                <w:snapToGrid w:val="0"/>
                <w:kern w:val="22"/>
                <w:szCs w:val="22"/>
              </w:rPr>
            </w:pPr>
            <w:r>
              <w:rPr>
                <w:b/>
                <w:kern w:val="22"/>
              </w:rPr>
              <w:t xml:space="preserve">Términos y conceptos derivados de los resultados del programa de trabajo sobre el artículo 8 j) y disposiciones conexas y adoptados o </w:t>
            </w:r>
            <w:r w:rsidR="00455047">
              <w:rPr>
                <w:b/>
                <w:kern w:val="22"/>
              </w:rPr>
              <w:t>ratificados</w:t>
            </w:r>
            <w:r>
              <w:rPr>
                <w:b/>
                <w:kern w:val="22"/>
              </w:rPr>
              <w:t xml:space="preserve"> por la Conferencia de las Partes en el Convenio sobre la Diversidad Biológica</w:t>
            </w:r>
          </w:p>
        </w:tc>
      </w:tr>
      <w:tr w:rsidR="004A3C92" w:rsidRPr="00585674" w:rsidTr="00CE52C9">
        <w:trPr>
          <w:cantSplit/>
        </w:trPr>
        <w:tc>
          <w:tcPr>
            <w:tcW w:w="9747" w:type="dxa"/>
            <w:gridSpan w:val="2"/>
          </w:tcPr>
          <w:p w:rsidR="00EE63D7" w:rsidRPr="00585674" w:rsidRDefault="004C1EEE">
            <w:pPr>
              <w:numPr>
                <w:ilvl w:val="0"/>
                <w:numId w:val="31"/>
              </w:numPr>
              <w:suppressLineNumbers/>
              <w:suppressAutoHyphens/>
              <w:spacing w:before="60" w:after="60" w:line="276" w:lineRule="auto"/>
              <w:ind w:right="317" w:hanging="578"/>
              <w:jc w:val="left"/>
              <w:rPr>
                <w:b/>
                <w:snapToGrid w:val="0"/>
                <w:kern w:val="22"/>
                <w:szCs w:val="22"/>
              </w:rPr>
            </w:pPr>
            <w:r>
              <w:rPr>
                <w:b/>
                <w:kern w:val="22"/>
              </w:rPr>
              <w:t>Directrices Akwé:</w:t>
            </w:r>
            <w:r w:rsidR="002833D7">
              <w:rPr>
                <w:b/>
                <w:kern w:val="22"/>
              </w:rPr>
              <w:t xml:space="preserve"> </w:t>
            </w:r>
            <w:r w:rsidR="00BD56D9">
              <w:rPr>
                <w:b/>
                <w:kern w:val="22"/>
              </w:rPr>
              <w:t>Kon voluntarias para realizar evaluaciones de las repercusiones culturales, ambientales y sociales de proyectos de desarrollo que hayan de realizarse en lugares sagrados o en tierras o aguas ocupadas o utilizadas tradicionalmente por</w:t>
            </w:r>
            <w:r>
              <w:rPr>
                <w:b/>
                <w:kern w:val="22"/>
              </w:rPr>
              <w:t xml:space="preserve"> las</w:t>
            </w:r>
            <w:r w:rsidR="00BD56D9">
              <w:rPr>
                <w:b/>
                <w:kern w:val="22"/>
              </w:rPr>
              <w:t xml:space="preserve"> comunidades indígenas y locales, o que puedan afectar esos lugares </w:t>
            </w:r>
            <w:r w:rsidR="00BD56D9">
              <w:t>(Decisión VII/16</w:t>
            </w:r>
            <w:r w:rsidR="00AC1474">
              <w:t> </w:t>
            </w:r>
            <w:bookmarkStart w:id="0" w:name="_GoBack"/>
            <w:bookmarkEnd w:id="0"/>
            <w:r w:rsidR="00BD56D9">
              <w:t>F, anexo)</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b/>
                <w:kern w:val="22"/>
              </w:rPr>
              <w:lastRenderedPageBreak/>
              <w:t>Término o concepto</w:t>
            </w:r>
          </w:p>
        </w:tc>
        <w:tc>
          <w:tcPr>
            <w:tcW w:w="6804" w:type="dxa"/>
          </w:tcPr>
          <w:p w:rsidR="004A3C92" w:rsidRPr="00585674" w:rsidRDefault="00BD56D9" w:rsidP="004A3C92">
            <w:pPr>
              <w:suppressLineNumbers/>
              <w:suppressAutoHyphens/>
              <w:spacing w:before="60" w:after="60"/>
              <w:jc w:val="left"/>
              <w:rPr>
                <w:b/>
                <w:snapToGrid w:val="0"/>
                <w:kern w:val="22"/>
                <w:szCs w:val="22"/>
              </w:rPr>
            </w:pPr>
            <w:r>
              <w:rPr>
                <w:b/>
                <w:kern w:val="22"/>
              </w:rPr>
              <w:t>Interpretación del término o concepto en el contexto del Convenio</w:t>
            </w:r>
          </w:p>
          <w:p w:rsidR="004A3C92" w:rsidRPr="00585674" w:rsidRDefault="00BD56D9" w:rsidP="007C6E74">
            <w:pPr>
              <w:suppressLineNumbers/>
              <w:suppressAutoHyphens/>
              <w:spacing w:before="60" w:after="60"/>
              <w:jc w:val="left"/>
              <w:rPr>
                <w:snapToGrid w:val="0"/>
                <w:kern w:val="22"/>
                <w:szCs w:val="22"/>
              </w:rPr>
            </w:pPr>
            <w:r>
              <w:rPr>
                <w:i/>
                <w:kern w:val="22"/>
              </w:rPr>
              <w:t xml:space="preserve">* </w:t>
            </w:r>
            <w:r w:rsidR="007C6E74">
              <w:rPr>
                <w:i/>
                <w:kern w:val="22"/>
              </w:rPr>
              <w:t>Ca</w:t>
            </w:r>
            <w:r>
              <w:rPr>
                <w:i/>
                <w:kern w:val="22"/>
              </w:rPr>
              <w:t xml:space="preserve">be </w:t>
            </w:r>
            <w:r w:rsidR="007C6E74">
              <w:rPr>
                <w:i/>
                <w:kern w:val="22"/>
              </w:rPr>
              <w:t>s</w:t>
            </w:r>
            <w:r>
              <w:rPr>
                <w:i/>
                <w:kern w:val="22"/>
              </w:rPr>
              <w:t>e</w:t>
            </w:r>
            <w:r w:rsidR="007C6E74">
              <w:rPr>
                <w:i/>
                <w:kern w:val="22"/>
              </w:rPr>
              <w:t>ñala</w:t>
            </w:r>
            <w:r>
              <w:rPr>
                <w:i/>
                <w:kern w:val="22"/>
              </w:rPr>
              <w:t xml:space="preserve">r que los siguientes términos y conceptos fueron </w:t>
            </w:r>
            <w:r w:rsidR="004C1EEE">
              <w:rPr>
                <w:i/>
                <w:kern w:val="22"/>
              </w:rPr>
              <w:t>ratificados</w:t>
            </w:r>
            <w:r>
              <w:rPr>
                <w:i/>
                <w:kern w:val="22"/>
              </w:rPr>
              <w:t xml:space="preserve"> por la Conferencia de las Partes en </w:t>
            </w:r>
            <w:r w:rsidR="007C6E74">
              <w:rPr>
                <w:i/>
                <w:kern w:val="22"/>
              </w:rPr>
              <w:t>su</w:t>
            </w:r>
            <w:r>
              <w:rPr>
                <w:i/>
                <w:kern w:val="22"/>
              </w:rPr>
              <w:t xml:space="preserve"> decisión VII/16 F sobre las Directrices Akwé:</w:t>
            </w:r>
            <w:r w:rsidR="002833D7">
              <w:rPr>
                <w:i/>
                <w:kern w:val="22"/>
              </w:rPr>
              <w:t xml:space="preserve"> </w:t>
            </w:r>
            <w:r>
              <w:rPr>
                <w:i/>
                <w:kern w:val="22"/>
              </w:rPr>
              <w:t xml:space="preserve">Kon y deberían aplicarse asimismo en el contexto </w:t>
            </w:r>
            <w:r w:rsidR="007C6E74">
              <w:rPr>
                <w:i/>
                <w:kern w:val="22"/>
              </w:rPr>
              <w:t xml:space="preserve">del artículo 14 del Convenio </w:t>
            </w:r>
            <w:r>
              <w:rPr>
                <w:i/>
                <w:kern w:val="22"/>
              </w:rPr>
              <w:t>re</w:t>
            </w:r>
            <w:r w:rsidR="007C6E74">
              <w:rPr>
                <w:i/>
                <w:kern w:val="22"/>
              </w:rPr>
              <w:t>ferido</w:t>
            </w:r>
            <w:r>
              <w:rPr>
                <w:i/>
                <w:kern w:val="22"/>
              </w:rPr>
              <w:t xml:space="preserve"> </w:t>
            </w:r>
            <w:r w:rsidR="007C6E74">
              <w:rPr>
                <w:i/>
                <w:kern w:val="22"/>
              </w:rPr>
              <w:t xml:space="preserve">a </w:t>
            </w:r>
            <w:r>
              <w:rPr>
                <w:i/>
                <w:kern w:val="22"/>
              </w:rPr>
              <w:t>la evaluación del impacto y</w:t>
            </w:r>
            <w:r w:rsidR="007C6E74">
              <w:rPr>
                <w:i/>
                <w:kern w:val="22"/>
              </w:rPr>
              <w:t xml:space="preserve"> </w:t>
            </w:r>
            <w:r>
              <w:rPr>
                <w:i/>
                <w:kern w:val="22"/>
              </w:rPr>
              <w:t>reducción al mínimo del impacto adverso</w:t>
            </w:r>
            <w:r>
              <w:rPr>
                <w:i/>
                <w:snapToGrid w:val="0"/>
                <w:kern w:val="22"/>
                <w:vertAlign w:val="superscript"/>
              </w:rPr>
              <w:footnoteReference w:id="7"/>
            </w:r>
            <w:r w:rsidR="00AC1474">
              <w:rPr>
                <w:i/>
                <w:kern w:val="22"/>
              </w:rPr>
              <w:t>.</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kern w:val="22"/>
              </w:rPr>
              <w:t>Evaluación del impacto cultural</w:t>
            </w:r>
          </w:p>
        </w:tc>
        <w:tc>
          <w:tcPr>
            <w:tcW w:w="6804" w:type="dxa"/>
          </w:tcPr>
          <w:p w:rsidR="004A3C92" w:rsidRPr="00585674" w:rsidRDefault="00BD56D9" w:rsidP="00FD4068">
            <w:pPr>
              <w:suppressLineNumbers/>
              <w:suppressAutoHyphens/>
              <w:spacing w:before="60" w:after="60"/>
              <w:jc w:val="left"/>
              <w:rPr>
                <w:snapToGrid w:val="0"/>
                <w:kern w:val="22"/>
                <w:szCs w:val="22"/>
              </w:rPr>
            </w:pPr>
            <w:r>
              <w:rPr>
                <w:kern w:val="22"/>
              </w:rPr>
              <w:t xml:space="preserve">Es un proceso para evaluar los probables impactos de un proyecto o desarrollo propuestos en el modo de vida de un grupo o </w:t>
            </w:r>
            <w:r w:rsidR="007C6E74">
              <w:rPr>
                <w:kern w:val="22"/>
              </w:rPr>
              <w:t xml:space="preserve">una </w:t>
            </w:r>
            <w:r>
              <w:rPr>
                <w:kern w:val="22"/>
              </w:rPr>
              <w:t xml:space="preserve">comunidad </w:t>
            </w:r>
            <w:r w:rsidR="007C6E74">
              <w:rPr>
                <w:kern w:val="22"/>
              </w:rPr>
              <w:t xml:space="preserve">particular </w:t>
            </w:r>
            <w:r>
              <w:rPr>
                <w:kern w:val="22"/>
              </w:rPr>
              <w:t>de personas, con la plena intervención de ese grupo o comunidad y posiblemente empre</w:t>
            </w:r>
            <w:r w:rsidR="00FD4068">
              <w:rPr>
                <w:kern w:val="22"/>
              </w:rPr>
              <w:t>ndido por ese grupo o comunidad</w:t>
            </w:r>
            <w:r>
              <w:rPr>
                <w:kern w:val="22"/>
              </w:rPr>
              <w:t>: en una evaluación del impacto cultural se analizarán en general los impactos, tanto beneficiosos como adversos, de un desarrollo propuesto, que pudiera</w:t>
            </w:r>
            <w:r w:rsidR="00FD4068">
              <w:rPr>
                <w:kern w:val="22"/>
              </w:rPr>
              <w:t>n</w:t>
            </w:r>
            <w:r>
              <w:rPr>
                <w:kern w:val="22"/>
              </w:rPr>
              <w:t xml:space="preserve"> afectar, por ejemplo, a los valores, creencias, leyes consuetudinarias, idiomas, costumbres, economía, relaciones con el entorno local y especies particulares, organización social y tradiciones de la comunidad afectada</w:t>
            </w:r>
            <w:r>
              <w:rPr>
                <w:rStyle w:val="FootnoteReference"/>
                <w:snapToGrid w:val="0"/>
                <w:kern w:val="22"/>
                <w:sz w:val="22"/>
                <w:u w:val="none"/>
                <w:vertAlign w:val="superscript"/>
              </w:rPr>
              <w:footnoteReference w:id="8"/>
            </w:r>
            <w:r w:rsidR="00AC1474">
              <w:rPr>
                <w:kern w:val="22"/>
              </w:rPr>
              <w:t>.</w:t>
            </w:r>
          </w:p>
        </w:tc>
      </w:tr>
      <w:tr w:rsidR="00BE332B" w:rsidRPr="00585674" w:rsidTr="00CE52C9">
        <w:trPr>
          <w:cantSplit/>
        </w:trPr>
        <w:tc>
          <w:tcPr>
            <w:tcW w:w="2943" w:type="dxa"/>
          </w:tcPr>
          <w:p w:rsidR="004A3C92" w:rsidRPr="00585674" w:rsidRDefault="00BD56D9" w:rsidP="00C953F5">
            <w:pPr>
              <w:suppressLineNumbers/>
              <w:suppressAutoHyphens/>
              <w:spacing w:before="60" w:after="60"/>
              <w:jc w:val="left"/>
              <w:rPr>
                <w:snapToGrid w:val="0"/>
                <w:kern w:val="22"/>
                <w:szCs w:val="22"/>
              </w:rPr>
            </w:pPr>
            <w:r>
              <w:rPr>
                <w:kern w:val="22"/>
              </w:rPr>
              <w:t>Evaluación del impacto en el patrimonio cultural</w:t>
            </w:r>
          </w:p>
        </w:tc>
        <w:tc>
          <w:tcPr>
            <w:tcW w:w="6804" w:type="dxa"/>
          </w:tcPr>
          <w:p w:rsidR="004A3C92" w:rsidRPr="00585674" w:rsidRDefault="00BD56D9" w:rsidP="00076B46">
            <w:pPr>
              <w:suppressLineNumbers/>
              <w:suppressAutoHyphens/>
              <w:spacing w:before="60" w:after="60"/>
              <w:jc w:val="left"/>
              <w:rPr>
                <w:snapToGrid w:val="0"/>
                <w:kern w:val="22"/>
                <w:szCs w:val="22"/>
              </w:rPr>
            </w:pPr>
            <w:r>
              <w:rPr>
                <w:kern w:val="22"/>
              </w:rPr>
              <w:t>Es un proceso para evaluar los probables impactos, tanto beneficiosos como adversos, de un desarrollo propuesto en las manifestaciones materiales del patrimonio cultural de una comunidad, incluidos los lugares, edificios y restos de valor o importancia arqueológicos, arquitectónicos, históricos, religiosos, espirituales, culturales, ecológicos o estéticos</w:t>
            </w:r>
            <w:r>
              <w:rPr>
                <w:rStyle w:val="FootnoteReference"/>
                <w:snapToGrid w:val="0"/>
                <w:kern w:val="22"/>
                <w:sz w:val="22"/>
                <w:u w:val="none"/>
                <w:vertAlign w:val="superscript"/>
              </w:rPr>
              <w:footnoteReference w:id="9"/>
            </w:r>
            <w:r w:rsidR="00AC1474">
              <w:rPr>
                <w:kern w:val="22"/>
              </w:rPr>
              <w:t>.</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kern w:val="22"/>
              </w:rPr>
              <w:t>Ley consuetudinaria</w:t>
            </w:r>
          </w:p>
        </w:tc>
        <w:tc>
          <w:tcPr>
            <w:tcW w:w="6804" w:type="dxa"/>
          </w:tcPr>
          <w:p w:rsidR="004A3C92" w:rsidRPr="00585674" w:rsidRDefault="00BD56D9" w:rsidP="00FD4068">
            <w:pPr>
              <w:suppressLineNumbers/>
              <w:suppressAutoHyphens/>
              <w:spacing w:before="60" w:after="60"/>
              <w:jc w:val="left"/>
              <w:rPr>
                <w:snapToGrid w:val="0"/>
                <w:kern w:val="22"/>
                <w:szCs w:val="22"/>
              </w:rPr>
            </w:pPr>
            <w:r>
              <w:rPr>
                <w:kern w:val="22"/>
              </w:rPr>
              <w:t xml:space="preserve">Ley constituida por costumbres que son aceptadas </w:t>
            </w:r>
            <w:r w:rsidR="00FD4068">
              <w:rPr>
                <w:kern w:val="22"/>
              </w:rPr>
              <w:t>a título de</w:t>
            </w:r>
            <w:r>
              <w:rPr>
                <w:kern w:val="22"/>
              </w:rPr>
              <w:t xml:space="preserve"> requisitos legales o normas obligatorias de conducta; prácticas y creencias que son vitales y forman una parte intrínseca de un sistema social y económico, por lo que son tratadas como si en realidad fueran leyes</w:t>
            </w:r>
            <w:r>
              <w:rPr>
                <w:rStyle w:val="FootnoteReference"/>
                <w:snapToGrid w:val="0"/>
                <w:kern w:val="22"/>
                <w:sz w:val="22"/>
                <w:u w:val="none"/>
                <w:vertAlign w:val="superscript"/>
              </w:rPr>
              <w:footnoteReference w:id="10"/>
            </w:r>
            <w:r w:rsidR="00AC1474">
              <w:rPr>
                <w:kern w:val="22"/>
              </w:rPr>
              <w:t>.</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kern w:val="22"/>
              </w:rPr>
              <w:t>Evaluación del impacto ambiental</w:t>
            </w:r>
          </w:p>
        </w:tc>
        <w:tc>
          <w:tcPr>
            <w:tcW w:w="6804" w:type="dxa"/>
          </w:tcPr>
          <w:p w:rsidR="004A3C92" w:rsidRPr="00585674" w:rsidRDefault="00BD56D9" w:rsidP="00F1323F">
            <w:pPr>
              <w:suppressLineNumbers/>
              <w:suppressAutoHyphens/>
              <w:spacing w:before="60" w:after="60"/>
              <w:jc w:val="left"/>
              <w:rPr>
                <w:snapToGrid w:val="0"/>
                <w:kern w:val="22"/>
                <w:szCs w:val="22"/>
              </w:rPr>
            </w:pPr>
            <w:r>
              <w:rPr>
                <w:kern w:val="22"/>
              </w:rPr>
              <w:t>Es un proceso para evaluar los probables impactos en el medio ambiente, y para proponer medidas adecuadas de mitigación de un desarrollo propuesto, teniéndose en cuenta los impactos entre sí</w:t>
            </w:r>
            <w:r w:rsidR="00F1323F">
              <w:rPr>
                <w:kern w:val="22"/>
              </w:rPr>
              <w:t xml:space="preserve"> relacionados</w:t>
            </w:r>
            <w:r>
              <w:rPr>
                <w:kern w:val="22"/>
              </w:rPr>
              <w:t>, tanto beneficiosos como adversos, de índole socioeconómica, cultural y para la salud humana</w:t>
            </w:r>
            <w:r>
              <w:rPr>
                <w:rStyle w:val="FootnoteReference"/>
                <w:snapToGrid w:val="0"/>
                <w:kern w:val="22"/>
                <w:sz w:val="22"/>
                <w:u w:val="none"/>
                <w:vertAlign w:val="superscript"/>
              </w:rPr>
              <w:footnoteReference w:id="11"/>
            </w:r>
            <w:r w:rsidR="00AC1474">
              <w:rPr>
                <w:kern w:val="22"/>
              </w:rPr>
              <w:t>.</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t>Lugar sagrado</w:t>
            </w:r>
          </w:p>
        </w:tc>
        <w:tc>
          <w:tcPr>
            <w:tcW w:w="6804" w:type="dxa"/>
          </w:tcPr>
          <w:p w:rsidR="004A3C92" w:rsidRPr="00585674" w:rsidRDefault="00BD56D9" w:rsidP="004A3C92">
            <w:pPr>
              <w:suppressLineNumbers/>
              <w:suppressAutoHyphens/>
              <w:autoSpaceDE w:val="0"/>
              <w:autoSpaceDN w:val="0"/>
              <w:adjustRightInd w:val="0"/>
              <w:spacing w:before="60" w:after="60"/>
              <w:jc w:val="left"/>
              <w:rPr>
                <w:snapToGrid w:val="0"/>
                <w:kern w:val="22"/>
                <w:szCs w:val="22"/>
              </w:rPr>
            </w:pPr>
            <w:r>
              <w:rPr>
                <w:kern w:val="22"/>
              </w:rPr>
              <w:t>Puede referirse a un lugar, objeto, edificio, zona o característica natural o área considerada por los gobiernos nacionales o por las comunidades indígenas como de particular importancia, de conformidad con las costumbres de una comunidad indígena o local por razón de su significado religioso o espiritual</w:t>
            </w:r>
            <w:r>
              <w:rPr>
                <w:rStyle w:val="FootnoteReference"/>
                <w:snapToGrid w:val="0"/>
                <w:kern w:val="22"/>
                <w:sz w:val="22"/>
                <w:u w:val="none"/>
                <w:vertAlign w:val="superscript"/>
              </w:rPr>
              <w:footnoteReference w:id="12"/>
            </w:r>
            <w:r w:rsidR="00AC1474">
              <w:rPr>
                <w:kern w:val="22"/>
              </w:rPr>
              <w:t>.</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kern w:val="22"/>
              </w:rPr>
              <w:lastRenderedPageBreak/>
              <w:t>Evaluación del impacto social</w:t>
            </w:r>
          </w:p>
        </w:tc>
        <w:tc>
          <w:tcPr>
            <w:tcW w:w="6804" w:type="dxa"/>
          </w:tcPr>
          <w:p w:rsidR="004A3C92" w:rsidRPr="00585674" w:rsidRDefault="00BD56D9" w:rsidP="00E47F72">
            <w:pPr>
              <w:suppressLineNumbers/>
              <w:suppressAutoHyphens/>
              <w:spacing w:before="60" w:after="60"/>
              <w:jc w:val="left"/>
              <w:rPr>
                <w:snapToGrid w:val="0"/>
                <w:kern w:val="22"/>
                <w:szCs w:val="22"/>
              </w:rPr>
            </w:pPr>
            <w:r>
              <w:rPr>
                <w:kern w:val="22"/>
              </w:rPr>
              <w:t xml:space="preserve">Es un proceso para evaluar los probables impactos, tanto beneficiosos como adversos, de un desarrollo propuesto que puedan afectar a los derechos, que tengan una dimensión económica, social, cultural, cívica y política, así como afectar al bienestar, vitalidad y viabilidad de una comunidad afectada </w:t>
            </w:r>
            <w:r>
              <w:rPr>
                <w:kern w:val="22"/>
                <w:cs/>
              </w:rPr>
              <w:t xml:space="preserve">– </w:t>
            </w:r>
            <w:r w:rsidR="00E47F72">
              <w:rPr>
                <w:kern w:val="22"/>
              </w:rPr>
              <w:t>esto</w:t>
            </w:r>
            <w:r>
              <w:rPr>
                <w:kern w:val="22"/>
              </w:rPr>
              <w:t xml:space="preserve"> es</w:t>
            </w:r>
            <w:r w:rsidR="00E47F72">
              <w:rPr>
                <w:kern w:val="22"/>
              </w:rPr>
              <w:t>,</w:t>
            </w:r>
            <w:r>
              <w:rPr>
                <w:kern w:val="22"/>
              </w:rPr>
              <w:t xml:space="preserve"> la calidad de vida de una comunidad medida en términos de varios indicadores socioeconómicos, tales como distribución de los ingresos, integridad física y social y protección de las personas y comunidades, niveles y oportunidades de empleo, salud y bienestar, educación y disponibilidad y calidad de la vivienda y alojamiento, infraestructura, servicios</w:t>
            </w:r>
            <w:r>
              <w:rPr>
                <w:rStyle w:val="FootnoteReference"/>
                <w:snapToGrid w:val="0"/>
                <w:kern w:val="22"/>
                <w:sz w:val="22"/>
                <w:u w:val="none"/>
                <w:vertAlign w:val="superscript"/>
              </w:rPr>
              <w:footnoteReference w:id="13"/>
            </w:r>
            <w:r w:rsidR="00AC1474">
              <w:rPr>
                <w:kern w:val="22"/>
              </w:rPr>
              <w:t>.</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kern w:val="22"/>
              </w:rPr>
              <w:t>Evaluación ambiental estratégica</w:t>
            </w:r>
          </w:p>
        </w:tc>
        <w:tc>
          <w:tcPr>
            <w:tcW w:w="6804" w:type="dxa"/>
          </w:tcPr>
          <w:p w:rsidR="004A3C92" w:rsidRPr="00585674" w:rsidRDefault="00BD56D9" w:rsidP="00E47F72">
            <w:pPr>
              <w:suppressLineNumbers/>
              <w:suppressAutoHyphens/>
              <w:spacing w:before="60" w:after="60"/>
              <w:jc w:val="left"/>
              <w:rPr>
                <w:snapToGrid w:val="0"/>
                <w:kern w:val="22"/>
                <w:szCs w:val="22"/>
              </w:rPr>
            </w:pPr>
            <w:r>
              <w:rPr>
                <w:kern w:val="22"/>
              </w:rPr>
              <w:t>Es un proceso para evaluar los probables impactos medioambientales de políticas, planes o programas propuestos para asegurar que se incluy</w:t>
            </w:r>
            <w:r w:rsidR="00E47F72">
              <w:rPr>
                <w:kern w:val="22"/>
              </w:rPr>
              <w:t>a</w:t>
            </w:r>
            <w:r>
              <w:rPr>
                <w:kern w:val="22"/>
              </w:rPr>
              <w:t>n plenamente y se anali</w:t>
            </w:r>
            <w:r w:rsidR="00E47F72">
              <w:rPr>
                <w:kern w:val="22"/>
              </w:rPr>
              <w:t>ce</w:t>
            </w:r>
            <w:r>
              <w:rPr>
                <w:kern w:val="22"/>
              </w:rPr>
              <w:t>n en una etapa temprana de la adopción de decisiones, junto con las consideraciones económicas, sociales y culturales</w:t>
            </w:r>
            <w:r>
              <w:rPr>
                <w:rStyle w:val="FootnoteReference"/>
                <w:snapToGrid w:val="0"/>
                <w:kern w:val="22"/>
                <w:sz w:val="22"/>
                <w:u w:val="none"/>
                <w:vertAlign w:val="superscript"/>
              </w:rPr>
              <w:footnoteReference w:id="14"/>
            </w:r>
            <w:r w:rsidR="00AC1474">
              <w:rPr>
                <w:kern w:val="22"/>
              </w:rPr>
              <w:t>.</w:t>
            </w:r>
          </w:p>
        </w:tc>
      </w:tr>
      <w:tr w:rsidR="004A3C92" w:rsidRPr="00585674" w:rsidTr="00CE52C9">
        <w:trPr>
          <w:cantSplit/>
        </w:trPr>
        <w:tc>
          <w:tcPr>
            <w:tcW w:w="9747" w:type="dxa"/>
            <w:gridSpan w:val="2"/>
          </w:tcPr>
          <w:p w:rsidR="004A3C92" w:rsidRPr="00585674" w:rsidRDefault="00BD56D9" w:rsidP="001D046A">
            <w:pPr>
              <w:keepNext/>
              <w:numPr>
                <w:ilvl w:val="0"/>
                <w:numId w:val="31"/>
              </w:numPr>
              <w:suppressLineNumbers/>
              <w:suppressAutoHyphens/>
              <w:spacing w:before="60" w:after="60" w:line="276" w:lineRule="auto"/>
              <w:jc w:val="center"/>
              <w:rPr>
                <w:snapToGrid w:val="0"/>
                <w:kern w:val="22"/>
                <w:szCs w:val="22"/>
                <w:u w:val="single"/>
              </w:rPr>
            </w:pPr>
            <w:r>
              <w:rPr>
                <w:b/>
                <w:kern w:val="22"/>
              </w:rPr>
              <w:t>Directrices voluntarias Mo</w:t>
            </w:r>
            <w:r>
              <w:rPr>
                <w:b/>
                <w:kern w:val="22"/>
                <w:cs/>
              </w:rPr>
              <w:t>’</w:t>
            </w:r>
            <w:r>
              <w:rPr>
                <w:b/>
                <w:kern w:val="22"/>
              </w:rPr>
              <w:t>otz Kuxtal</w:t>
            </w:r>
            <w:r>
              <w:t xml:space="preserve"> (Decisión XIII/18, anexo)</w:t>
            </w:r>
            <w:r>
              <w:rPr>
                <w:rStyle w:val="FootnoteReference"/>
                <w:snapToGrid w:val="0"/>
                <w:kern w:val="22"/>
                <w:sz w:val="22"/>
                <w:u w:val="none"/>
                <w:vertAlign w:val="superscript"/>
              </w:rPr>
              <w:footnoteReference w:id="15"/>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b/>
                <w:kern w:val="22"/>
              </w:rPr>
              <w:t>Término o concepto</w:t>
            </w:r>
          </w:p>
        </w:tc>
        <w:tc>
          <w:tcPr>
            <w:tcW w:w="6804" w:type="dxa"/>
          </w:tcPr>
          <w:p w:rsidR="004A3C92" w:rsidRPr="00585674" w:rsidRDefault="00BD56D9" w:rsidP="004A3C92">
            <w:pPr>
              <w:suppressLineNumbers/>
              <w:suppressAutoHyphens/>
              <w:spacing w:before="60" w:after="60"/>
              <w:jc w:val="left"/>
              <w:rPr>
                <w:b/>
                <w:i/>
                <w:snapToGrid w:val="0"/>
                <w:kern w:val="22"/>
                <w:szCs w:val="22"/>
              </w:rPr>
            </w:pPr>
            <w:r>
              <w:rPr>
                <w:b/>
                <w:kern w:val="22"/>
              </w:rPr>
              <w:t>Interpretación del término o concepto en el contexto del artículo 8 j) del Convenio</w:t>
            </w:r>
          </w:p>
          <w:p w:rsidR="004A3C92" w:rsidRPr="00585674" w:rsidRDefault="004960E4" w:rsidP="004960E4">
            <w:pPr>
              <w:suppressLineNumbers/>
              <w:suppressAutoHyphens/>
              <w:spacing w:before="60" w:after="60"/>
              <w:jc w:val="left"/>
              <w:rPr>
                <w:bCs/>
                <w:snapToGrid w:val="0"/>
                <w:kern w:val="22"/>
                <w:szCs w:val="22"/>
              </w:rPr>
            </w:pPr>
            <w:r>
              <w:rPr>
                <w:i/>
                <w:kern w:val="22"/>
              </w:rPr>
              <w:t>Cabe señalar</w:t>
            </w:r>
            <w:r w:rsidR="00BD56D9">
              <w:rPr>
                <w:i/>
                <w:kern w:val="22"/>
              </w:rPr>
              <w:t xml:space="preserve"> que estos términos se </w:t>
            </w:r>
            <w:r>
              <w:rPr>
                <w:i/>
                <w:kern w:val="22"/>
              </w:rPr>
              <w:t>e</w:t>
            </w:r>
            <w:r w:rsidR="00BD56D9">
              <w:rPr>
                <w:i/>
                <w:kern w:val="22"/>
              </w:rPr>
              <w:t>nt</w:t>
            </w:r>
            <w:r>
              <w:rPr>
                <w:i/>
                <w:kern w:val="22"/>
              </w:rPr>
              <w:t>i</w:t>
            </w:r>
            <w:r w:rsidR="00BD56D9">
              <w:rPr>
                <w:i/>
                <w:kern w:val="22"/>
              </w:rPr>
              <w:t>en</w:t>
            </w:r>
            <w:r>
              <w:rPr>
                <w:i/>
                <w:kern w:val="22"/>
              </w:rPr>
              <w:t>den</w:t>
            </w:r>
            <w:r w:rsidR="00BD56D9">
              <w:rPr>
                <w:i/>
                <w:kern w:val="22"/>
              </w:rPr>
              <w:t xml:space="preserve"> en el contexto del acceso a los conocimientos tradicionales</w:t>
            </w:r>
            <w:r>
              <w:rPr>
                <w:i/>
                <w:kern w:val="22"/>
              </w:rPr>
              <w:t xml:space="preserve"> en el marco</w:t>
            </w:r>
            <w:r w:rsidR="00BD56D9">
              <w:rPr>
                <w:i/>
                <w:kern w:val="22"/>
              </w:rPr>
              <w:t xml:space="preserve"> del mandato del Convenio sobre la Diversidad Biológica</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kern w:val="22"/>
                <w:cs/>
              </w:rPr>
              <w:lastRenderedPageBreak/>
              <w:t>“</w:t>
            </w:r>
            <w:r>
              <w:rPr>
                <w:kern w:val="22"/>
              </w:rPr>
              <w:t>Consentimiento previo y fundamentado</w:t>
            </w:r>
            <w:r>
              <w:rPr>
                <w:kern w:val="22"/>
                <w:cs/>
              </w:rPr>
              <w:t xml:space="preserve">” </w:t>
            </w:r>
            <w:r>
              <w:rPr>
                <w:kern w:val="22"/>
              </w:rPr>
              <w:t xml:space="preserve">o </w:t>
            </w:r>
            <w:r>
              <w:rPr>
                <w:kern w:val="22"/>
                <w:cs/>
              </w:rPr>
              <w:t>“</w:t>
            </w:r>
            <w:r>
              <w:rPr>
                <w:kern w:val="22"/>
              </w:rPr>
              <w:t>consentimiento libre, previo y fundamentado</w:t>
            </w:r>
            <w:r>
              <w:rPr>
                <w:kern w:val="22"/>
                <w:cs/>
              </w:rPr>
              <w:t xml:space="preserve">” </w:t>
            </w:r>
            <w:r>
              <w:rPr>
                <w:kern w:val="22"/>
              </w:rPr>
              <w:t xml:space="preserve">o </w:t>
            </w:r>
            <w:r>
              <w:rPr>
                <w:kern w:val="22"/>
                <w:cs/>
              </w:rPr>
              <w:t>“</w:t>
            </w:r>
            <w:r>
              <w:rPr>
                <w:kern w:val="22"/>
              </w:rPr>
              <w:t>aprobación y participación</w:t>
            </w:r>
            <w:r>
              <w:rPr>
                <w:kern w:val="22"/>
                <w:cs/>
              </w:rPr>
              <w:t>”</w:t>
            </w:r>
          </w:p>
        </w:tc>
        <w:tc>
          <w:tcPr>
            <w:tcW w:w="6804" w:type="dxa"/>
          </w:tcPr>
          <w:p w:rsidR="004A3C92" w:rsidRPr="00585674" w:rsidRDefault="00BD56D9" w:rsidP="004A3C92">
            <w:pPr>
              <w:suppressLineNumbers/>
              <w:suppressAutoHyphens/>
              <w:autoSpaceDE w:val="0"/>
              <w:autoSpaceDN w:val="0"/>
              <w:adjustRightInd w:val="0"/>
              <w:spacing w:before="60" w:after="60"/>
              <w:jc w:val="left"/>
              <w:rPr>
                <w:snapToGrid w:val="0"/>
                <w:kern w:val="22"/>
                <w:szCs w:val="22"/>
              </w:rPr>
            </w:pPr>
            <w:r>
              <w:rPr>
                <w:kern w:val="22"/>
              </w:rPr>
              <w:t>Libre significa que los pueblos indígenas y las comunidades locales no son presionados, intimidados</w:t>
            </w:r>
            <w:r w:rsidR="00A82A99">
              <w:rPr>
                <w:kern w:val="22"/>
              </w:rPr>
              <w:t xml:space="preserve"> o</w:t>
            </w:r>
            <w:r>
              <w:rPr>
                <w:kern w:val="22"/>
              </w:rPr>
              <w:t xml:space="preserve"> manipulados, o indebidamente influenciados, y que dan su consentimiento sin coerción;</w:t>
            </w:r>
          </w:p>
          <w:p w:rsidR="004A3C92" w:rsidRPr="00585674" w:rsidRDefault="00BD56D9" w:rsidP="004A3C92">
            <w:pPr>
              <w:suppressLineNumbers/>
              <w:suppressAutoHyphens/>
              <w:autoSpaceDE w:val="0"/>
              <w:autoSpaceDN w:val="0"/>
              <w:adjustRightInd w:val="0"/>
              <w:spacing w:before="60" w:after="60"/>
              <w:jc w:val="left"/>
              <w:rPr>
                <w:snapToGrid w:val="0"/>
                <w:kern w:val="22"/>
                <w:szCs w:val="22"/>
              </w:rPr>
            </w:pPr>
            <w:r>
              <w:rPr>
                <w:kern w:val="22"/>
              </w:rPr>
              <w:t xml:space="preserve">Previo significa que se solicita el consentimiento o la aprobación con suficiente antelación </w:t>
            </w:r>
            <w:r w:rsidR="00D7074B">
              <w:rPr>
                <w:kern w:val="22"/>
              </w:rPr>
              <w:t>a</w:t>
            </w:r>
            <w:r>
              <w:rPr>
                <w:kern w:val="22"/>
              </w:rPr>
              <w:t xml:space="preserve"> cualquier autorización para acceder a los conocimientos tradicionales, respetando los procesos consuetudinarios de adopción de decisiones de conformidad con la legislación nacional y los plazos requeridos por los pueblos indígenas y las comunidades locales;</w:t>
            </w:r>
          </w:p>
          <w:p w:rsidR="004A3C92" w:rsidRPr="00585674" w:rsidRDefault="00BD56D9" w:rsidP="004A3C92">
            <w:pPr>
              <w:suppressLineNumbers/>
              <w:suppressAutoHyphens/>
              <w:autoSpaceDE w:val="0"/>
              <w:autoSpaceDN w:val="0"/>
              <w:adjustRightInd w:val="0"/>
              <w:spacing w:before="60" w:after="60"/>
              <w:jc w:val="left"/>
              <w:rPr>
                <w:snapToGrid w:val="0"/>
                <w:kern w:val="22"/>
                <w:szCs w:val="22"/>
              </w:rPr>
            </w:pPr>
            <w:r>
              <w:rPr>
                <w:kern w:val="22"/>
              </w:rPr>
              <w:t>Fundamentado significa que se proporciona información que cubre aspectos pertinentes tales como: la finalidad prevista del acceso; su duración y ámbito; una evaluación preliminar de los efectos económicos, sociales, culturales y ambientales probables, incluidos los posibles riesgos; el personal que podría participar en la ejecución del acceso; los procedimientos que podría conllevar el acceso y acuerdos de participación en los beneficios;</w:t>
            </w:r>
          </w:p>
          <w:p w:rsidR="004A3C92" w:rsidRPr="00585674" w:rsidRDefault="00BD56D9" w:rsidP="004A3C92">
            <w:pPr>
              <w:suppressLineNumbers/>
              <w:suppressAutoHyphens/>
              <w:autoSpaceDE w:val="0"/>
              <w:autoSpaceDN w:val="0"/>
              <w:adjustRightInd w:val="0"/>
              <w:spacing w:before="60" w:after="60"/>
              <w:jc w:val="left"/>
              <w:rPr>
                <w:snapToGrid w:val="0"/>
                <w:kern w:val="22"/>
                <w:szCs w:val="22"/>
              </w:rPr>
            </w:pPr>
            <w:r>
              <w:rPr>
                <w:kern w:val="22"/>
              </w:rPr>
              <w:t xml:space="preserve">El consentimiento o la aprobación significa que los pueblos indígenas y las comunidades locales que son los </w:t>
            </w:r>
            <w:r w:rsidR="00D7074B">
              <w:rPr>
                <w:kern w:val="22"/>
              </w:rPr>
              <w:t>titulares</w:t>
            </w:r>
            <w:r>
              <w:rPr>
                <w:kern w:val="22"/>
              </w:rPr>
              <w:t xml:space="preserve"> de los conocimientos tradicionales o las autoridades competentes de dichos pueblos indígenas y comunidades locales, según proceda, acuerdan dar a un posible usuario acceso a sus conocimientos tradicionales, e incluye el derecho a no dar su consentimiento o aprobación;</w:t>
            </w:r>
          </w:p>
          <w:p w:rsidR="004A3C92" w:rsidRPr="00585674" w:rsidRDefault="00BD56D9" w:rsidP="004A3C92">
            <w:pPr>
              <w:suppressLineNumbers/>
              <w:suppressAutoHyphens/>
              <w:spacing w:before="60" w:after="60"/>
              <w:jc w:val="left"/>
              <w:rPr>
                <w:snapToGrid w:val="0"/>
                <w:kern w:val="22"/>
                <w:szCs w:val="22"/>
              </w:rPr>
            </w:pPr>
            <w:r>
              <w:rPr>
                <w:kern w:val="22"/>
              </w:rPr>
              <w:t>La participación se refiere a la participación plena y efectiva de los pueblos indígenas y las comunidades locales en los procesos de adopción de decisiones relacionadas con el acceso a sus conocimientos tradicionales. Las consultas y la participación plena y efectiva de los pueblos indígenas y las comunidades locales son componentes fundamentales de un proceso de consentimiento o aprobación</w:t>
            </w:r>
            <w:r>
              <w:rPr>
                <w:rStyle w:val="FootnoteReference"/>
                <w:snapToGrid w:val="0"/>
                <w:kern w:val="22"/>
                <w:sz w:val="22"/>
                <w:u w:val="none"/>
                <w:vertAlign w:val="superscript"/>
              </w:rPr>
              <w:footnoteReference w:id="16"/>
            </w:r>
            <w:r w:rsidR="00AC1474">
              <w:rPr>
                <w:kern w:val="22"/>
              </w:rPr>
              <w:t>.</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kern w:val="22"/>
              </w:rPr>
              <w:t>Protocolos comunitarios</w:t>
            </w:r>
          </w:p>
        </w:tc>
        <w:tc>
          <w:tcPr>
            <w:tcW w:w="6804" w:type="dxa"/>
          </w:tcPr>
          <w:p w:rsidR="004A3C92" w:rsidRPr="00585674" w:rsidRDefault="00BD56D9" w:rsidP="00481B9B">
            <w:pPr>
              <w:suppressLineNumbers/>
              <w:suppressAutoHyphens/>
              <w:autoSpaceDE w:val="0"/>
              <w:autoSpaceDN w:val="0"/>
              <w:adjustRightInd w:val="0"/>
              <w:spacing w:before="60" w:after="60"/>
              <w:jc w:val="left"/>
              <w:rPr>
                <w:snapToGrid w:val="0"/>
                <w:kern w:val="22"/>
                <w:szCs w:val="22"/>
              </w:rPr>
            </w:pPr>
            <w:r>
              <w:rPr>
                <w:kern w:val="22"/>
              </w:rPr>
              <w:t xml:space="preserve">El término abarca una amplia variedad de expresiones, reglas y prácticas generadas por las comunidades para establecer las formas </w:t>
            </w:r>
            <w:r w:rsidR="00481B9B">
              <w:rPr>
                <w:kern w:val="22"/>
              </w:rPr>
              <w:t>de relacionamiento que esperan d</w:t>
            </w:r>
            <w:r>
              <w:rPr>
                <w:kern w:val="22"/>
              </w:rPr>
              <w:t xml:space="preserve">e otros interesados directos. Pueden hacer referencia a leyes tanto consuetudinarias como nacionales o internacionales para afirmar su derecho a ser abordados de conformidad con un determinado conjunto de normas. El enunciado de información, </w:t>
            </w:r>
            <w:r w:rsidR="00481B9B">
              <w:rPr>
                <w:kern w:val="22"/>
              </w:rPr>
              <w:t>elemento</w:t>
            </w:r>
            <w:r>
              <w:rPr>
                <w:kern w:val="22"/>
              </w:rPr>
              <w:t xml:space="preserve">s pertinentes y detalles de las leyes consuetudinarias y las </w:t>
            </w:r>
            <w:r w:rsidR="00481B9B">
              <w:rPr>
                <w:kern w:val="22"/>
              </w:rPr>
              <w:t>autoridades tradicionales ayuda</w:t>
            </w:r>
            <w:r>
              <w:rPr>
                <w:kern w:val="22"/>
              </w:rPr>
              <w:t xml:space="preserve"> a otros interesados directos a comprender mejor los valores y las leyes consuetudinarias de la comunidad. Los protocolos comunitarios brindan a las comunidades una oportunidad para centrarse en sus aspiraciones de desarrollo en relación con sus derechos y para expresar, tanto para sí mismos como para los usuarios, cómo interpretan su patrimonio biocultural y, por lo tanto, sobre qué base están dispuestos a relacionarse con diversos interesados directos. </w:t>
            </w:r>
            <w:r w:rsidR="00481B9B">
              <w:rPr>
                <w:kern w:val="22"/>
              </w:rPr>
              <w:t>Si</w:t>
            </w:r>
            <w:r>
              <w:rPr>
                <w:kern w:val="22"/>
              </w:rPr>
              <w:t xml:space="preserve"> considera</w:t>
            </w:r>
            <w:r w:rsidR="00481B9B">
              <w:rPr>
                <w:kern w:val="22"/>
              </w:rPr>
              <w:t>n</w:t>
            </w:r>
            <w:r>
              <w:rPr>
                <w:kern w:val="22"/>
              </w:rPr>
              <w:t xml:space="preserve"> los vínculos entre sus derechos a la tierra, la situación socioeconómica actual, las preocupaciones ambientales, las leyes consuetudinarias y los conocimientos tradicionales, las comunidades se encuentran en mejores condiciones de determinar por sí mismas cómo negociar con diferentes actores</w:t>
            </w:r>
            <w:r>
              <w:rPr>
                <w:snapToGrid w:val="0"/>
                <w:kern w:val="22"/>
                <w:vertAlign w:val="superscript"/>
              </w:rPr>
              <w:footnoteReference w:id="17"/>
            </w:r>
            <w:r w:rsidR="00AC1474">
              <w:rPr>
                <w:kern w:val="22"/>
              </w:rPr>
              <w:t>.</w:t>
            </w:r>
          </w:p>
        </w:tc>
      </w:tr>
      <w:tr w:rsidR="004A3C92" w:rsidRPr="00585674" w:rsidTr="00CE52C9">
        <w:trPr>
          <w:cantSplit/>
        </w:trPr>
        <w:tc>
          <w:tcPr>
            <w:tcW w:w="9747" w:type="dxa"/>
            <w:gridSpan w:val="2"/>
          </w:tcPr>
          <w:p w:rsidR="004A3C92" w:rsidRPr="00585674" w:rsidRDefault="00BD56D9" w:rsidP="004A3C92">
            <w:pPr>
              <w:suppressLineNumbers/>
              <w:suppressAutoHyphens/>
              <w:spacing w:before="60" w:after="60"/>
              <w:jc w:val="center"/>
              <w:rPr>
                <w:b/>
                <w:snapToGrid w:val="0"/>
                <w:kern w:val="22"/>
                <w:szCs w:val="22"/>
              </w:rPr>
            </w:pPr>
            <w:r>
              <w:rPr>
                <w:b/>
                <w:kern w:val="22"/>
              </w:rPr>
              <w:lastRenderedPageBreak/>
              <w:t>Sección III</w:t>
            </w:r>
          </w:p>
          <w:p w:rsidR="004A3C92" w:rsidRPr="00585674" w:rsidRDefault="00BD56D9" w:rsidP="004A3C92">
            <w:pPr>
              <w:suppressLineNumbers/>
              <w:suppressAutoHyphens/>
              <w:spacing w:before="60" w:after="60"/>
              <w:jc w:val="center"/>
              <w:rPr>
                <w:snapToGrid w:val="0"/>
                <w:kern w:val="22"/>
                <w:szCs w:val="22"/>
              </w:rPr>
            </w:pPr>
            <w:r>
              <w:rPr>
                <w:b/>
                <w:kern w:val="22"/>
              </w:rPr>
              <w:t>Términos y conceptos desarrollados por el Grupo de Trabajo</w:t>
            </w:r>
            <w:r w:rsidRPr="00481B9B">
              <w:rPr>
                <w:snapToGrid w:val="0"/>
                <w:kern w:val="22"/>
                <w:vertAlign w:val="superscript"/>
              </w:rPr>
              <w:footnoteReference w:id="18"/>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b/>
                <w:kern w:val="22"/>
              </w:rPr>
              <w:t>Término o concepto</w:t>
            </w:r>
          </w:p>
        </w:tc>
        <w:tc>
          <w:tcPr>
            <w:tcW w:w="6804" w:type="dxa"/>
          </w:tcPr>
          <w:p w:rsidR="004A3C92" w:rsidRPr="00585674" w:rsidRDefault="00BD56D9" w:rsidP="004A3C92">
            <w:pPr>
              <w:suppressLineNumbers/>
              <w:suppressAutoHyphens/>
              <w:spacing w:before="60" w:after="60"/>
              <w:jc w:val="left"/>
              <w:rPr>
                <w:b/>
                <w:snapToGrid w:val="0"/>
                <w:kern w:val="22"/>
                <w:szCs w:val="22"/>
              </w:rPr>
            </w:pPr>
            <w:r>
              <w:rPr>
                <w:b/>
                <w:kern w:val="22"/>
              </w:rPr>
              <w:t>Interpretación del término o concepto en el contexto del Convenio</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kern w:val="22"/>
              </w:rPr>
              <w:t>Diversidad biocultural</w:t>
            </w:r>
          </w:p>
        </w:tc>
        <w:tc>
          <w:tcPr>
            <w:tcW w:w="6804" w:type="dxa"/>
          </w:tcPr>
          <w:p w:rsidR="004A3C92" w:rsidRPr="00585674" w:rsidRDefault="00481B9B" w:rsidP="00481B9B">
            <w:pPr>
              <w:suppressLineNumbers/>
              <w:suppressAutoHyphens/>
              <w:spacing w:before="60" w:after="60"/>
              <w:jc w:val="left"/>
              <w:rPr>
                <w:snapToGrid w:val="0"/>
                <w:kern w:val="22"/>
                <w:szCs w:val="22"/>
              </w:rPr>
            </w:pPr>
            <w:r>
              <w:t>Por</w:t>
            </w:r>
            <w:r w:rsidR="00BD56D9">
              <w:t xml:space="preserve"> </w:t>
            </w:r>
            <w:r w:rsidR="00BD56D9">
              <w:rPr>
                <w:i/>
              </w:rPr>
              <w:t>diversidad biocultural</w:t>
            </w:r>
            <w:r>
              <w:t xml:space="preserve"> se entiende</w:t>
            </w:r>
            <w:r w:rsidR="00BD56D9">
              <w:t xml:space="preserve"> </w:t>
            </w:r>
            <w:r w:rsidR="00A36DC3">
              <w:t xml:space="preserve">la </w:t>
            </w:r>
            <w:r w:rsidR="00BD56D9">
              <w:t xml:space="preserve">diversidad biológica y </w:t>
            </w:r>
            <w:r w:rsidR="00A36DC3">
              <w:t xml:space="preserve">la </w:t>
            </w:r>
            <w:r w:rsidR="00BD56D9">
              <w:t>diversidad cultural y los vínculos entre ellas.</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i/>
                <w:iCs/>
                <w:snapToGrid w:val="0"/>
                <w:kern w:val="22"/>
                <w:szCs w:val="22"/>
              </w:rPr>
            </w:pPr>
            <w:r>
              <w:rPr>
                <w:kern w:val="22"/>
              </w:rPr>
              <w:t>Patrimonio biocultural</w:t>
            </w:r>
          </w:p>
        </w:tc>
        <w:tc>
          <w:tcPr>
            <w:tcW w:w="6804" w:type="dxa"/>
          </w:tcPr>
          <w:p w:rsidR="004A3C92" w:rsidRPr="00585674" w:rsidRDefault="00BD56D9" w:rsidP="00481B9B">
            <w:pPr>
              <w:suppressLineNumbers/>
              <w:suppressAutoHyphens/>
              <w:spacing w:before="60" w:after="60"/>
              <w:jc w:val="left"/>
              <w:rPr>
                <w:bCs/>
                <w:i/>
                <w:iCs/>
                <w:strike/>
                <w:snapToGrid w:val="0"/>
                <w:kern w:val="22"/>
                <w:szCs w:val="22"/>
              </w:rPr>
            </w:pPr>
            <w:r>
              <w:t xml:space="preserve">El </w:t>
            </w:r>
            <w:r>
              <w:rPr>
                <w:i/>
                <w:kern w:val="22"/>
              </w:rPr>
              <w:t>patrimonio biocultural</w:t>
            </w:r>
            <w:r>
              <w:t xml:space="preserve"> refleja el enfoque holístico de muchos pueblos indígenas y comunidades locales.</w:t>
            </w:r>
            <w:r>
              <w:rPr>
                <w:kern w:val="22"/>
              </w:rPr>
              <w:t xml:space="preserve"> Este enfoque conceptual holístico y colectivo también reconoce que los conocimientos son </w:t>
            </w:r>
            <w:r>
              <w:rPr>
                <w:kern w:val="22"/>
                <w:cs/>
              </w:rPr>
              <w:t>“</w:t>
            </w:r>
            <w:r>
              <w:rPr>
                <w:kern w:val="22"/>
              </w:rPr>
              <w:t>patrimonio</w:t>
            </w:r>
            <w:r>
              <w:rPr>
                <w:kern w:val="22"/>
                <w:cs/>
              </w:rPr>
              <w:t>”</w:t>
            </w:r>
            <w:r>
              <w:rPr>
                <w:kern w:val="22"/>
              </w:rPr>
              <w:t xml:space="preserve">, lo cual refleja su carácter protector e intergeneracional. Los paisajes culturales inscritos en el marco de la Convención </w:t>
            </w:r>
            <w:r w:rsidR="00481B9B">
              <w:rPr>
                <w:kern w:val="22"/>
              </w:rPr>
              <w:t xml:space="preserve">sobre </w:t>
            </w:r>
            <w:r>
              <w:rPr>
                <w:kern w:val="22"/>
              </w:rPr>
              <w:t>el Patrimonio Mundial son ejemplos de patrimonio biocultural.</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kern w:val="22"/>
              </w:rPr>
              <w:t>Patrimonio cultural</w:t>
            </w:r>
          </w:p>
        </w:tc>
        <w:tc>
          <w:tcPr>
            <w:tcW w:w="6804" w:type="dxa"/>
          </w:tcPr>
          <w:p w:rsidR="004A3C92" w:rsidRPr="00F7774F" w:rsidRDefault="00BD56D9" w:rsidP="004A3C92">
            <w:pPr>
              <w:suppressLineNumbers/>
              <w:suppressAutoHyphens/>
              <w:spacing w:before="60" w:after="60"/>
              <w:jc w:val="left"/>
              <w:rPr>
                <w:snapToGrid w:val="0"/>
                <w:spacing w:val="-2"/>
                <w:kern w:val="22"/>
                <w:szCs w:val="22"/>
              </w:rPr>
            </w:pPr>
            <w:r w:rsidRPr="00F7774F">
              <w:rPr>
                <w:spacing w:val="-2"/>
                <w:kern w:val="22"/>
              </w:rPr>
              <w:t xml:space="preserve">Incluye las manifestaciones materiales (tangibles) e inmateriales (intangibles) del patrimonio cultural de los pueblos indígenas y las comunidades locales, conforme a la transmisión y herencia tradicional. El patrimonio cultural tangible comprende, sin limitación, los paisajes culturales, sitios, estructuras y restos de valor o significado arqueológico, arquitectónico, histórico, religioso, espiritual, cultural o estético y restos humanos. </w:t>
            </w:r>
            <w:r w:rsidRPr="00F7774F">
              <w:rPr>
                <w:spacing w:val="-2"/>
              </w:rPr>
              <w:t>El patrimonio cultural intangible comprende, sin limitación, los conocimientos tradicionales, como la medicina, los métodos de elaboración de alimentos y dietas tradicionales, así como la gestión de especies y ecosistemas, y las expresiones culturales tradicionales, incluidos canciones, danzas, manifestaciones artísticas, historias, creencias, relaciones y valores e historias asociados.</w:t>
            </w:r>
            <w:r w:rsidRPr="00F7774F">
              <w:rPr>
                <w:spacing w:val="-2"/>
                <w:kern w:val="22"/>
              </w:rPr>
              <w:t xml:space="preserve"> Estos constituyen, en forma oral y escrita, su historia, cosmología y cultura tradicional.</w:t>
            </w:r>
          </w:p>
          <w:p w:rsidR="004A3C92" w:rsidRPr="00585674" w:rsidRDefault="00BD56D9" w:rsidP="004A3C92">
            <w:pPr>
              <w:suppressLineNumbers/>
              <w:suppressAutoHyphens/>
              <w:spacing w:before="60" w:after="60"/>
              <w:jc w:val="left"/>
              <w:rPr>
                <w:snapToGrid w:val="0"/>
                <w:kern w:val="22"/>
                <w:szCs w:val="22"/>
              </w:rPr>
            </w:pPr>
            <w:r>
              <w:rPr>
                <w:kern w:val="22"/>
              </w:rPr>
              <w:t>El concepto también puede incluir valores patrimoniales específicos de género.</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kern w:val="22"/>
              </w:rPr>
              <w:t>Especies sagradas</w:t>
            </w:r>
          </w:p>
        </w:tc>
        <w:tc>
          <w:tcPr>
            <w:tcW w:w="6804" w:type="dxa"/>
          </w:tcPr>
          <w:p w:rsidR="004A3C92" w:rsidRPr="00585674" w:rsidRDefault="00BD56D9" w:rsidP="004A3C92">
            <w:pPr>
              <w:suppressLineNumbers/>
              <w:suppressAutoHyphens/>
              <w:spacing w:before="60" w:after="60"/>
              <w:jc w:val="left"/>
              <w:rPr>
                <w:snapToGrid w:val="0"/>
                <w:kern w:val="22"/>
                <w:szCs w:val="22"/>
              </w:rPr>
            </w:pPr>
            <w:r>
              <w:rPr>
                <w:kern w:val="22"/>
              </w:rPr>
              <w:t>Especies vegetales o animales que los pueblos indígenas y las comunidades locales consideran de particular importancia conforme a las tradiciones o costumbres en razón de su significado religioso o espiritual.</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kern w:val="22"/>
              </w:rPr>
              <w:t>Custodio tradicional</w:t>
            </w:r>
          </w:p>
        </w:tc>
        <w:tc>
          <w:tcPr>
            <w:tcW w:w="6804" w:type="dxa"/>
          </w:tcPr>
          <w:p w:rsidR="004A3C92" w:rsidRPr="00585674" w:rsidRDefault="00A36DC3" w:rsidP="0005134E">
            <w:pPr>
              <w:suppressLineNumbers/>
              <w:suppressAutoHyphens/>
              <w:spacing w:before="60" w:after="60"/>
              <w:jc w:val="left"/>
              <w:rPr>
                <w:snapToGrid w:val="0"/>
                <w:kern w:val="22"/>
                <w:szCs w:val="22"/>
              </w:rPr>
            </w:pPr>
            <w:r>
              <w:rPr>
                <w:kern w:val="22"/>
              </w:rPr>
              <w:t>El</w:t>
            </w:r>
            <w:r w:rsidR="00BD56D9">
              <w:rPr>
                <w:kern w:val="22"/>
              </w:rPr>
              <w:t xml:space="preserve"> grupo, clan o comunidad de personas o una persona a l</w:t>
            </w:r>
            <w:r w:rsidR="0005134E">
              <w:rPr>
                <w:kern w:val="22"/>
              </w:rPr>
              <w:t>a</w:t>
            </w:r>
            <w:r w:rsidR="00BD56D9">
              <w:rPr>
                <w:kern w:val="22"/>
              </w:rPr>
              <w:t xml:space="preserve"> que un grupo, clan o comunidad de personas</w:t>
            </w:r>
            <w:r w:rsidR="0005134E">
              <w:rPr>
                <w:kern w:val="22"/>
              </w:rPr>
              <w:t xml:space="preserve"> reconocen como la persona a quien se le encomienda la </w:t>
            </w:r>
            <w:r w:rsidR="00BD56D9">
              <w:rPr>
                <w:kern w:val="22"/>
              </w:rPr>
              <w:t>cu</w:t>
            </w:r>
            <w:r w:rsidR="0005134E">
              <w:rPr>
                <w:kern w:val="22"/>
              </w:rPr>
              <w:t>stod</w:t>
            </w:r>
            <w:r w:rsidR="00BD56D9">
              <w:rPr>
                <w:kern w:val="22"/>
              </w:rPr>
              <w:t xml:space="preserve">ia o protección </w:t>
            </w:r>
            <w:r w:rsidR="0005134E">
              <w:rPr>
                <w:kern w:val="22"/>
              </w:rPr>
              <w:t xml:space="preserve">de </w:t>
            </w:r>
            <w:r w:rsidR="00BD56D9">
              <w:rPr>
                <w:kern w:val="22"/>
              </w:rPr>
              <w:t xml:space="preserve">los conocimientos tradicionales y las expresiones de la cultura </w:t>
            </w:r>
            <w:r w:rsidR="0005134E">
              <w:rPr>
                <w:kern w:val="22"/>
              </w:rPr>
              <w:t xml:space="preserve">de </w:t>
            </w:r>
            <w:r w:rsidR="00BD56D9">
              <w:rPr>
                <w:kern w:val="22"/>
              </w:rPr>
              <w:t>conform</w:t>
            </w:r>
            <w:r w:rsidR="0005134E">
              <w:rPr>
                <w:kern w:val="22"/>
              </w:rPr>
              <w:t>idad con</w:t>
            </w:r>
            <w:r w:rsidR="00BD56D9">
              <w:rPr>
                <w:kern w:val="22"/>
              </w:rPr>
              <w:t xml:space="preserve"> las leyes y prácticas consuetudinarias de dicho grupo, clan o comunidad.</w:t>
            </w:r>
          </w:p>
        </w:tc>
      </w:tr>
      <w:tr w:rsidR="00BE332B" w:rsidRPr="00585674" w:rsidTr="00CE52C9">
        <w:trPr>
          <w:cantSplit/>
        </w:trPr>
        <w:tc>
          <w:tcPr>
            <w:tcW w:w="2943" w:type="dxa"/>
          </w:tcPr>
          <w:p w:rsidR="004A3C92" w:rsidRPr="00585674" w:rsidRDefault="00BD56D9">
            <w:pPr>
              <w:suppressLineNumbers/>
              <w:suppressAutoHyphens/>
              <w:spacing w:before="60" w:after="60"/>
              <w:jc w:val="left"/>
              <w:rPr>
                <w:snapToGrid w:val="0"/>
                <w:kern w:val="22"/>
                <w:szCs w:val="22"/>
              </w:rPr>
            </w:pPr>
            <w:r>
              <w:rPr>
                <w:kern w:val="22"/>
              </w:rPr>
              <w:t xml:space="preserve">Recursos biológicos tradicionales </w:t>
            </w:r>
          </w:p>
        </w:tc>
        <w:tc>
          <w:tcPr>
            <w:tcW w:w="6804" w:type="dxa"/>
          </w:tcPr>
          <w:p w:rsidR="0015140D" w:rsidRPr="00585674" w:rsidRDefault="00BD56D9" w:rsidP="0005134E">
            <w:pPr>
              <w:suppressLineNumbers/>
              <w:suppressAutoHyphens/>
              <w:spacing w:before="60" w:after="60"/>
              <w:jc w:val="left"/>
              <w:rPr>
                <w:snapToGrid w:val="0"/>
                <w:kern w:val="22"/>
                <w:szCs w:val="22"/>
              </w:rPr>
            </w:pPr>
            <w:r>
              <w:rPr>
                <w:kern w:val="22"/>
              </w:rPr>
              <w:t xml:space="preserve">Los recursos biológicos </w:t>
            </w:r>
            <w:r w:rsidR="0005134E">
              <w:rPr>
                <w:kern w:val="22"/>
              </w:rPr>
              <w:t>según se</w:t>
            </w:r>
            <w:r>
              <w:rPr>
                <w:kern w:val="22"/>
              </w:rPr>
              <w:t xml:space="preserve"> define</w:t>
            </w:r>
            <w:r w:rsidR="0005134E">
              <w:rPr>
                <w:kern w:val="22"/>
              </w:rPr>
              <w:t>n</w:t>
            </w:r>
            <w:r>
              <w:rPr>
                <w:kern w:val="22"/>
              </w:rPr>
              <w:t xml:space="preserve"> en el artículo 2 del Convenio y</w:t>
            </w:r>
            <w:r w:rsidR="0005134E">
              <w:rPr>
                <w:kern w:val="22"/>
              </w:rPr>
              <w:t xml:space="preserve"> tal</w:t>
            </w:r>
            <w:r>
              <w:rPr>
                <w:kern w:val="22"/>
              </w:rPr>
              <w:t xml:space="preserve"> como </w:t>
            </w:r>
            <w:r w:rsidR="0005134E">
              <w:rPr>
                <w:kern w:val="22"/>
              </w:rPr>
              <w:t xml:space="preserve">los </w:t>
            </w:r>
            <w:r>
              <w:rPr>
                <w:kern w:val="22"/>
              </w:rPr>
              <w:t>utilizan tradicionalmente los pueblos indígenas y las comunidades locales</w:t>
            </w:r>
            <w:r w:rsidR="0005134E">
              <w:rPr>
                <w:kern w:val="22"/>
              </w:rPr>
              <w:t>[</w:t>
            </w:r>
            <w:r>
              <w:rPr>
                <w:kern w:val="22"/>
              </w:rPr>
              <w:t>, de conformidad con la legislación nacional, según proceda</w:t>
            </w:r>
            <w:r w:rsidR="0005134E">
              <w:rPr>
                <w:kern w:val="22"/>
              </w:rPr>
              <w:t>]</w:t>
            </w:r>
            <w:r>
              <w:rPr>
                <w:kern w:val="22"/>
              </w:rPr>
              <w:t>.</w:t>
            </w:r>
          </w:p>
        </w:tc>
      </w:tr>
      <w:tr w:rsidR="00BE332B" w:rsidRPr="00585674" w:rsidTr="00CE52C9">
        <w:trPr>
          <w:cantSplit/>
        </w:trPr>
        <w:tc>
          <w:tcPr>
            <w:tcW w:w="2943" w:type="dxa"/>
          </w:tcPr>
          <w:p w:rsidR="004A3C92" w:rsidRPr="00585674" w:rsidRDefault="00BD56D9" w:rsidP="004A3C92">
            <w:pPr>
              <w:suppressLineNumbers/>
              <w:suppressAutoHyphens/>
              <w:spacing w:before="60" w:after="60"/>
              <w:jc w:val="left"/>
              <w:rPr>
                <w:snapToGrid w:val="0"/>
                <w:kern w:val="22"/>
                <w:szCs w:val="22"/>
              </w:rPr>
            </w:pPr>
            <w:r>
              <w:rPr>
                <w:kern w:val="22"/>
              </w:rPr>
              <w:t>Territorios tradicionales</w:t>
            </w:r>
          </w:p>
        </w:tc>
        <w:tc>
          <w:tcPr>
            <w:tcW w:w="6804" w:type="dxa"/>
          </w:tcPr>
          <w:p w:rsidR="004A3C92" w:rsidRPr="00585674" w:rsidRDefault="00BD56D9" w:rsidP="00F7774F">
            <w:pPr>
              <w:suppressLineNumbers/>
              <w:suppressAutoHyphens/>
              <w:spacing w:before="60" w:after="60"/>
              <w:jc w:val="left"/>
              <w:rPr>
                <w:snapToGrid w:val="0"/>
                <w:kern w:val="22"/>
                <w:szCs w:val="22"/>
              </w:rPr>
            </w:pPr>
            <w:r>
              <w:rPr>
                <w:kern w:val="22"/>
              </w:rPr>
              <w:t xml:space="preserve">Tierras y aguas </w:t>
            </w:r>
            <w:r w:rsidR="00F7774F">
              <w:rPr>
                <w:kern w:val="22"/>
              </w:rPr>
              <w:t xml:space="preserve">tradicionalmente </w:t>
            </w:r>
            <w:r>
              <w:rPr>
                <w:kern w:val="22"/>
              </w:rPr>
              <w:t>ocupadas o utilizadas por pueblos indígenas y comunidades locales</w:t>
            </w:r>
            <w:r>
              <w:rPr>
                <w:snapToGrid w:val="0"/>
                <w:kern w:val="22"/>
                <w:vertAlign w:val="superscript"/>
              </w:rPr>
              <w:footnoteReference w:id="19"/>
            </w:r>
            <w:r w:rsidR="00AC1474">
              <w:rPr>
                <w:kern w:val="22"/>
              </w:rPr>
              <w:t>.</w:t>
            </w:r>
          </w:p>
        </w:tc>
      </w:tr>
      <w:tr w:rsidR="004A3C92" w:rsidRPr="00585674" w:rsidTr="00CE52C9">
        <w:trPr>
          <w:cantSplit/>
        </w:trPr>
        <w:tc>
          <w:tcPr>
            <w:tcW w:w="9747" w:type="dxa"/>
            <w:gridSpan w:val="2"/>
          </w:tcPr>
          <w:p w:rsidR="004A3C92" w:rsidRPr="00585674" w:rsidRDefault="00BD56D9" w:rsidP="00AC1474">
            <w:pPr>
              <w:keepNext/>
              <w:suppressLineNumbers/>
              <w:suppressAutoHyphens/>
              <w:spacing w:before="60" w:after="60"/>
              <w:jc w:val="center"/>
              <w:rPr>
                <w:b/>
                <w:snapToGrid w:val="0"/>
                <w:kern w:val="22"/>
                <w:szCs w:val="22"/>
              </w:rPr>
            </w:pPr>
            <w:r>
              <w:rPr>
                <w:b/>
                <w:kern w:val="22"/>
              </w:rPr>
              <w:lastRenderedPageBreak/>
              <w:t>Sección IV.</w:t>
            </w:r>
            <w:r>
              <w:rPr>
                <w:b/>
                <w:kern w:val="22"/>
              </w:rPr>
              <w:tab/>
              <w:t>Otros términos y conceptos pertinentes</w:t>
            </w:r>
          </w:p>
        </w:tc>
      </w:tr>
      <w:tr w:rsidR="00BE332B" w:rsidRPr="00585674" w:rsidTr="00CE52C9">
        <w:trPr>
          <w:cantSplit/>
        </w:trPr>
        <w:tc>
          <w:tcPr>
            <w:tcW w:w="2943" w:type="dxa"/>
          </w:tcPr>
          <w:p w:rsidR="004A3C92" w:rsidRPr="00585674" w:rsidRDefault="00BD56D9" w:rsidP="00AC1474">
            <w:pPr>
              <w:keepNext/>
              <w:suppressLineNumbers/>
              <w:suppressAutoHyphens/>
              <w:spacing w:before="60" w:after="60"/>
              <w:jc w:val="left"/>
              <w:rPr>
                <w:snapToGrid w:val="0"/>
                <w:kern w:val="22"/>
                <w:szCs w:val="22"/>
              </w:rPr>
            </w:pPr>
            <w:r>
              <w:rPr>
                <w:b/>
                <w:kern w:val="22"/>
              </w:rPr>
              <w:t>Término o concepto</w:t>
            </w:r>
          </w:p>
        </w:tc>
        <w:tc>
          <w:tcPr>
            <w:tcW w:w="6804" w:type="dxa"/>
          </w:tcPr>
          <w:p w:rsidR="004A3C92" w:rsidRPr="00585674" w:rsidRDefault="00BD56D9" w:rsidP="00AC1474">
            <w:pPr>
              <w:keepNext/>
              <w:suppressLineNumbers/>
              <w:suppressAutoHyphens/>
              <w:spacing w:before="60" w:after="60"/>
              <w:jc w:val="left"/>
              <w:rPr>
                <w:b/>
                <w:snapToGrid w:val="0"/>
                <w:kern w:val="22"/>
                <w:szCs w:val="22"/>
              </w:rPr>
            </w:pPr>
            <w:r>
              <w:rPr>
                <w:b/>
                <w:kern w:val="22"/>
              </w:rPr>
              <w:t>Interpretación del término o concepto en el contexto del Convenio</w:t>
            </w:r>
          </w:p>
        </w:tc>
      </w:tr>
      <w:tr w:rsidR="00BE332B" w:rsidRPr="00585674" w:rsidTr="00CE52C9">
        <w:trPr>
          <w:cantSplit/>
        </w:trPr>
        <w:tc>
          <w:tcPr>
            <w:tcW w:w="2943" w:type="dxa"/>
          </w:tcPr>
          <w:p w:rsidR="004A3C92" w:rsidRPr="00585674" w:rsidRDefault="00BD56D9" w:rsidP="00504DDC">
            <w:pPr>
              <w:suppressLineNumbers/>
              <w:suppressAutoHyphens/>
              <w:spacing w:before="60" w:after="60"/>
              <w:jc w:val="left"/>
              <w:rPr>
                <w:snapToGrid w:val="0"/>
                <w:kern w:val="22"/>
                <w:szCs w:val="22"/>
              </w:rPr>
            </w:pPr>
            <w:r>
              <w:rPr>
                <w:kern w:val="22"/>
              </w:rPr>
              <w:t xml:space="preserve">Territorios y áreas </w:t>
            </w:r>
            <w:r w:rsidR="00711E4F" w:rsidRPr="00711E4F">
              <w:rPr>
                <w:kern w:val="22"/>
              </w:rPr>
              <w:t>conservados por pueblos indígenas y comunidades locales</w:t>
            </w:r>
            <w:r>
              <w:rPr>
                <w:kern w:val="22"/>
              </w:rPr>
              <w:t xml:space="preserve"> (TICCA)</w:t>
            </w:r>
          </w:p>
        </w:tc>
        <w:tc>
          <w:tcPr>
            <w:tcW w:w="6804" w:type="dxa"/>
          </w:tcPr>
          <w:p w:rsidR="004A3C92" w:rsidRPr="00585674" w:rsidRDefault="00BD56D9" w:rsidP="004A3C92">
            <w:pPr>
              <w:keepLines/>
              <w:suppressLineNumbers/>
              <w:suppressAutoHyphens/>
              <w:spacing w:before="60" w:after="60"/>
              <w:rPr>
                <w:snapToGrid w:val="0"/>
                <w:kern w:val="22"/>
                <w:szCs w:val="22"/>
              </w:rPr>
            </w:pPr>
            <w:r>
              <w:rPr>
                <w:kern w:val="22"/>
              </w:rPr>
              <w:t>L</w:t>
            </w:r>
            <w:r w:rsidR="00711E4F">
              <w:rPr>
                <w:kern w:val="22"/>
              </w:rPr>
              <w:t>o</w:t>
            </w:r>
            <w:r>
              <w:rPr>
                <w:kern w:val="22"/>
              </w:rPr>
              <w:t xml:space="preserve">s </w:t>
            </w:r>
            <w:r w:rsidR="00711E4F">
              <w:rPr>
                <w:kern w:val="22"/>
              </w:rPr>
              <w:t xml:space="preserve">territorios y </w:t>
            </w:r>
            <w:r>
              <w:rPr>
                <w:kern w:val="22"/>
              </w:rPr>
              <w:t>áreas conserva</w:t>
            </w:r>
            <w:r w:rsidR="00711E4F">
              <w:rPr>
                <w:kern w:val="22"/>
              </w:rPr>
              <w:t>dos por pueblos</w:t>
            </w:r>
            <w:r w:rsidR="00504DDC">
              <w:rPr>
                <w:kern w:val="22"/>
              </w:rPr>
              <w:t xml:space="preserve"> indígena</w:t>
            </w:r>
            <w:r w:rsidR="00711E4F">
              <w:rPr>
                <w:kern w:val="22"/>
              </w:rPr>
              <w:t>s</w:t>
            </w:r>
            <w:r w:rsidR="00504DDC">
              <w:rPr>
                <w:kern w:val="22"/>
              </w:rPr>
              <w:t xml:space="preserve"> y</w:t>
            </w:r>
            <w:r>
              <w:rPr>
                <w:kern w:val="22"/>
              </w:rPr>
              <w:t xml:space="preserve"> comuni</w:t>
            </w:r>
            <w:r w:rsidR="00711E4F">
              <w:rPr>
                <w:kern w:val="22"/>
              </w:rPr>
              <w:t>d</w:t>
            </w:r>
            <w:r>
              <w:rPr>
                <w:kern w:val="22"/>
              </w:rPr>
              <w:t>a</w:t>
            </w:r>
            <w:r w:rsidR="00711E4F">
              <w:rPr>
                <w:kern w:val="22"/>
              </w:rPr>
              <w:t>des</w:t>
            </w:r>
            <w:r>
              <w:rPr>
                <w:kern w:val="22"/>
              </w:rPr>
              <w:t xml:space="preserve"> </w:t>
            </w:r>
            <w:r w:rsidR="00711E4F">
              <w:rPr>
                <w:kern w:val="22"/>
              </w:rPr>
              <w:t xml:space="preserve">locales </w:t>
            </w:r>
            <w:r>
              <w:rPr>
                <w:kern w:val="22"/>
              </w:rPr>
              <w:t xml:space="preserve">son ecosistemas naturales o modificados que contienen </w:t>
            </w:r>
            <w:r w:rsidR="00504DDC">
              <w:rPr>
                <w:kern w:val="22"/>
              </w:rPr>
              <w:t xml:space="preserve">importantes </w:t>
            </w:r>
            <w:r>
              <w:rPr>
                <w:kern w:val="22"/>
              </w:rPr>
              <w:t xml:space="preserve">valores de biodiversidad, servicios ecológicos y valores culturales </w:t>
            </w:r>
            <w:r w:rsidR="00504DDC">
              <w:rPr>
                <w:kern w:val="22"/>
              </w:rPr>
              <w:t xml:space="preserve">y que son </w:t>
            </w:r>
            <w:r>
              <w:rPr>
                <w:kern w:val="22"/>
              </w:rPr>
              <w:t xml:space="preserve">conservados </w:t>
            </w:r>
            <w:r w:rsidR="00504DDC">
              <w:rPr>
                <w:kern w:val="22"/>
              </w:rPr>
              <w:t xml:space="preserve">voluntariamente </w:t>
            </w:r>
            <w:r>
              <w:rPr>
                <w:kern w:val="22"/>
              </w:rPr>
              <w:t>por pueblos indígenas y comunidades locales, tanto sedentarios como nómadas, mediante leyes consuetudinarias y otros medios efectivos</w:t>
            </w:r>
            <w:r>
              <w:rPr>
                <w:snapToGrid w:val="0"/>
                <w:kern w:val="22"/>
                <w:vertAlign w:val="superscript"/>
              </w:rPr>
              <w:footnoteReference w:id="20"/>
            </w:r>
            <w:r w:rsidR="00AC1474">
              <w:rPr>
                <w:kern w:val="22"/>
              </w:rPr>
              <w:t>.</w:t>
            </w:r>
          </w:p>
          <w:p w:rsidR="00991F6F" w:rsidRPr="007D30D9" w:rsidRDefault="00BD56D9" w:rsidP="00F91108">
            <w:pPr>
              <w:suppressLineNumbers/>
              <w:suppressAutoHyphens/>
              <w:spacing w:before="60" w:after="60"/>
              <w:jc w:val="left"/>
              <w:rPr>
                <w:snapToGrid w:val="0"/>
                <w:kern w:val="22"/>
                <w:szCs w:val="22"/>
              </w:rPr>
            </w:pPr>
            <w:r>
              <w:rPr>
                <w:kern w:val="22"/>
              </w:rPr>
              <w:t xml:space="preserve">Las áreas conservadas por pueblos indígenas y comunidades locales podrían </w:t>
            </w:r>
            <w:r w:rsidR="00504DDC">
              <w:rPr>
                <w:kern w:val="22"/>
              </w:rPr>
              <w:t xml:space="preserve">potencialmente ser </w:t>
            </w:r>
            <w:r>
              <w:rPr>
                <w:kern w:val="22"/>
              </w:rPr>
              <w:t>reconoc</w:t>
            </w:r>
            <w:r w:rsidR="00504DDC">
              <w:rPr>
                <w:kern w:val="22"/>
              </w:rPr>
              <w:t>idas</w:t>
            </w:r>
            <w:r>
              <w:rPr>
                <w:kern w:val="22"/>
              </w:rPr>
              <w:t xml:space="preserve"> como áreas protegidas o conservadas, suje</w:t>
            </w:r>
            <w:r w:rsidR="00504DDC">
              <w:rPr>
                <w:kern w:val="22"/>
              </w:rPr>
              <w:t>to</w:t>
            </w:r>
            <w:r>
              <w:rPr>
                <w:kern w:val="22"/>
              </w:rPr>
              <w:t xml:space="preserve"> a su </w:t>
            </w:r>
            <w:r>
              <w:rPr>
                <w:kern w:val="22"/>
                <w:cs/>
              </w:rPr>
              <w:t>“</w:t>
            </w:r>
            <w:r>
              <w:rPr>
                <w:kern w:val="22"/>
              </w:rPr>
              <w:t xml:space="preserve">consentimiento </w:t>
            </w:r>
            <w:r w:rsidR="00F91108">
              <w:rPr>
                <w:kern w:val="22"/>
              </w:rPr>
              <w:t xml:space="preserve">previo y </w:t>
            </w:r>
            <w:r>
              <w:rPr>
                <w:kern w:val="22"/>
              </w:rPr>
              <w:t>fundamentado</w:t>
            </w:r>
            <w:r>
              <w:rPr>
                <w:kern w:val="22"/>
                <w:cs/>
              </w:rPr>
              <w:t xml:space="preserve">” </w:t>
            </w:r>
            <w:r>
              <w:rPr>
                <w:kern w:val="22"/>
              </w:rPr>
              <w:t xml:space="preserve">o </w:t>
            </w:r>
            <w:r>
              <w:rPr>
                <w:kern w:val="22"/>
                <w:cs/>
              </w:rPr>
              <w:t>“</w:t>
            </w:r>
            <w:r>
              <w:rPr>
                <w:kern w:val="22"/>
              </w:rPr>
              <w:t>consentimiento libre, previo y fundamentado</w:t>
            </w:r>
            <w:r>
              <w:rPr>
                <w:kern w:val="22"/>
                <w:cs/>
              </w:rPr>
              <w:t xml:space="preserve">” </w:t>
            </w:r>
            <w:r>
              <w:rPr>
                <w:kern w:val="22"/>
              </w:rPr>
              <w:t xml:space="preserve">o </w:t>
            </w:r>
            <w:r>
              <w:rPr>
                <w:kern w:val="22"/>
                <w:cs/>
              </w:rPr>
              <w:t>“</w:t>
            </w:r>
            <w:r>
              <w:rPr>
                <w:kern w:val="22"/>
              </w:rPr>
              <w:t>aprobación y participación</w:t>
            </w:r>
            <w:r>
              <w:rPr>
                <w:kern w:val="22"/>
                <w:cs/>
              </w:rPr>
              <w:t xml:space="preserve">” </w:t>
            </w:r>
            <w:r>
              <w:rPr>
                <w:kern w:val="22"/>
              </w:rPr>
              <w:t>o solicitud</w:t>
            </w:r>
            <w:r w:rsidR="00504DDC">
              <w:rPr>
                <w:kern w:val="22"/>
              </w:rPr>
              <w:t xml:space="preserve">, según </w:t>
            </w:r>
            <w:r>
              <w:rPr>
                <w:kern w:val="22"/>
              </w:rPr>
              <w:t>las circunstancias nacionales.</w:t>
            </w:r>
          </w:p>
        </w:tc>
      </w:tr>
    </w:tbl>
    <w:p w:rsidR="000F73BA" w:rsidRPr="00585674" w:rsidRDefault="000F73BA" w:rsidP="001D046A">
      <w:pPr>
        <w:jc w:val="center"/>
        <w:rPr>
          <w:snapToGrid w:val="0"/>
          <w:kern w:val="22"/>
          <w:szCs w:val="22"/>
        </w:rPr>
      </w:pPr>
    </w:p>
    <w:p w:rsidR="00CE0CD6" w:rsidRPr="00585674" w:rsidRDefault="00BD56D9" w:rsidP="001D046A">
      <w:pPr>
        <w:jc w:val="center"/>
        <w:rPr>
          <w:snapToGrid w:val="0"/>
          <w:kern w:val="22"/>
          <w:szCs w:val="22"/>
        </w:rPr>
      </w:pPr>
      <w:r>
        <w:rPr>
          <w:kern w:val="22"/>
        </w:rPr>
        <w:t>__________</w:t>
      </w:r>
    </w:p>
    <w:p w:rsidR="00736BC2" w:rsidRPr="00585674" w:rsidRDefault="00736BC2" w:rsidP="006507F2">
      <w:pPr>
        <w:rPr>
          <w:kern w:val="22"/>
        </w:rPr>
      </w:pPr>
    </w:p>
    <w:sectPr w:rsidR="00736BC2" w:rsidRPr="00585674" w:rsidSect="001D046A">
      <w:headerReference w:type="even" r:id="rId12"/>
      <w:headerReference w:type="default" r:id="rId13"/>
      <w:pgSz w:w="12240" w:h="15840" w:code="1"/>
      <w:pgMar w:top="1021" w:right="1440" w:bottom="1134" w:left="1440" w:header="454"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7BD" w:rsidRDefault="007B27BD">
      <w:r>
        <w:separator/>
      </w:r>
    </w:p>
  </w:endnote>
  <w:endnote w:type="continuationSeparator" w:id="0">
    <w:p w:rsidR="007B27BD" w:rsidRDefault="007B2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7BD" w:rsidRDefault="007B27BD">
      <w:r>
        <w:separator/>
      </w:r>
    </w:p>
  </w:footnote>
  <w:footnote w:type="continuationSeparator" w:id="0">
    <w:p w:rsidR="007B27BD" w:rsidRDefault="007B27BD">
      <w:r>
        <w:continuationSeparator/>
      </w:r>
    </w:p>
  </w:footnote>
  <w:footnote w:id="1">
    <w:p w:rsidR="0028101F" w:rsidRDefault="00BD56D9" w:rsidP="008B49CE">
      <w:pPr>
        <w:pStyle w:val="FootnoteText"/>
        <w:ind w:firstLine="0"/>
      </w:pPr>
      <w:r>
        <w:rPr>
          <w:rStyle w:val="FootnoteReference"/>
          <w:u w:val="none"/>
          <w:vertAlign w:val="superscript"/>
        </w:rPr>
        <w:footnoteRef/>
      </w:r>
      <w:r>
        <w:t xml:space="preserve"> Naciones Unidas, </w:t>
      </w:r>
      <w:r>
        <w:rPr>
          <w:i/>
        </w:rPr>
        <w:t>Treaty Series</w:t>
      </w:r>
      <w:r>
        <w:t xml:space="preserve">, vol. 1155, </w:t>
      </w:r>
      <w:r w:rsidR="006573CD">
        <w:t>n</w:t>
      </w:r>
      <w:r>
        <w:t>úm. 18232.</w:t>
      </w:r>
    </w:p>
  </w:footnote>
  <w:footnote w:id="2">
    <w:p w:rsidR="0028101F" w:rsidRDefault="00BD56D9" w:rsidP="008B49CE">
      <w:pPr>
        <w:pStyle w:val="FootnoteText"/>
        <w:keepLines w:val="0"/>
        <w:suppressLineNumbers/>
        <w:suppressAutoHyphens/>
        <w:autoSpaceDE w:val="0"/>
        <w:autoSpaceDN w:val="0"/>
        <w:ind w:firstLine="0"/>
        <w:jc w:val="left"/>
      </w:pPr>
      <w:r>
        <w:rPr>
          <w:rStyle w:val="FootnoteReference"/>
          <w:kern w:val="18"/>
          <w:u w:val="none"/>
          <w:vertAlign w:val="superscript"/>
        </w:rPr>
        <w:footnoteRef/>
      </w:r>
      <w:r>
        <w:rPr>
          <w:kern w:val="18"/>
        </w:rPr>
        <w:t xml:space="preserve"> </w:t>
      </w:r>
      <w:r w:rsidR="00426E9A">
        <w:rPr>
          <w:kern w:val="18"/>
        </w:rPr>
        <w:t>T</w:t>
      </w:r>
      <w:r w:rsidR="00F23E04">
        <w:rPr>
          <w:kern w:val="18"/>
        </w:rPr>
        <w:t>om</w:t>
      </w:r>
      <w:r>
        <w:rPr>
          <w:kern w:val="18"/>
        </w:rPr>
        <w:t>ad</w:t>
      </w:r>
      <w:r w:rsidR="008B49CE">
        <w:rPr>
          <w:kern w:val="18"/>
        </w:rPr>
        <w:t>a</w:t>
      </w:r>
      <w:r>
        <w:rPr>
          <w:kern w:val="18"/>
        </w:rPr>
        <w:t xml:space="preserve"> del artículo 8 j) y </w:t>
      </w:r>
      <w:r w:rsidR="00F23E04">
        <w:rPr>
          <w:kern w:val="18"/>
        </w:rPr>
        <w:t>ratificad</w:t>
      </w:r>
      <w:r w:rsidR="008B49CE">
        <w:rPr>
          <w:kern w:val="18"/>
        </w:rPr>
        <w:t>a</w:t>
      </w:r>
      <w:r>
        <w:rPr>
          <w:kern w:val="18"/>
        </w:rPr>
        <w:t xml:space="preserve"> en el párrafo 6 h) del anexo de la </w:t>
      </w:r>
      <w:hyperlink r:id="rId1" w:history="1">
        <w:r>
          <w:rPr>
            <w:rStyle w:val="Hyperlink"/>
            <w:kern w:val="18"/>
          </w:rPr>
          <w:t>decisión VII/16</w:t>
        </w:r>
      </w:hyperlink>
      <w:r>
        <w:rPr>
          <w:kern w:val="18"/>
        </w:rPr>
        <w:t> F sobre las Directrices Akwé: Kon.</w:t>
      </w:r>
    </w:p>
  </w:footnote>
  <w:footnote w:id="3">
    <w:p w:rsidR="0028101F" w:rsidRDefault="00BD56D9" w:rsidP="008B49CE">
      <w:pPr>
        <w:pStyle w:val="FootnoteText"/>
        <w:keepLines w:val="0"/>
        <w:suppressLineNumbers/>
        <w:suppressAutoHyphens/>
        <w:autoSpaceDE w:val="0"/>
        <w:autoSpaceDN w:val="0"/>
        <w:ind w:firstLine="0"/>
        <w:jc w:val="left"/>
      </w:pPr>
      <w:r>
        <w:rPr>
          <w:rStyle w:val="FootnoteReference"/>
          <w:kern w:val="18"/>
          <w:u w:val="none"/>
          <w:vertAlign w:val="superscript"/>
        </w:rPr>
        <w:footnoteRef/>
      </w:r>
      <w:r>
        <w:rPr>
          <w:kern w:val="18"/>
        </w:rPr>
        <w:t xml:space="preserve"> </w:t>
      </w:r>
      <w:r w:rsidR="00F23E04">
        <w:rPr>
          <w:kern w:val="18"/>
        </w:rPr>
        <w:t>Tom</w:t>
      </w:r>
      <w:r>
        <w:rPr>
          <w:kern w:val="18"/>
        </w:rPr>
        <w:t>ad</w:t>
      </w:r>
      <w:r w:rsidR="008B49CE">
        <w:rPr>
          <w:kern w:val="18"/>
        </w:rPr>
        <w:t>a</w:t>
      </w:r>
      <w:r>
        <w:rPr>
          <w:kern w:val="18"/>
        </w:rPr>
        <w:t xml:space="preserve"> del artículo 10 c).</w:t>
      </w:r>
    </w:p>
  </w:footnote>
  <w:footnote w:id="4">
    <w:p w:rsidR="0028101F" w:rsidRDefault="00BD56D9" w:rsidP="008B49CE">
      <w:pPr>
        <w:pStyle w:val="recommendationheader"/>
        <w:keepNext w:val="0"/>
        <w:suppressLineNumbers/>
        <w:suppressAutoHyphens/>
        <w:autoSpaceDE w:val="0"/>
        <w:autoSpaceDN w:val="0"/>
        <w:spacing w:before="0" w:after="60"/>
        <w:jc w:val="left"/>
      </w:pPr>
      <w:r>
        <w:rPr>
          <w:rStyle w:val="FootnoteReference"/>
          <w:b w:val="0"/>
          <w:i w:val="0"/>
          <w:kern w:val="18"/>
          <w:u w:val="none"/>
          <w:vertAlign w:val="superscript"/>
        </w:rPr>
        <w:footnoteRef/>
      </w:r>
      <w:r>
        <w:rPr>
          <w:b w:val="0"/>
          <w:kern w:val="18"/>
          <w:sz w:val="18"/>
        </w:rPr>
        <w:t xml:space="preserve"> </w:t>
      </w:r>
      <w:r>
        <w:rPr>
          <w:b w:val="0"/>
          <w:i w:val="0"/>
          <w:kern w:val="18"/>
          <w:sz w:val="18"/>
        </w:rPr>
        <w:t xml:space="preserve">En </w:t>
      </w:r>
      <w:r w:rsidR="00D55BC3">
        <w:rPr>
          <w:b w:val="0"/>
          <w:i w:val="0"/>
          <w:kern w:val="18"/>
          <w:sz w:val="18"/>
        </w:rPr>
        <w:t>su</w:t>
      </w:r>
      <w:r w:rsidR="00F23E04">
        <w:rPr>
          <w:b w:val="0"/>
          <w:i w:val="0"/>
          <w:kern w:val="18"/>
          <w:sz w:val="18"/>
        </w:rPr>
        <w:t xml:space="preserve"> </w:t>
      </w:r>
      <w:hyperlink r:id="rId2" w:history="1">
        <w:r>
          <w:rPr>
            <w:rStyle w:val="Hyperlink"/>
            <w:b w:val="0"/>
            <w:i w:val="0"/>
            <w:kern w:val="18"/>
            <w:sz w:val="18"/>
          </w:rPr>
          <w:t>decisión XII/12</w:t>
        </w:r>
      </w:hyperlink>
      <w:r>
        <w:rPr>
          <w:b w:val="0"/>
          <w:i w:val="0"/>
          <w:kern w:val="18"/>
          <w:sz w:val="18"/>
        </w:rPr>
        <w:t xml:space="preserve"> F, </w:t>
      </w:r>
      <w:r w:rsidRPr="008B49CE">
        <w:rPr>
          <w:b w:val="0"/>
          <w:bCs w:val="0"/>
          <w:i w:val="0"/>
          <w:iCs w:val="0"/>
          <w:kern w:val="18"/>
          <w:sz w:val="18"/>
        </w:rPr>
        <w:t xml:space="preserve">la Conferencia de las Partes decidió utilizar el término </w:t>
      </w:r>
      <w:r w:rsidRPr="008B49CE">
        <w:rPr>
          <w:b w:val="0"/>
          <w:bCs w:val="0"/>
          <w:i w:val="0"/>
          <w:iCs w:val="0"/>
          <w:kern w:val="18"/>
          <w:sz w:val="18"/>
          <w:cs/>
        </w:rPr>
        <w:t>“</w:t>
      </w:r>
      <w:r w:rsidRPr="008B49CE">
        <w:rPr>
          <w:b w:val="0"/>
          <w:bCs w:val="0"/>
          <w:i w:val="0"/>
          <w:iCs w:val="0"/>
          <w:kern w:val="18"/>
          <w:sz w:val="18"/>
        </w:rPr>
        <w:t>pueblos indígenas y comunidades locales</w:t>
      </w:r>
      <w:r w:rsidRPr="008B49CE">
        <w:rPr>
          <w:b w:val="0"/>
          <w:bCs w:val="0"/>
          <w:i w:val="0"/>
          <w:iCs w:val="0"/>
          <w:kern w:val="18"/>
          <w:sz w:val="18"/>
          <w:cs/>
        </w:rPr>
        <w:t xml:space="preserve">” </w:t>
      </w:r>
      <w:r w:rsidRPr="008B49CE">
        <w:rPr>
          <w:b w:val="0"/>
          <w:bCs w:val="0"/>
          <w:i w:val="0"/>
          <w:iCs w:val="0"/>
          <w:kern w:val="18"/>
          <w:sz w:val="18"/>
        </w:rPr>
        <w:t xml:space="preserve">en las decisiones </w:t>
      </w:r>
      <w:r w:rsidR="00966444">
        <w:rPr>
          <w:b w:val="0"/>
          <w:bCs w:val="0"/>
          <w:i w:val="0"/>
          <w:iCs w:val="0"/>
          <w:kern w:val="18"/>
          <w:sz w:val="18"/>
        </w:rPr>
        <w:t xml:space="preserve">que se </w:t>
      </w:r>
      <w:r w:rsidR="00D55BC3">
        <w:rPr>
          <w:b w:val="0"/>
          <w:bCs w:val="0"/>
          <w:i w:val="0"/>
          <w:iCs w:val="0"/>
          <w:kern w:val="18"/>
          <w:sz w:val="18"/>
        </w:rPr>
        <w:t>adopta</w:t>
      </w:r>
      <w:r w:rsidR="00966444">
        <w:rPr>
          <w:b w:val="0"/>
          <w:bCs w:val="0"/>
          <w:i w:val="0"/>
          <w:iCs w:val="0"/>
          <w:kern w:val="18"/>
          <w:sz w:val="18"/>
        </w:rPr>
        <w:t>ran de ahí en más</w:t>
      </w:r>
      <w:r w:rsidR="00D55BC3">
        <w:rPr>
          <w:b w:val="0"/>
          <w:bCs w:val="0"/>
          <w:i w:val="0"/>
          <w:iCs w:val="0"/>
          <w:kern w:val="18"/>
          <w:sz w:val="18"/>
        </w:rPr>
        <w:t xml:space="preserve"> en el marco</w:t>
      </w:r>
      <w:r w:rsidRPr="008B49CE">
        <w:rPr>
          <w:b w:val="0"/>
          <w:bCs w:val="0"/>
          <w:i w:val="0"/>
          <w:iCs w:val="0"/>
          <w:kern w:val="18"/>
          <w:sz w:val="18"/>
        </w:rPr>
        <w:t xml:space="preserve"> del Convenio, sin que ello afect</w:t>
      </w:r>
      <w:r w:rsidR="00966444">
        <w:rPr>
          <w:b w:val="0"/>
          <w:bCs w:val="0"/>
          <w:i w:val="0"/>
          <w:iCs w:val="0"/>
          <w:kern w:val="18"/>
          <w:sz w:val="18"/>
        </w:rPr>
        <w:t>ara</w:t>
      </w:r>
      <w:r w:rsidRPr="008B49CE">
        <w:rPr>
          <w:b w:val="0"/>
          <w:bCs w:val="0"/>
          <w:i w:val="0"/>
          <w:iCs w:val="0"/>
          <w:kern w:val="18"/>
          <w:sz w:val="18"/>
        </w:rPr>
        <w:t xml:space="preserve">, en modo alguno, el significado jurídico </w:t>
      </w:r>
      <w:r w:rsidR="00D55BC3">
        <w:rPr>
          <w:b w:val="0"/>
          <w:bCs w:val="0"/>
          <w:i w:val="0"/>
          <w:iCs w:val="0"/>
          <w:kern w:val="18"/>
          <w:sz w:val="18"/>
        </w:rPr>
        <w:t xml:space="preserve">que se recoge en </w:t>
      </w:r>
      <w:r w:rsidRPr="008B49CE">
        <w:rPr>
          <w:b w:val="0"/>
          <w:bCs w:val="0"/>
          <w:i w:val="0"/>
          <w:iCs w:val="0"/>
          <w:kern w:val="18"/>
          <w:sz w:val="18"/>
        </w:rPr>
        <w:t xml:space="preserve">el artículo 8 j) y </w:t>
      </w:r>
      <w:r w:rsidR="00D55BC3">
        <w:rPr>
          <w:b w:val="0"/>
          <w:bCs w:val="0"/>
          <w:i w:val="0"/>
          <w:iCs w:val="0"/>
          <w:kern w:val="18"/>
          <w:sz w:val="18"/>
        </w:rPr>
        <w:t xml:space="preserve">en las </w:t>
      </w:r>
      <w:r w:rsidRPr="008B49CE">
        <w:rPr>
          <w:b w:val="0"/>
          <w:bCs w:val="0"/>
          <w:i w:val="0"/>
          <w:iCs w:val="0"/>
          <w:kern w:val="18"/>
          <w:sz w:val="18"/>
        </w:rPr>
        <w:t xml:space="preserve">disposiciones conexas del Convenio. Posteriormente, </w:t>
      </w:r>
      <w:r w:rsidR="00D55BC3" w:rsidRPr="008B49CE">
        <w:rPr>
          <w:b w:val="0"/>
          <w:bCs w:val="0"/>
          <w:i w:val="0"/>
          <w:iCs w:val="0"/>
          <w:kern w:val="18"/>
          <w:sz w:val="18"/>
        </w:rPr>
        <w:t>en diciembre de 2016</w:t>
      </w:r>
      <w:r w:rsidR="00D55BC3">
        <w:rPr>
          <w:b w:val="0"/>
          <w:bCs w:val="0"/>
          <w:i w:val="0"/>
          <w:iCs w:val="0"/>
          <w:kern w:val="18"/>
          <w:sz w:val="18"/>
        </w:rPr>
        <w:t xml:space="preserve">, </w:t>
      </w:r>
      <w:r w:rsidRPr="008B49CE">
        <w:rPr>
          <w:b w:val="0"/>
          <w:bCs w:val="0"/>
          <w:i w:val="0"/>
          <w:iCs w:val="0"/>
          <w:kern w:val="18"/>
          <w:sz w:val="18"/>
        </w:rPr>
        <w:t xml:space="preserve">las Partes en los Protocolos de Cartagena y </w:t>
      </w:r>
      <w:r w:rsidR="00D55BC3">
        <w:rPr>
          <w:b w:val="0"/>
          <w:bCs w:val="0"/>
          <w:i w:val="0"/>
          <w:iCs w:val="0"/>
          <w:kern w:val="18"/>
          <w:sz w:val="18"/>
        </w:rPr>
        <w:t xml:space="preserve">de </w:t>
      </w:r>
      <w:r w:rsidRPr="008B49CE">
        <w:rPr>
          <w:b w:val="0"/>
          <w:bCs w:val="0"/>
          <w:i w:val="0"/>
          <w:iCs w:val="0"/>
          <w:kern w:val="18"/>
          <w:sz w:val="18"/>
        </w:rPr>
        <w:t xml:space="preserve">Nagoya adoptaron decisiones similares, </w:t>
      </w:r>
      <w:r w:rsidR="00D55BC3">
        <w:rPr>
          <w:b w:val="0"/>
          <w:bCs w:val="0"/>
          <w:i w:val="0"/>
          <w:iCs w:val="0"/>
          <w:kern w:val="18"/>
          <w:sz w:val="18"/>
        </w:rPr>
        <w:t xml:space="preserve">a saber </w:t>
      </w:r>
      <w:r w:rsidRPr="008B49CE">
        <w:rPr>
          <w:b w:val="0"/>
          <w:bCs w:val="0"/>
          <w:i w:val="0"/>
          <w:iCs w:val="0"/>
          <w:kern w:val="18"/>
          <w:sz w:val="18"/>
        </w:rPr>
        <w:t>las decisiones</w:t>
      </w:r>
      <w:r>
        <w:rPr>
          <w:b w:val="0"/>
          <w:i w:val="0"/>
          <w:kern w:val="18"/>
          <w:sz w:val="18"/>
        </w:rPr>
        <w:t> </w:t>
      </w:r>
      <w:hyperlink r:id="rId3" w:history="1">
        <w:r>
          <w:rPr>
            <w:rStyle w:val="Hyperlink"/>
            <w:b w:val="0"/>
            <w:i w:val="0"/>
            <w:kern w:val="18"/>
            <w:sz w:val="18"/>
          </w:rPr>
          <w:t>BS-VIII/19</w:t>
        </w:r>
      </w:hyperlink>
      <w:r>
        <w:rPr>
          <w:b w:val="0"/>
          <w:i w:val="0"/>
          <w:kern w:val="18"/>
          <w:sz w:val="18"/>
        </w:rPr>
        <w:t xml:space="preserve">, y </w:t>
      </w:r>
      <w:hyperlink r:id="rId4" w:history="1">
        <w:r>
          <w:rPr>
            <w:rStyle w:val="Hyperlink"/>
            <w:b w:val="0"/>
            <w:i w:val="0"/>
            <w:kern w:val="18"/>
            <w:sz w:val="18"/>
          </w:rPr>
          <w:t>NP-2/7</w:t>
        </w:r>
      </w:hyperlink>
      <w:r>
        <w:rPr>
          <w:b w:val="0"/>
          <w:i w:val="0"/>
          <w:kern w:val="18"/>
          <w:sz w:val="18"/>
        </w:rPr>
        <w:t>, respectivamente.</w:t>
      </w:r>
    </w:p>
  </w:footnote>
  <w:footnote w:id="5">
    <w:p w:rsidR="0028101F" w:rsidRDefault="00BD56D9" w:rsidP="008B49CE">
      <w:pPr>
        <w:suppressLineNumbers/>
        <w:suppressAutoHyphens/>
        <w:autoSpaceDE w:val="0"/>
        <w:autoSpaceDN w:val="0"/>
        <w:spacing w:after="60"/>
        <w:jc w:val="left"/>
      </w:pPr>
      <w:r>
        <w:rPr>
          <w:rStyle w:val="FootnoteReference"/>
          <w:kern w:val="18"/>
          <w:u w:val="none"/>
          <w:vertAlign w:val="superscript"/>
        </w:rPr>
        <w:footnoteRef/>
      </w:r>
      <w:r>
        <w:rPr>
          <w:kern w:val="18"/>
          <w:sz w:val="18"/>
        </w:rPr>
        <w:t xml:space="preserve"> Nota: En la </w:t>
      </w:r>
      <w:hyperlink r:id="rId5" w:history="1">
        <w:r>
          <w:rPr>
            <w:rStyle w:val="Hyperlink"/>
            <w:kern w:val="18"/>
            <w:sz w:val="18"/>
          </w:rPr>
          <w:t>Declaración de las Naciones Unidas sobre los Derechos de los Pueblos Indígenas</w:t>
        </w:r>
      </w:hyperlink>
      <w:r>
        <w:rPr>
          <w:kern w:val="18"/>
          <w:sz w:val="18"/>
        </w:rPr>
        <w:t xml:space="preserve"> no se adopta una definición universal para </w:t>
      </w:r>
      <w:r w:rsidR="00455047">
        <w:rPr>
          <w:kern w:val="18"/>
          <w:sz w:val="18"/>
        </w:rPr>
        <w:t xml:space="preserve">el término </w:t>
      </w:r>
      <w:r>
        <w:rPr>
          <w:kern w:val="18"/>
          <w:sz w:val="18"/>
          <w:cs/>
        </w:rPr>
        <w:t>“</w:t>
      </w:r>
      <w:r>
        <w:rPr>
          <w:kern w:val="18"/>
          <w:sz w:val="18"/>
        </w:rPr>
        <w:t>pueblos indígenas</w:t>
      </w:r>
      <w:r>
        <w:rPr>
          <w:kern w:val="18"/>
          <w:sz w:val="18"/>
          <w:cs/>
        </w:rPr>
        <w:t>”</w:t>
      </w:r>
      <w:r>
        <w:rPr>
          <w:kern w:val="18"/>
          <w:sz w:val="18"/>
        </w:rPr>
        <w:t xml:space="preserve">, por lo tanto, no se recomienda una definición. No obstante, el Foro Permanente de las Naciones Unidas para las Cuestiones Indígenas, </w:t>
      </w:r>
      <w:r w:rsidR="00455047">
        <w:rPr>
          <w:kern w:val="18"/>
          <w:sz w:val="18"/>
        </w:rPr>
        <w:t>en calidad de</w:t>
      </w:r>
      <w:r>
        <w:rPr>
          <w:kern w:val="18"/>
          <w:sz w:val="18"/>
        </w:rPr>
        <w:t xml:space="preserve"> órgano de expertos, </w:t>
      </w:r>
      <w:r w:rsidR="00455047">
        <w:rPr>
          <w:kern w:val="18"/>
          <w:sz w:val="18"/>
        </w:rPr>
        <w:t xml:space="preserve">brinda </w:t>
      </w:r>
      <w:r>
        <w:rPr>
          <w:kern w:val="18"/>
          <w:sz w:val="18"/>
        </w:rPr>
        <w:t xml:space="preserve">asesoramiento sobre el </w:t>
      </w:r>
      <w:r>
        <w:rPr>
          <w:kern w:val="18"/>
          <w:sz w:val="18"/>
          <w:cs/>
        </w:rPr>
        <w:t>“</w:t>
      </w:r>
      <w:r>
        <w:rPr>
          <w:kern w:val="18"/>
          <w:sz w:val="18"/>
        </w:rPr>
        <w:t>concepto de pueblos indígenas</w:t>
      </w:r>
      <w:r>
        <w:rPr>
          <w:kern w:val="18"/>
          <w:sz w:val="18"/>
          <w:cs/>
        </w:rPr>
        <w:t xml:space="preserve">” </w:t>
      </w:r>
      <w:r>
        <w:rPr>
          <w:kern w:val="18"/>
          <w:sz w:val="18"/>
        </w:rPr>
        <w:t xml:space="preserve">haciendo referencia al informe del Relator Especial, Sr. José Martínez Cobo, sobre el estudio del problema de la discriminación contra las poblaciones indígenas (E/CN.4/Sub.2/1982/2/Add.6), </w:t>
      </w:r>
      <w:r w:rsidR="00455047">
        <w:rPr>
          <w:kern w:val="18"/>
          <w:sz w:val="18"/>
        </w:rPr>
        <w:t xml:space="preserve">que está </w:t>
      </w:r>
      <w:r>
        <w:rPr>
          <w:kern w:val="18"/>
          <w:sz w:val="18"/>
        </w:rPr>
        <w:t>disponible en</w:t>
      </w:r>
      <w:r w:rsidR="00455047">
        <w:rPr>
          <w:kern w:val="18"/>
          <w:sz w:val="18"/>
        </w:rPr>
        <w:t xml:space="preserve"> inglés en</w:t>
      </w:r>
      <w:r>
        <w:rPr>
          <w:kern w:val="18"/>
          <w:sz w:val="18"/>
        </w:rPr>
        <w:t xml:space="preserve">: </w:t>
      </w:r>
      <w:hyperlink r:id="rId6" w:history="1">
        <w:r w:rsidR="0022640D">
          <w:rPr>
            <w:rStyle w:val="Hyperlink"/>
            <w:kern w:val="18"/>
            <w:sz w:val="18"/>
          </w:rPr>
          <w:t>http://www.un.org/esa/socdev/unpfii/documents/MCS_v_en.pdf</w:t>
        </w:r>
      </w:hyperlink>
      <w:r w:rsidR="0022640D">
        <w:rPr>
          <w:kern w:val="18"/>
          <w:sz w:val="18"/>
        </w:rPr>
        <w:t>.</w:t>
      </w:r>
    </w:p>
  </w:footnote>
  <w:footnote w:id="6">
    <w:p w:rsidR="0028101F" w:rsidRDefault="00BD56D9" w:rsidP="008B49CE">
      <w:pPr>
        <w:pStyle w:val="FootnoteText"/>
        <w:keepLines w:val="0"/>
        <w:suppressLineNumbers/>
        <w:tabs>
          <w:tab w:val="left" w:pos="-900"/>
        </w:tabs>
        <w:suppressAutoHyphens/>
        <w:autoSpaceDE w:val="0"/>
        <w:autoSpaceDN w:val="0"/>
        <w:ind w:firstLine="0"/>
        <w:jc w:val="left"/>
      </w:pPr>
      <w:r>
        <w:rPr>
          <w:rStyle w:val="FootnoteReference"/>
          <w:kern w:val="18"/>
          <w:u w:val="none"/>
          <w:vertAlign w:val="superscript"/>
        </w:rPr>
        <w:footnoteRef/>
      </w:r>
      <w:r>
        <w:rPr>
          <w:kern w:val="18"/>
        </w:rPr>
        <w:t xml:space="preserve"> </w:t>
      </w:r>
      <w:r w:rsidR="00966444">
        <w:rPr>
          <w:kern w:val="18"/>
        </w:rPr>
        <w:t>Se brinda asesoramiento en materia de comunidades locales e</w:t>
      </w:r>
      <w:r>
        <w:rPr>
          <w:kern w:val="18"/>
        </w:rPr>
        <w:t>n los párrafos 17</w:t>
      </w:r>
      <w:r w:rsidR="004C1EEE">
        <w:rPr>
          <w:kern w:val="18"/>
        </w:rPr>
        <w:t xml:space="preserve"> a </w:t>
      </w:r>
      <w:r>
        <w:rPr>
          <w:kern w:val="18"/>
        </w:rPr>
        <w:t xml:space="preserve">21 de la decisión </w:t>
      </w:r>
      <w:r w:rsidR="004C1EEE">
        <w:rPr>
          <w:kern w:val="18"/>
        </w:rPr>
        <w:t>XI/14</w:t>
      </w:r>
      <w:r w:rsidR="00966444">
        <w:rPr>
          <w:kern w:val="18"/>
        </w:rPr>
        <w:t xml:space="preserve"> B,</w:t>
      </w:r>
      <w:r w:rsidR="004C1EEE">
        <w:rPr>
          <w:kern w:val="18"/>
        </w:rPr>
        <w:t xml:space="preserve"> re</w:t>
      </w:r>
      <w:r w:rsidR="00966444">
        <w:rPr>
          <w:kern w:val="18"/>
        </w:rPr>
        <w:t>feridos a</w:t>
      </w:r>
      <w:r w:rsidR="004C1EEE">
        <w:rPr>
          <w:kern w:val="18"/>
        </w:rPr>
        <w:t xml:space="preserve"> comunidades locales</w:t>
      </w:r>
      <w:r w:rsidR="00966444">
        <w:rPr>
          <w:kern w:val="18"/>
        </w:rPr>
        <w:t>,</w:t>
      </w:r>
      <w:r>
        <w:rPr>
          <w:kern w:val="18"/>
        </w:rPr>
        <w:t xml:space="preserve"> y </w:t>
      </w:r>
      <w:r w:rsidR="004C1EEE">
        <w:rPr>
          <w:kern w:val="18"/>
        </w:rPr>
        <w:t xml:space="preserve">en </w:t>
      </w:r>
      <w:r>
        <w:rPr>
          <w:kern w:val="18"/>
        </w:rPr>
        <w:t xml:space="preserve">el informe de la Reunión del </w:t>
      </w:r>
      <w:r w:rsidR="004C1EEE">
        <w:rPr>
          <w:kern w:val="18"/>
        </w:rPr>
        <w:t>G</w:t>
      </w:r>
      <w:r>
        <w:rPr>
          <w:kern w:val="18"/>
        </w:rPr>
        <w:t xml:space="preserve">rupo de </w:t>
      </w:r>
      <w:r w:rsidR="004C1EEE">
        <w:rPr>
          <w:kern w:val="18"/>
        </w:rPr>
        <w:t>e</w:t>
      </w:r>
      <w:r>
        <w:rPr>
          <w:kern w:val="18"/>
        </w:rPr>
        <w:t>xpertos que represent</w:t>
      </w:r>
      <w:r w:rsidR="004C1EEE">
        <w:rPr>
          <w:kern w:val="18"/>
        </w:rPr>
        <w:t>e</w:t>
      </w:r>
      <w:r>
        <w:rPr>
          <w:kern w:val="18"/>
        </w:rPr>
        <w:t>n a las comunidades locales en el contexto del artículo 8 j) y disposiciones conexas del Convenio sobre la Diversidad Biológica (</w:t>
      </w:r>
      <w:hyperlink r:id="rId7" w:history="1">
        <w:r>
          <w:rPr>
            <w:rStyle w:val="Hyperlink"/>
            <w:kern w:val="18"/>
          </w:rPr>
          <w:t>UNEP/CBD/WG8J/7/8/Add.1</w:t>
        </w:r>
      </w:hyperlink>
      <w:r>
        <w:rPr>
          <w:kern w:val="18"/>
        </w:rPr>
        <w:t>).</w:t>
      </w:r>
    </w:p>
  </w:footnote>
  <w:footnote w:id="7">
    <w:p w:rsidR="0028101F" w:rsidRDefault="00BD56D9" w:rsidP="008B49CE">
      <w:pPr>
        <w:pStyle w:val="FootnoteText"/>
        <w:keepLines w:val="0"/>
        <w:suppressLineNumbers/>
        <w:suppressAutoHyphens/>
        <w:autoSpaceDE w:val="0"/>
        <w:autoSpaceDN w:val="0"/>
        <w:ind w:firstLine="0"/>
        <w:jc w:val="left"/>
      </w:pPr>
      <w:r>
        <w:rPr>
          <w:rStyle w:val="FootnoteReference"/>
          <w:kern w:val="18"/>
          <w:u w:val="none"/>
          <w:vertAlign w:val="superscript"/>
        </w:rPr>
        <w:footnoteRef/>
      </w:r>
      <w:r w:rsidR="007C6E74">
        <w:rPr>
          <w:kern w:val="18"/>
        </w:rPr>
        <w:t> </w:t>
      </w:r>
      <w:r>
        <w:rPr>
          <w:kern w:val="18"/>
        </w:rPr>
        <w:t>Artículo 14 del Convenio sobre la Diversidad Biológica (</w:t>
      </w:r>
      <w:r>
        <w:rPr>
          <w:kern w:val="18"/>
          <w:cs/>
        </w:rPr>
        <w:t>“</w:t>
      </w:r>
      <w:r>
        <w:rPr>
          <w:kern w:val="18"/>
        </w:rPr>
        <w:t>Evaluación del impacto y reducción al mínimo del impacto adverso</w:t>
      </w:r>
      <w:r>
        <w:rPr>
          <w:kern w:val="18"/>
          <w:cs/>
        </w:rPr>
        <w:t>”</w:t>
      </w:r>
      <w:r>
        <w:rPr>
          <w:kern w:val="18"/>
        </w:rPr>
        <w:t>).</w:t>
      </w:r>
    </w:p>
  </w:footnote>
  <w:footnote w:id="8">
    <w:p w:rsidR="0028101F" w:rsidRDefault="00BD56D9" w:rsidP="008B49CE">
      <w:pPr>
        <w:pStyle w:val="FootnoteText"/>
        <w:keepLines w:val="0"/>
        <w:suppressLineNumbers/>
        <w:suppressAutoHyphens/>
        <w:autoSpaceDE w:val="0"/>
        <w:autoSpaceDN w:val="0"/>
        <w:ind w:firstLine="0"/>
        <w:jc w:val="left"/>
      </w:pPr>
      <w:r>
        <w:rPr>
          <w:rStyle w:val="FootnoteReference"/>
          <w:kern w:val="18"/>
          <w:u w:val="none"/>
          <w:vertAlign w:val="superscript"/>
        </w:rPr>
        <w:footnoteRef/>
      </w:r>
      <w:r>
        <w:rPr>
          <w:kern w:val="18"/>
        </w:rPr>
        <w:t xml:space="preserve"> </w:t>
      </w:r>
      <w:r w:rsidR="00AA0C5F">
        <w:rPr>
          <w:kern w:val="18"/>
        </w:rPr>
        <w:t>Ratificada</w:t>
      </w:r>
      <w:r>
        <w:rPr>
          <w:kern w:val="18"/>
        </w:rPr>
        <w:t xml:space="preserve"> en el párrafo 6 a) del anexo de la </w:t>
      </w:r>
      <w:hyperlink r:id="rId8" w:history="1">
        <w:r>
          <w:rPr>
            <w:rStyle w:val="Hyperlink"/>
            <w:kern w:val="18"/>
          </w:rPr>
          <w:t>decisión VII/16</w:t>
        </w:r>
      </w:hyperlink>
      <w:r>
        <w:rPr>
          <w:kern w:val="18"/>
        </w:rPr>
        <w:t> F sobre las Directrices Akwé:</w:t>
      </w:r>
      <w:r w:rsidR="007C6E74">
        <w:rPr>
          <w:kern w:val="18"/>
        </w:rPr>
        <w:t xml:space="preserve"> </w:t>
      </w:r>
      <w:r>
        <w:rPr>
          <w:kern w:val="18"/>
        </w:rPr>
        <w:t>Kon.</w:t>
      </w:r>
    </w:p>
  </w:footnote>
  <w:footnote w:id="9">
    <w:p w:rsidR="0028101F" w:rsidRDefault="00BD56D9" w:rsidP="008B49CE">
      <w:pPr>
        <w:pStyle w:val="FootnoteText"/>
        <w:keepLines w:val="0"/>
        <w:suppressLineNumbers/>
        <w:suppressAutoHyphens/>
        <w:autoSpaceDE w:val="0"/>
        <w:autoSpaceDN w:val="0"/>
        <w:ind w:firstLine="0"/>
        <w:jc w:val="left"/>
      </w:pPr>
      <w:r>
        <w:rPr>
          <w:rStyle w:val="FootnoteReference"/>
          <w:kern w:val="18"/>
          <w:u w:val="none"/>
          <w:vertAlign w:val="superscript"/>
        </w:rPr>
        <w:footnoteRef/>
      </w:r>
      <w:r>
        <w:rPr>
          <w:kern w:val="18"/>
          <w:vertAlign w:val="superscript"/>
        </w:rPr>
        <w:t xml:space="preserve"> </w:t>
      </w:r>
      <w:r w:rsidR="00AA0C5F">
        <w:rPr>
          <w:kern w:val="18"/>
        </w:rPr>
        <w:t xml:space="preserve">Ratificada </w:t>
      </w:r>
      <w:r>
        <w:rPr>
          <w:kern w:val="18"/>
        </w:rPr>
        <w:t xml:space="preserve">en el párrafo 6 b) del anexo de la </w:t>
      </w:r>
      <w:hyperlink r:id="rId9" w:history="1">
        <w:r>
          <w:rPr>
            <w:rStyle w:val="Hyperlink"/>
            <w:kern w:val="18"/>
          </w:rPr>
          <w:t>decisión VII/16</w:t>
        </w:r>
      </w:hyperlink>
      <w:r>
        <w:rPr>
          <w:kern w:val="18"/>
        </w:rPr>
        <w:t> F sobre las Directrices Akwé:</w:t>
      </w:r>
      <w:r w:rsidR="007C6E74">
        <w:rPr>
          <w:kern w:val="18"/>
        </w:rPr>
        <w:t xml:space="preserve"> </w:t>
      </w:r>
      <w:r>
        <w:rPr>
          <w:kern w:val="18"/>
        </w:rPr>
        <w:t xml:space="preserve">Kon. Las definiciones de </w:t>
      </w:r>
      <w:r w:rsidR="007C6E74">
        <w:rPr>
          <w:kern w:val="18"/>
        </w:rPr>
        <w:t>“</w:t>
      </w:r>
      <w:r>
        <w:rPr>
          <w:kern w:val="18"/>
        </w:rPr>
        <w:t>evaluación del impacto en el patrimonio cultural</w:t>
      </w:r>
      <w:r w:rsidR="007C6E74">
        <w:rPr>
          <w:kern w:val="18"/>
        </w:rPr>
        <w:t>”</w:t>
      </w:r>
      <w:r>
        <w:rPr>
          <w:kern w:val="18"/>
        </w:rPr>
        <w:t xml:space="preserve"> y </w:t>
      </w:r>
      <w:r w:rsidR="00D838BC">
        <w:rPr>
          <w:kern w:val="18"/>
        </w:rPr>
        <w:t xml:space="preserve">de </w:t>
      </w:r>
      <w:r w:rsidR="007C6E74">
        <w:rPr>
          <w:kern w:val="18"/>
        </w:rPr>
        <w:t>“</w:t>
      </w:r>
      <w:r>
        <w:rPr>
          <w:kern w:val="18"/>
        </w:rPr>
        <w:t>patrimonio cultural</w:t>
      </w:r>
      <w:r w:rsidR="007C6E74">
        <w:rPr>
          <w:kern w:val="18"/>
        </w:rPr>
        <w:t>”</w:t>
      </w:r>
      <w:r>
        <w:rPr>
          <w:kern w:val="18"/>
        </w:rPr>
        <w:t xml:space="preserve"> que se incluyen en la sección 3 de este glosario deben considerar</w:t>
      </w:r>
      <w:r w:rsidR="007C6E74">
        <w:rPr>
          <w:kern w:val="18"/>
        </w:rPr>
        <w:t>se</w:t>
      </w:r>
      <w:r>
        <w:rPr>
          <w:kern w:val="18"/>
        </w:rPr>
        <w:t xml:space="preserve"> conjuntamente.</w:t>
      </w:r>
    </w:p>
  </w:footnote>
  <w:footnote w:id="10">
    <w:p w:rsidR="0028101F" w:rsidRDefault="00BD56D9" w:rsidP="008B49CE">
      <w:pPr>
        <w:pStyle w:val="FootnoteText"/>
        <w:keepLines w:val="0"/>
        <w:suppressLineNumbers/>
        <w:suppressAutoHyphens/>
        <w:autoSpaceDE w:val="0"/>
        <w:autoSpaceDN w:val="0"/>
        <w:ind w:firstLine="0"/>
        <w:jc w:val="left"/>
      </w:pPr>
      <w:r>
        <w:rPr>
          <w:rStyle w:val="FootnoteReference"/>
          <w:kern w:val="18"/>
          <w:u w:val="none"/>
          <w:vertAlign w:val="superscript"/>
        </w:rPr>
        <w:footnoteRef/>
      </w:r>
      <w:r>
        <w:rPr>
          <w:kern w:val="18"/>
        </w:rPr>
        <w:t xml:space="preserve"> </w:t>
      </w:r>
      <w:r w:rsidR="00AA0C5F">
        <w:rPr>
          <w:kern w:val="18"/>
        </w:rPr>
        <w:t xml:space="preserve">Ratificada </w:t>
      </w:r>
      <w:r>
        <w:rPr>
          <w:kern w:val="18"/>
        </w:rPr>
        <w:t xml:space="preserve">en el párrafo 6 c) del anexo de la </w:t>
      </w:r>
      <w:hyperlink r:id="rId10" w:history="1">
        <w:r>
          <w:rPr>
            <w:rStyle w:val="Hyperlink"/>
            <w:kern w:val="18"/>
          </w:rPr>
          <w:t>decisión VII/16</w:t>
        </w:r>
      </w:hyperlink>
      <w:r>
        <w:rPr>
          <w:kern w:val="18"/>
        </w:rPr>
        <w:t> F sobre las Directrices Akwé: Kon.</w:t>
      </w:r>
    </w:p>
  </w:footnote>
  <w:footnote w:id="11">
    <w:p w:rsidR="0028101F" w:rsidRDefault="00BD56D9" w:rsidP="008B49CE">
      <w:pPr>
        <w:pStyle w:val="FootnoteText"/>
        <w:keepLines w:val="0"/>
        <w:suppressLineNumbers/>
        <w:suppressAutoHyphens/>
        <w:autoSpaceDE w:val="0"/>
        <w:autoSpaceDN w:val="0"/>
        <w:ind w:firstLine="0"/>
        <w:jc w:val="left"/>
      </w:pPr>
      <w:r>
        <w:rPr>
          <w:rStyle w:val="FootnoteReference"/>
          <w:kern w:val="18"/>
          <w:u w:val="none"/>
          <w:vertAlign w:val="superscript"/>
        </w:rPr>
        <w:footnoteRef/>
      </w:r>
      <w:r>
        <w:rPr>
          <w:kern w:val="18"/>
        </w:rPr>
        <w:t xml:space="preserve"> </w:t>
      </w:r>
      <w:r w:rsidR="00AA0C5F">
        <w:rPr>
          <w:kern w:val="18"/>
        </w:rPr>
        <w:t xml:space="preserve">Ratificada </w:t>
      </w:r>
      <w:r>
        <w:rPr>
          <w:kern w:val="18"/>
        </w:rPr>
        <w:t xml:space="preserve">en el párrafo 6 d) del anexo de la </w:t>
      </w:r>
      <w:hyperlink r:id="rId11" w:history="1">
        <w:r>
          <w:rPr>
            <w:rStyle w:val="Hyperlink"/>
            <w:kern w:val="18"/>
          </w:rPr>
          <w:t>decisión VII/16</w:t>
        </w:r>
      </w:hyperlink>
      <w:r>
        <w:rPr>
          <w:kern w:val="18"/>
        </w:rPr>
        <w:t> F sobre las Directrices Akwé: Kon.</w:t>
      </w:r>
    </w:p>
  </w:footnote>
  <w:footnote w:id="12">
    <w:p w:rsidR="0028101F" w:rsidRDefault="00BD56D9" w:rsidP="008B49CE">
      <w:pPr>
        <w:pStyle w:val="FootnoteText"/>
        <w:keepLines w:val="0"/>
        <w:suppressLineNumbers/>
        <w:suppressAutoHyphens/>
        <w:autoSpaceDE w:val="0"/>
        <w:autoSpaceDN w:val="0"/>
        <w:ind w:firstLine="0"/>
        <w:jc w:val="left"/>
      </w:pPr>
      <w:r>
        <w:rPr>
          <w:rStyle w:val="FootnoteReference"/>
          <w:kern w:val="18"/>
          <w:u w:val="none"/>
          <w:vertAlign w:val="superscript"/>
        </w:rPr>
        <w:footnoteRef/>
      </w:r>
      <w:r>
        <w:rPr>
          <w:kern w:val="18"/>
        </w:rPr>
        <w:t xml:space="preserve"> </w:t>
      </w:r>
      <w:r w:rsidR="00AA0C5F">
        <w:rPr>
          <w:kern w:val="18"/>
        </w:rPr>
        <w:t xml:space="preserve">Ratificada </w:t>
      </w:r>
      <w:r>
        <w:rPr>
          <w:kern w:val="18"/>
        </w:rPr>
        <w:t xml:space="preserve">en el párrafo 6 e) del anexo de la </w:t>
      </w:r>
      <w:hyperlink r:id="rId12" w:history="1">
        <w:r>
          <w:rPr>
            <w:rStyle w:val="Hyperlink"/>
            <w:kern w:val="18"/>
          </w:rPr>
          <w:t>decisión VII/16</w:t>
        </w:r>
      </w:hyperlink>
      <w:r>
        <w:rPr>
          <w:kern w:val="18"/>
        </w:rPr>
        <w:t> F sobre las Directrices Akwé: Kon.</w:t>
      </w:r>
    </w:p>
  </w:footnote>
  <w:footnote w:id="13">
    <w:p w:rsidR="0028101F" w:rsidRDefault="00BD56D9" w:rsidP="008B49CE">
      <w:pPr>
        <w:pStyle w:val="FootnoteText"/>
        <w:keepLines w:val="0"/>
        <w:suppressLineNumbers/>
        <w:suppressAutoHyphens/>
        <w:autoSpaceDE w:val="0"/>
        <w:autoSpaceDN w:val="0"/>
        <w:ind w:firstLine="0"/>
        <w:jc w:val="left"/>
      </w:pPr>
      <w:r>
        <w:rPr>
          <w:rStyle w:val="FootnoteReference"/>
          <w:kern w:val="18"/>
          <w:u w:val="none"/>
          <w:vertAlign w:val="superscript"/>
        </w:rPr>
        <w:footnoteRef/>
      </w:r>
      <w:r>
        <w:rPr>
          <w:kern w:val="18"/>
        </w:rPr>
        <w:t xml:space="preserve"> </w:t>
      </w:r>
      <w:r w:rsidR="00D838BC">
        <w:rPr>
          <w:kern w:val="18"/>
        </w:rPr>
        <w:t>Ratificada</w:t>
      </w:r>
      <w:r>
        <w:rPr>
          <w:kern w:val="18"/>
        </w:rPr>
        <w:t xml:space="preserve"> en el párrafo 6 f) del anexo de la </w:t>
      </w:r>
      <w:hyperlink r:id="rId13" w:history="1">
        <w:r>
          <w:rPr>
            <w:rStyle w:val="Hyperlink"/>
            <w:kern w:val="18"/>
          </w:rPr>
          <w:t>decisión VII/16</w:t>
        </w:r>
      </w:hyperlink>
      <w:r>
        <w:rPr>
          <w:kern w:val="18"/>
        </w:rPr>
        <w:t> F sobre las Directrices Akwé: Kon.</w:t>
      </w:r>
    </w:p>
  </w:footnote>
  <w:footnote w:id="14">
    <w:p w:rsidR="0028101F" w:rsidRDefault="00BD56D9" w:rsidP="008B49CE">
      <w:pPr>
        <w:pStyle w:val="FootnoteText"/>
        <w:keepLines w:val="0"/>
        <w:suppressLineNumbers/>
        <w:suppressAutoHyphens/>
        <w:autoSpaceDE w:val="0"/>
        <w:autoSpaceDN w:val="0"/>
        <w:ind w:firstLine="0"/>
        <w:jc w:val="left"/>
      </w:pPr>
      <w:r>
        <w:rPr>
          <w:rStyle w:val="FootnoteReference"/>
          <w:kern w:val="18"/>
          <w:u w:val="none"/>
          <w:vertAlign w:val="superscript"/>
        </w:rPr>
        <w:footnoteRef/>
      </w:r>
      <w:r>
        <w:rPr>
          <w:kern w:val="18"/>
        </w:rPr>
        <w:t xml:space="preserve"> </w:t>
      </w:r>
      <w:r w:rsidR="00D838BC">
        <w:rPr>
          <w:kern w:val="18"/>
        </w:rPr>
        <w:t>Ratificada</w:t>
      </w:r>
      <w:r>
        <w:rPr>
          <w:kern w:val="18"/>
        </w:rPr>
        <w:t xml:space="preserve"> en el párrafo 6 g) del anexo de la </w:t>
      </w:r>
      <w:hyperlink r:id="rId14" w:history="1">
        <w:r>
          <w:rPr>
            <w:rStyle w:val="Hyperlink"/>
            <w:kern w:val="18"/>
          </w:rPr>
          <w:t>decisión VII/16</w:t>
        </w:r>
      </w:hyperlink>
      <w:r>
        <w:rPr>
          <w:kern w:val="18"/>
        </w:rPr>
        <w:t> F sobre las Directrices Akwé: Kon.</w:t>
      </w:r>
    </w:p>
  </w:footnote>
  <w:footnote w:id="15">
    <w:p w:rsidR="0028101F" w:rsidRDefault="00BD56D9" w:rsidP="008B49CE">
      <w:pPr>
        <w:suppressLineNumbers/>
        <w:suppressAutoHyphens/>
        <w:autoSpaceDE w:val="0"/>
        <w:autoSpaceDN w:val="0"/>
        <w:spacing w:after="60"/>
        <w:jc w:val="left"/>
        <w:outlineLvl w:val="1"/>
      </w:pPr>
      <w:r>
        <w:rPr>
          <w:rStyle w:val="FootnoteReference"/>
          <w:kern w:val="18"/>
          <w:u w:val="none"/>
          <w:vertAlign w:val="superscript"/>
        </w:rPr>
        <w:footnoteRef/>
      </w:r>
      <w:r>
        <w:rPr>
          <w:kern w:val="18"/>
          <w:sz w:val="18"/>
        </w:rPr>
        <w:t xml:space="preserve"> Directrices voluntarias para </w:t>
      </w:r>
      <w:r w:rsidR="00FD56B6">
        <w:rPr>
          <w:kern w:val="18"/>
          <w:sz w:val="18"/>
        </w:rPr>
        <w:t>la elaboración de</w:t>
      </w:r>
      <w:r>
        <w:rPr>
          <w:kern w:val="18"/>
          <w:sz w:val="18"/>
        </w:rPr>
        <w:t xml:space="preserve"> mecanismos, le</w:t>
      </w:r>
      <w:r w:rsidR="00FD56B6">
        <w:rPr>
          <w:kern w:val="18"/>
          <w:sz w:val="18"/>
        </w:rPr>
        <w:t>gi</w:t>
      </w:r>
      <w:r>
        <w:rPr>
          <w:kern w:val="18"/>
          <w:sz w:val="18"/>
        </w:rPr>
        <w:t>s</w:t>
      </w:r>
      <w:r w:rsidR="00FD56B6">
        <w:rPr>
          <w:kern w:val="18"/>
          <w:sz w:val="18"/>
        </w:rPr>
        <w:t>lación</w:t>
      </w:r>
      <w:r>
        <w:rPr>
          <w:kern w:val="18"/>
          <w:sz w:val="18"/>
        </w:rPr>
        <w:t xml:space="preserve"> u otras iniciativas adecuadas para </w:t>
      </w:r>
      <w:r w:rsidR="00FD56B6">
        <w:rPr>
          <w:kern w:val="18"/>
          <w:sz w:val="18"/>
        </w:rPr>
        <w:t>g</w:t>
      </w:r>
      <w:r>
        <w:rPr>
          <w:kern w:val="18"/>
          <w:sz w:val="18"/>
        </w:rPr>
        <w:t>ara</w:t>
      </w:r>
      <w:r w:rsidR="00FD56B6">
        <w:rPr>
          <w:kern w:val="18"/>
          <w:sz w:val="18"/>
        </w:rPr>
        <w:t>ntiza</w:t>
      </w:r>
      <w:r>
        <w:rPr>
          <w:kern w:val="18"/>
          <w:sz w:val="18"/>
        </w:rPr>
        <w:t xml:space="preserve">r el </w:t>
      </w:r>
      <w:r>
        <w:rPr>
          <w:kern w:val="18"/>
          <w:sz w:val="18"/>
          <w:cs/>
        </w:rPr>
        <w:t>“</w:t>
      </w:r>
      <w:r>
        <w:rPr>
          <w:kern w:val="18"/>
          <w:sz w:val="18"/>
        </w:rPr>
        <w:t>consentimiento previo y fundamentado</w:t>
      </w:r>
      <w:r>
        <w:rPr>
          <w:kern w:val="18"/>
          <w:sz w:val="18"/>
          <w:cs/>
        </w:rPr>
        <w:t>”</w:t>
      </w:r>
      <w:r>
        <w:rPr>
          <w:kern w:val="18"/>
          <w:sz w:val="18"/>
        </w:rPr>
        <w:t xml:space="preserve">, </w:t>
      </w:r>
      <w:r w:rsidR="00FD56B6">
        <w:rPr>
          <w:kern w:val="18"/>
          <w:sz w:val="18"/>
        </w:rPr>
        <w:t xml:space="preserve">el </w:t>
      </w:r>
      <w:r>
        <w:rPr>
          <w:kern w:val="18"/>
          <w:sz w:val="18"/>
          <w:cs/>
        </w:rPr>
        <w:t>“</w:t>
      </w:r>
      <w:r>
        <w:rPr>
          <w:kern w:val="18"/>
          <w:sz w:val="18"/>
        </w:rPr>
        <w:t>consentimiento libre, previo y fundamentado</w:t>
      </w:r>
      <w:r>
        <w:rPr>
          <w:kern w:val="18"/>
          <w:sz w:val="18"/>
          <w:cs/>
        </w:rPr>
        <w:t xml:space="preserve">” </w:t>
      </w:r>
      <w:r>
        <w:rPr>
          <w:kern w:val="18"/>
          <w:sz w:val="18"/>
        </w:rPr>
        <w:t xml:space="preserve">o la </w:t>
      </w:r>
      <w:r>
        <w:rPr>
          <w:kern w:val="18"/>
          <w:sz w:val="18"/>
          <w:cs/>
        </w:rPr>
        <w:t>“</w:t>
      </w:r>
      <w:r>
        <w:rPr>
          <w:kern w:val="18"/>
          <w:sz w:val="18"/>
        </w:rPr>
        <w:t>aprobación y participación</w:t>
      </w:r>
      <w:r>
        <w:rPr>
          <w:kern w:val="18"/>
          <w:sz w:val="18"/>
          <w:cs/>
        </w:rPr>
        <w:t>”</w:t>
      </w:r>
      <w:r>
        <w:rPr>
          <w:kern w:val="18"/>
          <w:sz w:val="18"/>
        </w:rPr>
        <w:t xml:space="preserve">, </w:t>
      </w:r>
      <w:r w:rsidR="00FD56B6">
        <w:rPr>
          <w:kern w:val="18"/>
          <w:sz w:val="18"/>
        </w:rPr>
        <w:t>s</w:t>
      </w:r>
      <w:r>
        <w:rPr>
          <w:kern w:val="18"/>
          <w:sz w:val="18"/>
        </w:rPr>
        <w:t>e</w:t>
      </w:r>
      <w:r w:rsidR="00FD56B6">
        <w:rPr>
          <w:kern w:val="18"/>
          <w:sz w:val="18"/>
        </w:rPr>
        <w:t>gú</w:t>
      </w:r>
      <w:r>
        <w:rPr>
          <w:kern w:val="18"/>
          <w:sz w:val="18"/>
        </w:rPr>
        <w:t xml:space="preserve">n las circunstancias nacionales, de los pueblos indígenas y </w:t>
      </w:r>
      <w:r w:rsidR="00FD56B6">
        <w:rPr>
          <w:kern w:val="18"/>
          <w:sz w:val="18"/>
        </w:rPr>
        <w:t xml:space="preserve">las </w:t>
      </w:r>
      <w:r>
        <w:rPr>
          <w:kern w:val="18"/>
          <w:sz w:val="18"/>
        </w:rPr>
        <w:t xml:space="preserve">comunidades locales para </w:t>
      </w:r>
      <w:r w:rsidR="00D838BC">
        <w:rPr>
          <w:kern w:val="18"/>
          <w:sz w:val="18"/>
        </w:rPr>
        <w:t xml:space="preserve">el </w:t>
      </w:r>
      <w:r>
        <w:rPr>
          <w:kern w:val="18"/>
          <w:sz w:val="18"/>
        </w:rPr>
        <w:t>acce</w:t>
      </w:r>
      <w:r w:rsidR="00D838BC">
        <w:rPr>
          <w:kern w:val="18"/>
          <w:sz w:val="18"/>
        </w:rPr>
        <w:t>so</w:t>
      </w:r>
      <w:r>
        <w:rPr>
          <w:kern w:val="18"/>
          <w:sz w:val="18"/>
        </w:rPr>
        <w:t xml:space="preserve"> a sus conocimientos, innovaciones y prácticas, para la participación justa y equitativa en los beneficios que se deriven de</w:t>
      </w:r>
      <w:r w:rsidR="00FD56B6">
        <w:rPr>
          <w:kern w:val="18"/>
          <w:sz w:val="18"/>
        </w:rPr>
        <w:t xml:space="preserve"> </w:t>
      </w:r>
      <w:r>
        <w:rPr>
          <w:kern w:val="18"/>
          <w:sz w:val="18"/>
        </w:rPr>
        <w:t>l</w:t>
      </w:r>
      <w:r w:rsidR="00FD56B6">
        <w:rPr>
          <w:kern w:val="18"/>
          <w:sz w:val="18"/>
        </w:rPr>
        <w:t>a</w:t>
      </w:r>
      <w:r>
        <w:rPr>
          <w:kern w:val="18"/>
          <w:sz w:val="18"/>
        </w:rPr>
        <w:t xml:space="preserve"> u</w:t>
      </w:r>
      <w:r w:rsidR="00FD56B6">
        <w:rPr>
          <w:kern w:val="18"/>
          <w:sz w:val="18"/>
        </w:rPr>
        <w:t>tilización</w:t>
      </w:r>
      <w:r>
        <w:rPr>
          <w:kern w:val="18"/>
          <w:sz w:val="18"/>
        </w:rPr>
        <w:t xml:space="preserve"> de sus conocimientos, innovaciones y prácticas </w:t>
      </w:r>
      <w:r w:rsidR="00FD56B6">
        <w:rPr>
          <w:kern w:val="18"/>
          <w:sz w:val="18"/>
        </w:rPr>
        <w:t xml:space="preserve">que sean </w:t>
      </w:r>
      <w:r>
        <w:rPr>
          <w:kern w:val="18"/>
          <w:sz w:val="18"/>
        </w:rPr>
        <w:t xml:space="preserve">pertinentes para la conservación y </w:t>
      </w:r>
      <w:r w:rsidR="00FD56B6">
        <w:rPr>
          <w:kern w:val="18"/>
          <w:sz w:val="18"/>
        </w:rPr>
        <w:t xml:space="preserve">la </w:t>
      </w:r>
      <w:r>
        <w:rPr>
          <w:kern w:val="18"/>
          <w:sz w:val="18"/>
        </w:rPr>
        <w:t>utilización sosten</w:t>
      </w:r>
      <w:r w:rsidR="00FD56B6">
        <w:rPr>
          <w:kern w:val="18"/>
          <w:sz w:val="18"/>
        </w:rPr>
        <w:t>ible de la diversidad biológica</w:t>
      </w:r>
      <w:r>
        <w:rPr>
          <w:kern w:val="18"/>
          <w:sz w:val="18"/>
        </w:rPr>
        <w:t xml:space="preserve"> y para denunciar </w:t>
      </w:r>
      <w:r w:rsidR="00FD56B6">
        <w:rPr>
          <w:kern w:val="18"/>
          <w:sz w:val="18"/>
        </w:rPr>
        <w:t>e</w:t>
      </w:r>
      <w:r>
        <w:rPr>
          <w:kern w:val="18"/>
          <w:sz w:val="18"/>
        </w:rPr>
        <w:t xml:space="preserve"> i</w:t>
      </w:r>
      <w:r w:rsidR="00FD56B6">
        <w:rPr>
          <w:kern w:val="18"/>
          <w:sz w:val="18"/>
        </w:rPr>
        <w:t>mpedi</w:t>
      </w:r>
      <w:r>
        <w:rPr>
          <w:kern w:val="18"/>
          <w:sz w:val="18"/>
        </w:rPr>
        <w:t>r la apropiación ilegal de conocimientos tradicionales.</w:t>
      </w:r>
    </w:p>
  </w:footnote>
  <w:footnote w:id="16">
    <w:p w:rsidR="0028101F" w:rsidRDefault="00BD56D9" w:rsidP="008B49CE">
      <w:pPr>
        <w:pStyle w:val="FootnoteText"/>
        <w:keepLines w:val="0"/>
        <w:suppressLineNumbers/>
        <w:suppressAutoHyphens/>
        <w:autoSpaceDE w:val="0"/>
        <w:autoSpaceDN w:val="0"/>
        <w:ind w:firstLine="0"/>
        <w:jc w:val="left"/>
      </w:pPr>
      <w:r>
        <w:rPr>
          <w:rStyle w:val="FootnoteReference"/>
          <w:kern w:val="18"/>
          <w:u w:val="none"/>
          <w:vertAlign w:val="superscript"/>
        </w:rPr>
        <w:footnoteRef/>
      </w:r>
      <w:r>
        <w:rPr>
          <w:kern w:val="18"/>
        </w:rPr>
        <w:t xml:space="preserve"> </w:t>
      </w:r>
      <w:r w:rsidR="003A57E3">
        <w:rPr>
          <w:kern w:val="18"/>
        </w:rPr>
        <w:t>Ratificada</w:t>
      </w:r>
      <w:r>
        <w:rPr>
          <w:kern w:val="18"/>
        </w:rPr>
        <w:t xml:space="preserve"> en los párrafos 7 y 8 del anexo de la </w:t>
      </w:r>
      <w:hyperlink r:id="rId15" w:history="1">
        <w:r>
          <w:rPr>
            <w:rStyle w:val="Hyperlink"/>
            <w:kern w:val="18"/>
          </w:rPr>
          <w:t>decisión XIII/18</w:t>
        </w:r>
      </w:hyperlink>
      <w:r>
        <w:rPr>
          <w:kern w:val="18"/>
        </w:rPr>
        <w:t xml:space="preserve"> sobre las Directrices voluntarias Mo</w:t>
      </w:r>
      <w:r>
        <w:rPr>
          <w:kern w:val="18"/>
          <w:cs/>
        </w:rPr>
        <w:t>’</w:t>
      </w:r>
      <w:r>
        <w:rPr>
          <w:kern w:val="18"/>
        </w:rPr>
        <w:t>otz Kuxtal.</w:t>
      </w:r>
    </w:p>
  </w:footnote>
  <w:footnote w:id="17">
    <w:p w:rsidR="0028101F" w:rsidRDefault="00BD56D9" w:rsidP="008B49CE">
      <w:pPr>
        <w:suppressLineNumbers/>
        <w:suppressAutoHyphens/>
        <w:autoSpaceDE w:val="0"/>
        <w:autoSpaceDN w:val="0"/>
        <w:spacing w:after="60"/>
        <w:jc w:val="left"/>
        <w:outlineLvl w:val="1"/>
      </w:pPr>
      <w:r>
        <w:rPr>
          <w:rStyle w:val="FootnoteReference"/>
          <w:kern w:val="18"/>
          <w:u w:val="none"/>
          <w:vertAlign w:val="superscript"/>
        </w:rPr>
        <w:footnoteRef/>
      </w:r>
      <w:r>
        <w:rPr>
          <w:kern w:val="18"/>
          <w:sz w:val="18"/>
        </w:rPr>
        <w:t xml:space="preserve"> </w:t>
      </w:r>
      <w:r w:rsidR="003A57E3">
        <w:rPr>
          <w:kern w:val="18"/>
          <w:sz w:val="18"/>
        </w:rPr>
        <w:t>Ratificada</w:t>
      </w:r>
      <w:r>
        <w:rPr>
          <w:kern w:val="18"/>
          <w:sz w:val="18"/>
        </w:rPr>
        <w:t xml:space="preserve"> en el párrafo 19 del anexo de la </w:t>
      </w:r>
      <w:hyperlink r:id="rId16" w:history="1">
        <w:r>
          <w:rPr>
            <w:rStyle w:val="Hyperlink"/>
            <w:kern w:val="18"/>
            <w:sz w:val="18"/>
          </w:rPr>
          <w:t>decisión XIII/18</w:t>
        </w:r>
      </w:hyperlink>
      <w:r>
        <w:rPr>
          <w:kern w:val="18"/>
          <w:sz w:val="18"/>
        </w:rPr>
        <w:t xml:space="preserve"> sobre las Directrices </w:t>
      </w:r>
      <w:r w:rsidR="00D7074B">
        <w:rPr>
          <w:kern w:val="18"/>
          <w:sz w:val="18"/>
        </w:rPr>
        <w:t>v</w:t>
      </w:r>
      <w:r>
        <w:rPr>
          <w:kern w:val="18"/>
          <w:sz w:val="18"/>
        </w:rPr>
        <w:t>oluntarias Mo</w:t>
      </w:r>
      <w:r>
        <w:rPr>
          <w:kern w:val="18"/>
          <w:sz w:val="18"/>
          <w:cs/>
        </w:rPr>
        <w:t>’</w:t>
      </w:r>
      <w:r>
        <w:rPr>
          <w:kern w:val="18"/>
          <w:sz w:val="18"/>
        </w:rPr>
        <w:t>otz Kuxtal.</w:t>
      </w:r>
    </w:p>
  </w:footnote>
  <w:footnote w:id="18">
    <w:p w:rsidR="0028101F" w:rsidRDefault="00BD56D9" w:rsidP="008B49CE">
      <w:pPr>
        <w:pStyle w:val="FootnoteText"/>
        <w:keepLines w:val="0"/>
        <w:suppressLineNumbers/>
        <w:suppressAutoHyphens/>
        <w:autoSpaceDE w:val="0"/>
        <w:autoSpaceDN w:val="0"/>
        <w:ind w:firstLine="0"/>
        <w:jc w:val="left"/>
      </w:pPr>
      <w:r>
        <w:rPr>
          <w:rStyle w:val="FootnoteReference"/>
          <w:kern w:val="18"/>
          <w:u w:val="none"/>
          <w:vertAlign w:val="superscript"/>
        </w:rPr>
        <w:footnoteRef/>
      </w:r>
      <w:r>
        <w:rPr>
          <w:kern w:val="18"/>
        </w:rPr>
        <w:t xml:space="preserve"> Estos términos y conceptos </w:t>
      </w:r>
      <w:r w:rsidR="00481B9B">
        <w:rPr>
          <w:kern w:val="18"/>
        </w:rPr>
        <w:t>se derivan</w:t>
      </w:r>
      <w:r>
        <w:rPr>
          <w:kern w:val="18"/>
        </w:rPr>
        <w:t xml:space="preserve"> de un documento sobre posibles elementos de sistemas</w:t>
      </w:r>
      <w:r w:rsidR="00481B9B">
        <w:rPr>
          <w:kern w:val="18"/>
        </w:rPr>
        <w:t xml:space="preserve"> </w:t>
      </w:r>
      <w:r>
        <w:rPr>
          <w:i/>
          <w:kern w:val="18"/>
        </w:rPr>
        <w:t>sui generis</w:t>
      </w:r>
      <w:r>
        <w:rPr>
          <w:kern w:val="18"/>
        </w:rPr>
        <w:t xml:space="preserve"> para la protección de los conocimientos, innovaciones y prácticas </w:t>
      </w:r>
      <w:r w:rsidR="00481B9B">
        <w:rPr>
          <w:kern w:val="18"/>
        </w:rPr>
        <w:t xml:space="preserve">tradicionales </w:t>
      </w:r>
      <w:r>
        <w:rPr>
          <w:kern w:val="18"/>
        </w:rPr>
        <w:t>de las comunidades indígenas y locales, publicado para la octava reunión del Grupo de Trabajo (</w:t>
      </w:r>
      <w:hyperlink r:id="rId17" w:history="1">
        <w:r>
          <w:rPr>
            <w:rStyle w:val="Hyperlink"/>
            <w:kern w:val="18"/>
          </w:rPr>
          <w:t>UNEP/CBD/WG8J/8/6/Add.1</w:t>
        </w:r>
      </w:hyperlink>
      <w:r>
        <w:rPr>
          <w:kern w:val="18"/>
        </w:rPr>
        <w:t>, anexo, sección II).</w:t>
      </w:r>
    </w:p>
  </w:footnote>
  <w:footnote w:id="19">
    <w:p w:rsidR="0028101F" w:rsidRDefault="00BD56D9" w:rsidP="008B49CE">
      <w:pPr>
        <w:pStyle w:val="FootnoteText"/>
        <w:keepLines w:val="0"/>
        <w:suppressLineNumbers/>
        <w:suppressAutoHyphens/>
        <w:autoSpaceDE w:val="0"/>
        <w:autoSpaceDN w:val="0"/>
        <w:ind w:firstLine="0"/>
        <w:jc w:val="left"/>
      </w:pPr>
      <w:r>
        <w:rPr>
          <w:rStyle w:val="FootnoteReference"/>
          <w:kern w:val="18"/>
          <w:u w:val="none"/>
          <w:vertAlign w:val="superscript"/>
        </w:rPr>
        <w:footnoteRef/>
      </w:r>
      <w:r w:rsidR="00F7774F">
        <w:rPr>
          <w:kern w:val="18"/>
        </w:rPr>
        <w:t xml:space="preserve"> Esta expresión</w:t>
      </w:r>
      <w:r>
        <w:rPr>
          <w:kern w:val="18"/>
        </w:rPr>
        <w:t xml:space="preserve"> </w:t>
      </w:r>
      <w:r w:rsidR="00F7774F">
        <w:rPr>
          <w:kern w:val="18"/>
        </w:rPr>
        <w:t xml:space="preserve">se </w:t>
      </w:r>
      <w:r>
        <w:rPr>
          <w:kern w:val="18"/>
        </w:rPr>
        <w:t xml:space="preserve">utiliza </w:t>
      </w:r>
      <w:r w:rsidR="00F7774F">
        <w:rPr>
          <w:kern w:val="18"/>
        </w:rPr>
        <w:t>r</w:t>
      </w:r>
      <w:r>
        <w:rPr>
          <w:kern w:val="18"/>
        </w:rPr>
        <w:t>e</w:t>
      </w:r>
      <w:r w:rsidR="00F7774F">
        <w:rPr>
          <w:kern w:val="18"/>
        </w:rPr>
        <w:t>petidas veces</w:t>
      </w:r>
      <w:r>
        <w:rPr>
          <w:kern w:val="18"/>
        </w:rPr>
        <w:t xml:space="preserve"> en el Código de conducta ética Tkarihwaié:ri para asegurar el respeto al patrimonio cultural e intelectual de las comunidades indígenas y locales, que fue adoptado por la Conferencia de las Partes en el Convenio sobre la Diversidad Biológica en la </w:t>
      </w:r>
      <w:hyperlink r:id="rId18" w:history="1">
        <w:r>
          <w:rPr>
            <w:rStyle w:val="Hyperlink"/>
            <w:kern w:val="18"/>
          </w:rPr>
          <w:t>decisión X/42</w:t>
        </w:r>
      </w:hyperlink>
      <w:r>
        <w:rPr>
          <w:kern w:val="18"/>
        </w:rPr>
        <w:t>.</w:t>
      </w:r>
    </w:p>
  </w:footnote>
  <w:footnote w:id="20">
    <w:p w:rsidR="0028101F" w:rsidRDefault="00BD56D9" w:rsidP="008B49CE">
      <w:pPr>
        <w:pStyle w:val="FootnoteText"/>
        <w:keepLines w:val="0"/>
        <w:suppressLineNumbers/>
        <w:suppressAutoHyphens/>
        <w:autoSpaceDE w:val="0"/>
        <w:autoSpaceDN w:val="0"/>
        <w:ind w:firstLine="0"/>
        <w:jc w:val="left"/>
      </w:pPr>
      <w:r>
        <w:rPr>
          <w:rStyle w:val="FootnoteReference"/>
          <w:kern w:val="18"/>
          <w:u w:val="none"/>
          <w:vertAlign w:val="superscript"/>
        </w:rPr>
        <w:footnoteRef/>
      </w:r>
      <w:r>
        <w:rPr>
          <w:kern w:val="18"/>
        </w:rPr>
        <w:t xml:space="preserve"> Según </w:t>
      </w:r>
      <w:r w:rsidR="00711E4F">
        <w:rPr>
          <w:kern w:val="18"/>
        </w:rPr>
        <w:t>la definición d</w:t>
      </w:r>
      <w:r>
        <w:rPr>
          <w:kern w:val="18"/>
        </w:rPr>
        <w:t>el Consorcio TICCA</w:t>
      </w:r>
      <w:r w:rsidR="00711E4F">
        <w:rPr>
          <w:kern w:val="18"/>
        </w:rPr>
        <w:t>, disponible</w:t>
      </w:r>
      <w:r>
        <w:rPr>
          <w:kern w:val="18"/>
        </w:rPr>
        <w:t xml:space="preserve"> en </w:t>
      </w:r>
      <w:hyperlink r:id="rId19" w:history="1">
        <w:r w:rsidR="00711E4F" w:rsidRPr="00711E4F">
          <w:rPr>
            <w:rStyle w:val="Hyperlink"/>
            <w:kern w:val="18"/>
          </w:rPr>
          <w:t>https://www.iccaconsortium.org/index.php/es/descubra/</w:t>
        </w:r>
        <w:r>
          <w:rPr>
            <w:rStyle w:val="Hyperlink"/>
            <w:kern w:val="18"/>
          </w:rPr>
          <w:t>.</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A2" w:rsidRPr="001D046A" w:rsidRDefault="00BD56D9" w:rsidP="001D046A">
    <w:pPr>
      <w:pStyle w:val="Header"/>
      <w:tabs>
        <w:tab w:val="clear" w:pos="4320"/>
        <w:tab w:val="clear" w:pos="8640"/>
      </w:tabs>
      <w:jc w:val="left"/>
      <w:rPr>
        <w:kern w:val="22"/>
      </w:rPr>
    </w:pPr>
    <w:r>
      <w:rPr>
        <w:kern w:val="22"/>
      </w:rPr>
      <w:t>CBD/WG8J/</w:t>
    </w:r>
    <w:r w:rsidR="00504DDC" w:rsidRPr="00504DDC">
      <w:rPr>
        <w:kern w:val="22"/>
      </w:rPr>
      <w:t xml:space="preserve"> </w:t>
    </w:r>
    <w:r w:rsidR="00504DDC">
      <w:rPr>
        <w:kern w:val="22"/>
      </w:rPr>
      <w:t>REC/</w:t>
    </w:r>
    <w:r>
      <w:rPr>
        <w:kern w:val="22"/>
      </w:rPr>
      <w:t>10/</w:t>
    </w:r>
    <w:r w:rsidR="00504DDC">
      <w:rPr>
        <w:kern w:val="22"/>
      </w:rPr>
      <w:t xml:space="preserve"> 2</w:t>
    </w:r>
  </w:p>
  <w:p w:rsidR="000A18A2" w:rsidRPr="001D046A" w:rsidRDefault="00BD56D9" w:rsidP="001D046A">
    <w:pPr>
      <w:pStyle w:val="Header"/>
      <w:tabs>
        <w:tab w:val="clear" w:pos="4320"/>
        <w:tab w:val="clear" w:pos="8640"/>
      </w:tabs>
      <w:jc w:val="left"/>
      <w:rPr>
        <w:kern w:val="22"/>
      </w:rPr>
    </w:pPr>
    <w:r>
      <w:rPr>
        <w:kern w:val="22"/>
      </w:rPr>
      <w:t xml:space="preserve">Página </w:t>
    </w:r>
    <w:r w:rsidR="001C2898">
      <w:rPr>
        <w:kern w:val="22"/>
      </w:rPr>
      <w:fldChar w:fldCharType="begin"/>
    </w:r>
    <w:r>
      <w:rPr>
        <w:kern w:val="22"/>
      </w:rPr>
      <w:instrText xml:space="preserve"> PAGE   \* MERGEFORMAT </w:instrText>
    </w:r>
    <w:r w:rsidR="001C2898">
      <w:rPr>
        <w:kern w:val="22"/>
      </w:rPr>
      <w:fldChar w:fldCharType="separate"/>
    </w:r>
    <w:r w:rsidR="00B46502">
      <w:rPr>
        <w:noProof/>
        <w:kern w:val="22"/>
      </w:rPr>
      <w:t>2</w:t>
    </w:r>
    <w:r w:rsidR="001C2898">
      <w:rPr>
        <w:kern w:val="22"/>
      </w:rPr>
      <w:fldChar w:fldCharType="end"/>
    </w:r>
  </w:p>
  <w:p w:rsidR="00F150DC" w:rsidRPr="001D046A" w:rsidRDefault="00F150DC" w:rsidP="001D046A">
    <w:pPr>
      <w:pStyle w:val="Header"/>
      <w:tabs>
        <w:tab w:val="clear" w:pos="4320"/>
        <w:tab w:val="clear" w:pos="8640"/>
      </w:tabs>
      <w:jc w:val="left"/>
      <w:rPr>
        <w:kern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A2" w:rsidRPr="001D046A" w:rsidRDefault="00BD56D9" w:rsidP="001D046A">
    <w:pPr>
      <w:pStyle w:val="Header"/>
      <w:tabs>
        <w:tab w:val="clear" w:pos="4320"/>
        <w:tab w:val="clear" w:pos="8640"/>
      </w:tabs>
      <w:jc w:val="right"/>
      <w:rPr>
        <w:kern w:val="22"/>
      </w:rPr>
    </w:pPr>
    <w:r>
      <w:rPr>
        <w:kern w:val="22"/>
      </w:rPr>
      <w:t>CBD/WG8J/</w:t>
    </w:r>
    <w:r w:rsidR="00504DDC" w:rsidRPr="00504DDC">
      <w:rPr>
        <w:kern w:val="22"/>
      </w:rPr>
      <w:t xml:space="preserve"> </w:t>
    </w:r>
    <w:r w:rsidR="00504DDC">
      <w:rPr>
        <w:kern w:val="22"/>
      </w:rPr>
      <w:t>REC/</w:t>
    </w:r>
    <w:r>
      <w:rPr>
        <w:kern w:val="22"/>
      </w:rPr>
      <w:t>10/</w:t>
    </w:r>
    <w:r w:rsidR="00504DDC">
      <w:rPr>
        <w:kern w:val="22"/>
      </w:rPr>
      <w:t xml:space="preserve"> 2</w:t>
    </w:r>
  </w:p>
  <w:p w:rsidR="000A18A2" w:rsidRPr="001D046A" w:rsidRDefault="00BD56D9" w:rsidP="001D046A">
    <w:pPr>
      <w:pStyle w:val="Header"/>
      <w:tabs>
        <w:tab w:val="clear" w:pos="4320"/>
        <w:tab w:val="clear" w:pos="8640"/>
      </w:tabs>
      <w:jc w:val="right"/>
      <w:rPr>
        <w:kern w:val="22"/>
      </w:rPr>
    </w:pPr>
    <w:r>
      <w:rPr>
        <w:kern w:val="22"/>
      </w:rPr>
      <w:t xml:space="preserve">Página </w:t>
    </w:r>
    <w:r w:rsidR="001C2898">
      <w:rPr>
        <w:kern w:val="22"/>
      </w:rPr>
      <w:fldChar w:fldCharType="begin"/>
    </w:r>
    <w:r>
      <w:rPr>
        <w:kern w:val="22"/>
      </w:rPr>
      <w:instrText xml:space="preserve"> PAGE   \* MERGEFORMAT </w:instrText>
    </w:r>
    <w:r w:rsidR="001C2898">
      <w:rPr>
        <w:kern w:val="22"/>
      </w:rPr>
      <w:fldChar w:fldCharType="separate"/>
    </w:r>
    <w:r w:rsidR="00B46502">
      <w:rPr>
        <w:noProof/>
        <w:kern w:val="22"/>
      </w:rPr>
      <w:t>7</w:t>
    </w:r>
    <w:r w:rsidR="001C2898">
      <w:rPr>
        <w:kern w:val="22"/>
      </w:rPr>
      <w:fldChar w:fldCharType="end"/>
    </w:r>
  </w:p>
  <w:p w:rsidR="000A18A2" w:rsidRPr="001D046A" w:rsidRDefault="000A18A2" w:rsidP="001D046A">
    <w:pPr>
      <w:pStyle w:val="Header"/>
      <w:tabs>
        <w:tab w:val="clear" w:pos="4320"/>
        <w:tab w:val="clear" w:pos="8640"/>
      </w:tabs>
      <w:jc w:val="right"/>
      <w:rPr>
        <w:kern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63F"/>
    <w:multiLevelType w:val="hybridMultilevel"/>
    <w:tmpl w:val="FF5C2D9C"/>
    <w:lvl w:ilvl="0" w:tplc="FFFFFFFF">
      <w:start w:val="15"/>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11855723"/>
    <w:multiLevelType w:val="hybridMultilevel"/>
    <w:tmpl w:val="D8B2DBBC"/>
    <w:lvl w:ilvl="0" w:tplc="FFFFFFFF">
      <w:start w:val="1"/>
      <w:numFmt w:val="upperLetter"/>
      <w:lvlText w:val="%1."/>
      <w:lvlJc w:val="left"/>
      <w:pPr>
        <w:ind w:left="720" w:hanging="360"/>
      </w:pPr>
      <w:rPr>
        <w:rFonts w:cs="Times New Roman" w:hint="default"/>
        <w:b/>
        <w:bCs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nsid w:val="18D42DBC"/>
    <w:multiLevelType w:val="hybridMultilevel"/>
    <w:tmpl w:val="364080C6"/>
    <w:lvl w:ilvl="0" w:tplc="FFFFFFFF">
      <w:start w:val="3"/>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F6E7FAB"/>
    <w:multiLevelType w:val="hybridMultilevel"/>
    <w:tmpl w:val="DE90C014"/>
    <w:lvl w:ilvl="0" w:tplc="FFFFFFFF">
      <w:start w:val="13"/>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20674565"/>
    <w:multiLevelType w:val="hybridMultilevel"/>
    <w:tmpl w:val="E38CF422"/>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82018A3"/>
    <w:multiLevelType w:val="hybridMultilevel"/>
    <w:tmpl w:val="98D0F8D6"/>
    <w:lvl w:ilvl="0" w:tplc="FFFFFFFF">
      <w:start w:val="2"/>
      <w:numFmt w:val="lowerRoman"/>
      <w:lvlText w:val="(%1)"/>
      <w:lvlJc w:val="left"/>
      <w:pPr>
        <w:tabs>
          <w:tab w:val="num" w:pos="2160"/>
        </w:tabs>
        <w:ind w:left="2160" w:hanging="72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6">
    <w:nsid w:val="2C92250A"/>
    <w:multiLevelType w:val="hybridMultilevel"/>
    <w:tmpl w:val="FCECA4E6"/>
    <w:lvl w:ilvl="0" w:tplc="FFFFFFFF">
      <w:start w:val="1"/>
      <w:numFmt w:val="decimal"/>
      <w:lvlText w:val="%1."/>
      <w:lvlJc w:val="left"/>
      <w:pPr>
        <w:tabs>
          <w:tab w:val="num" w:pos="1080"/>
        </w:tabs>
        <w:ind w:left="1080" w:hanging="360"/>
      </w:pPr>
      <w:rPr>
        <w:rFonts w:cs="Times New Roman"/>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2D2F11A0"/>
    <w:multiLevelType w:val="hybridMultilevel"/>
    <w:tmpl w:val="8368943E"/>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DB318A"/>
    <w:multiLevelType w:val="hybridMultilevel"/>
    <w:tmpl w:val="940E8760"/>
    <w:lvl w:ilvl="0" w:tplc="FFFFFFFF">
      <w:start w:val="1"/>
      <w:numFmt w:val="lowerLetter"/>
      <w:lvlText w:val="%1)"/>
      <w:lvlJc w:val="left"/>
      <w:pPr>
        <w:tabs>
          <w:tab w:val="num" w:pos="720"/>
        </w:tabs>
        <w:ind w:left="720" w:hanging="720"/>
      </w:pPr>
      <w:rPr>
        <w:rFonts w:ascii="Times New Roman" w:hAnsi="Times New Roman" w:cs="Times New Roman" w:hint="default"/>
        <w:b w:val="0"/>
        <w:i w:val="0"/>
        <w:sz w:val="22"/>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9">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3AEB0B1E"/>
    <w:multiLevelType w:val="multilevel"/>
    <w:tmpl w:val="151C492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CE43C91"/>
    <w:multiLevelType w:val="singleLevel"/>
    <w:tmpl w:val="7174E9C0"/>
    <w:lvl w:ilvl="0">
      <w:start w:val="1"/>
      <w:numFmt w:val="decimal"/>
      <w:lvlText w:val="%1."/>
      <w:lvlJc w:val="left"/>
      <w:pPr>
        <w:tabs>
          <w:tab w:val="num" w:pos="360"/>
        </w:tabs>
      </w:pPr>
      <w:rPr>
        <w:rFonts w:cs="Times New Roman"/>
      </w:rPr>
    </w:lvl>
  </w:abstractNum>
  <w:abstractNum w:abstractNumId="12">
    <w:nsid w:val="44CC7FBB"/>
    <w:multiLevelType w:val="hybridMultilevel"/>
    <w:tmpl w:val="45E4BE68"/>
    <w:lvl w:ilvl="0" w:tplc="FFFFFFFF">
      <w:start w:val="1"/>
      <w:numFmt w:val="lowerLetter"/>
      <w:pStyle w:val="Para2"/>
      <w:lvlText w:val="(%1)"/>
      <w:lvlJc w:val="left"/>
      <w:pPr>
        <w:tabs>
          <w:tab w:val="num" w:pos="1080"/>
        </w:tabs>
        <w:ind w:left="1080" w:hanging="360"/>
      </w:pPr>
      <w:rPr>
        <w:rFonts w:cs="Times New Roman" w:hint="default"/>
        <w:b w:val="0"/>
        <w:i w:val="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3">
    <w:nsid w:val="469C0FCD"/>
    <w:multiLevelType w:val="hybridMultilevel"/>
    <w:tmpl w:val="839ED9B2"/>
    <w:lvl w:ilvl="0" w:tplc="FFFFFFFF">
      <w:start w:val="22"/>
      <w:numFmt w:val="lowerRoman"/>
      <w:lvlText w:val="(%1)"/>
      <w:lvlJc w:val="left"/>
      <w:pPr>
        <w:tabs>
          <w:tab w:val="num" w:pos="2160"/>
        </w:tabs>
        <w:ind w:left="2160" w:hanging="72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4">
    <w:nsid w:val="4762318C"/>
    <w:multiLevelType w:val="multilevel"/>
    <w:tmpl w:val="F9AC0092"/>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52FA0D9A"/>
    <w:multiLevelType w:val="multilevel"/>
    <w:tmpl w:val="187822A4"/>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5BDA15C7"/>
    <w:multiLevelType w:val="hybridMultilevel"/>
    <w:tmpl w:val="0A9A1A24"/>
    <w:lvl w:ilvl="0" w:tplc="FFFFFFFF">
      <w:start w:val="10"/>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5CC009D4"/>
    <w:multiLevelType w:val="multilevel"/>
    <w:tmpl w:val="66CADF46"/>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614608C6"/>
    <w:multiLevelType w:val="hybridMultilevel"/>
    <w:tmpl w:val="BC6CFBDC"/>
    <w:lvl w:ilvl="0" w:tplc="FFFFFFFF">
      <w:start w:val="6"/>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65814BD9"/>
    <w:multiLevelType w:val="hybridMultilevel"/>
    <w:tmpl w:val="4A5E6682"/>
    <w:lvl w:ilvl="0" w:tplc="FFFFFFFF">
      <w:start w:val="6"/>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730A2A3B"/>
    <w:multiLevelType w:val="hybridMultilevel"/>
    <w:tmpl w:val="541C3456"/>
    <w:lvl w:ilvl="0" w:tplc="FFFFFFFF">
      <w:start w:val="1"/>
      <w:numFmt w:val="decimal"/>
      <w:lvlText w:val="%1."/>
      <w:lvlJc w:val="left"/>
      <w:pPr>
        <w:tabs>
          <w:tab w:val="num" w:pos="576"/>
        </w:tabs>
        <w:ind w:left="576" w:hanging="576"/>
      </w:pPr>
      <w:rPr>
        <w:rFonts w:cs="Times New Roman" w:hint="default"/>
      </w:rPr>
    </w:lvl>
    <w:lvl w:ilvl="1" w:tplc="FFFFFFFF">
      <w:start w:val="1"/>
      <w:numFmt w:val="lowerLetter"/>
      <w:lvlText w:val="(%2)"/>
      <w:lvlJc w:val="left"/>
      <w:pPr>
        <w:tabs>
          <w:tab w:val="num" w:pos="1287"/>
        </w:tabs>
        <w:ind w:firstLine="567"/>
      </w:pPr>
      <w:rPr>
        <w:rFonts w:cs="Times New Roman" w:hint="default"/>
      </w:rPr>
    </w:lvl>
    <w:lvl w:ilvl="2" w:tplc="FFFFFFFF">
      <w:numFmt w:val="bullet"/>
      <w:lvlText w:val=""/>
      <w:lvlJc w:val="left"/>
      <w:pPr>
        <w:tabs>
          <w:tab w:val="num" w:pos="2340"/>
        </w:tabs>
        <w:ind w:left="2340" w:hanging="360"/>
      </w:pPr>
      <w:rPr>
        <w:rFonts w:ascii="Symbol" w:eastAsia="Times New Roman"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7EC637CE"/>
    <w:multiLevelType w:val="hybridMultilevel"/>
    <w:tmpl w:val="E28240F6"/>
    <w:lvl w:ilvl="0" w:tplc="FFFFFFFF">
      <w:start w:val="18"/>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6"/>
  </w:num>
  <w:num w:numId="4">
    <w:abstractNumId w:val="22"/>
  </w:num>
  <w:num w:numId="5">
    <w:abstractNumId w:val="9"/>
  </w:num>
  <w:num w:numId="6">
    <w:abstractNumId w:val="16"/>
  </w:num>
  <w:num w:numId="7">
    <w:abstractNumId w:val="12"/>
  </w:num>
  <w:num w:numId="8">
    <w:abstractNumId w:val="10"/>
  </w:num>
  <w:num w:numId="9">
    <w:abstractNumId w:val="16"/>
  </w:num>
  <w:num w:numId="10">
    <w:abstractNumId w:val="15"/>
  </w:num>
  <w:num w:numId="11">
    <w:abstractNumId w:val="11"/>
  </w:num>
  <w:num w:numId="12">
    <w:abstractNumId w:val="4"/>
  </w:num>
  <w:num w:numId="13">
    <w:abstractNumId w:val="14"/>
  </w:num>
  <w:num w:numId="14">
    <w:abstractNumId w:val="0"/>
  </w:num>
  <w:num w:numId="15">
    <w:abstractNumId w:val="23"/>
  </w:num>
  <w:num w:numId="16">
    <w:abstractNumId w:val="18"/>
  </w:num>
  <w:num w:numId="17">
    <w:abstractNumId w:val="3"/>
  </w:num>
  <w:num w:numId="18">
    <w:abstractNumId w:val="16"/>
    <w:lvlOverride w:ilvl="0">
      <w:startOverride w:val="1"/>
    </w:lvlOverride>
    <w:lvlOverride w:ilvl="1">
      <w:startOverride w:val="1"/>
    </w:lvlOverride>
    <w:lvlOverride w:ilvl="2">
      <w:startOverride w:val="2"/>
    </w:lvlOverride>
  </w:num>
  <w:num w:numId="19">
    <w:abstractNumId w:val="16"/>
    <w:lvlOverride w:ilvl="0">
      <w:startOverride w:val="1"/>
    </w:lvlOverride>
    <w:lvlOverride w:ilvl="1">
      <w:startOverride w:val="1"/>
    </w:lvlOverride>
    <w:lvlOverride w:ilvl="2">
      <w:startOverride w:val="3"/>
    </w:lvlOverride>
  </w:num>
  <w:num w:numId="20">
    <w:abstractNumId w:val="2"/>
  </w:num>
  <w:num w:numId="21">
    <w:abstractNumId w:val="19"/>
  </w:num>
  <w:num w:numId="22">
    <w:abstractNumId w:val="17"/>
  </w:num>
  <w:num w:numId="23">
    <w:abstractNumId w:val="5"/>
  </w:num>
  <w:num w:numId="24">
    <w:abstractNumId w:val="20"/>
  </w:num>
  <w:num w:numId="25">
    <w:abstractNumId w:val="21"/>
  </w:num>
  <w:num w:numId="26">
    <w:abstractNumId w:val="13"/>
  </w:num>
  <w:num w:numId="27">
    <w:abstractNumId w:val="16"/>
  </w:num>
  <w:num w:numId="28">
    <w:abstractNumId w:val="16"/>
  </w:num>
  <w:num w:numId="29">
    <w:abstractNumId w:val="16"/>
  </w:num>
  <w:num w:numId="30">
    <w:abstractNumId w:val="16"/>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attachedTemplate r:id="rId1"/>
  <w:stylePaneFormatFilter w:val="3F01"/>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93EBD"/>
    <w:rsid w:val="00001EDA"/>
    <w:rsid w:val="0005134E"/>
    <w:rsid w:val="00066547"/>
    <w:rsid w:val="00076B46"/>
    <w:rsid w:val="000A18A2"/>
    <w:rsid w:val="000F73BA"/>
    <w:rsid w:val="0015140D"/>
    <w:rsid w:val="00187FA9"/>
    <w:rsid w:val="001C2898"/>
    <w:rsid w:val="001C5CD5"/>
    <w:rsid w:val="001D046A"/>
    <w:rsid w:val="001E46F1"/>
    <w:rsid w:val="001F708A"/>
    <w:rsid w:val="002053C6"/>
    <w:rsid w:val="0022640D"/>
    <w:rsid w:val="002354B1"/>
    <w:rsid w:val="00272BD1"/>
    <w:rsid w:val="0028101F"/>
    <w:rsid w:val="002816F7"/>
    <w:rsid w:val="002833D7"/>
    <w:rsid w:val="00293EBD"/>
    <w:rsid w:val="00334699"/>
    <w:rsid w:val="003A57E3"/>
    <w:rsid w:val="003F1D23"/>
    <w:rsid w:val="00426E9A"/>
    <w:rsid w:val="00455047"/>
    <w:rsid w:val="00470B46"/>
    <w:rsid w:val="00481B9B"/>
    <w:rsid w:val="0048406E"/>
    <w:rsid w:val="004960E4"/>
    <w:rsid w:val="004A3C92"/>
    <w:rsid w:val="004C1EEE"/>
    <w:rsid w:val="004F4E2F"/>
    <w:rsid w:val="00504DDC"/>
    <w:rsid w:val="00534B3D"/>
    <w:rsid w:val="00567925"/>
    <w:rsid w:val="005754E0"/>
    <w:rsid w:val="00585674"/>
    <w:rsid w:val="0061591C"/>
    <w:rsid w:val="006507F2"/>
    <w:rsid w:val="006573CD"/>
    <w:rsid w:val="00672564"/>
    <w:rsid w:val="006D4A4F"/>
    <w:rsid w:val="006F005D"/>
    <w:rsid w:val="00710F6E"/>
    <w:rsid w:val="00711E4F"/>
    <w:rsid w:val="00736BC2"/>
    <w:rsid w:val="007B27BD"/>
    <w:rsid w:val="007C60A7"/>
    <w:rsid w:val="007C6E74"/>
    <w:rsid w:val="007D30D9"/>
    <w:rsid w:val="008B49CE"/>
    <w:rsid w:val="008E492F"/>
    <w:rsid w:val="009142D0"/>
    <w:rsid w:val="00966444"/>
    <w:rsid w:val="00972867"/>
    <w:rsid w:val="00985182"/>
    <w:rsid w:val="00991F6F"/>
    <w:rsid w:val="009B6F5E"/>
    <w:rsid w:val="00A04E9B"/>
    <w:rsid w:val="00A109E0"/>
    <w:rsid w:val="00A36DC3"/>
    <w:rsid w:val="00A559EC"/>
    <w:rsid w:val="00A60A25"/>
    <w:rsid w:val="00A653EA"/>
    <w:rsid w:val="00A8155F"/>
    <w:rsid w:val="00A82A99"/>
    <w:rsid w:val="00A966A0"/>
    <w:rsid w:val="00AA0124"/>
    <w:rsid w:val="00AA0C5F"/>
    <w:rsid w:val="00AC1474"/>
    <w:rsid w:val="00AD792D"/>
    <w:rsid w:val="00B46502"/>
    <w:rsid w:val="00BC296F"/>
    <w:rsid w:val="00BD4857"/>
    <w:rsid w:val="00BD56D9"/>
    <w:rsid w:val="00BE332B"/>
    <w:rsid w:val="00C87520"/>
    <w:rsid w:val="00C953F5"/>
    <w:rsid w:val="00CE0CD6"/>
    <w:rsid w:val="00CE52C9"/>
    <w:rsid w:val="00CF1A12"/>
    <w:rsid w:val="00D03985"/>
    <w:rsid w:val="00D37D34"/>
    <w:rsid w:val="00D53E6C"/>
    <w:rsid w:val="00D55BC3"/>
    <w:rsid w:val="00D7074B"/>
    <w:rsid w:val="00D838BC"/>
    <w:rsid w:val="00D8731D"/>
    <w:rsid w:val="00DE1417"/>
    <w:rsid w:val="00E06D44"/>
    <w:rsid w:val="00E47F72"/>
    <w:rsid w:val="00E66BD5"/>
    <w:rsid w:val="00EE63D7"/>
    <w:rsid w:val="00F1323F"/>
    <w:rsid w:val="00F150DC"/>
    <w:rsid w:val="00F21EDA"/>
    <w:rsid w:val="00F23E04"/>
    <w:rsid w:val="00F7774F"/>
    <w:rsid w:val="00F91108"/>
    <w:rsid w:val="00FA4720"/>
    <w:rsid w:val="00FD4068"/>
    <w:rsid w:val="00FD56B6"/>
    <w:rsid w:val="00FE2A80"/>
    <w:rsid w:val="00FE56F4"/>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1F"/>
    <w:pPr>
      <w:jc w:val="both"/>
    </w:pPr>
    <w:rPr>
      <w:sz w:val="22"/>
      <w:szCs w:val="24"/>
    </w:rPr>
  </w:style>
  <w:style w:type="paragraph" w:styleId="Heading1">
    <w:name w:val="heading 1"/>
    <w:basedOn w:val="Normal"/>
    <w:next w:val="Heading2"/>
    <w:link w:val="Heading1Char"/>
    <w:uiPriority w:val="9"/>
    <w:qFormat/>
    <w:rsid w:val="0028101F"/>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qFormat/>
    <w:rsid w:val="0028101F"/>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
    <w:qFormat/>
    <w:rsid w:val="0028101F"/>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28101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uiPriority w:val="9"/>
    <w:qFormat/>
    <w:rsid w:val="0028101F"/>
    <w:pPr>
      <w:keepNext/>
      <w:numPr>
        <w:ilvl w:val="4"/>
        <w:numId w:val="5"/>
      </w:numPr>
      <w:spacing w:before="120" w:after="120"/>
      <w:jc w:val="left"/>
      <w:outlineLvl w:val="4"/>
    </w:pPr>
    <w:rPr>
      <w:bCs/>
      <w:i/>
      <w:szCs w:val="26"/>
    </w:rPr>
  </w:style>
  <w:style w:type="paragraph" w:styleId="Heading6">
    <w:name w:val="heading 6"/>
    <w:basedOn w:val="Normal"/>
    <w:next w:val="Normal"/>
    <w:link w:val="Heading6Char"/>
    <w:uiPriority w:val="9"/>
    <w:qFormat/>
    <w:rsid w:val="0028101F"/>
    <w:pPr>
      <w:keepNext/>
      <w:spacing w:after="240" w:line="240" w:lineRule="exact"/>
      <w:ind w:left="720"/>
      <w:outlineLvl w:val="5"/>
    </w:pPr>
    <w:rPr>
      <w:u w:val="single"/>
    </w:rPr>
  </w:style>
  <w:style w:type="paragraph" w:styleId="Heading7">
    <w:name w:val="heading 7"/>
    <w:basedOn w:val="Normal"/>
    <w:next w:val="Normal"/>
    <w:link w:val="Heading7Char"/>
    <w:uiPriority w:val="9"/>
    <w:rsid w:val="0028101F"/>
    <w:pPr>
      <w:keepNext/>
      <w:jc w:val="right"/>
      <w:outlineLvl w:val="6"/>
    </w:pPr>
    <w:rPr>
      <w:rFonts w:ascii="Univers" w:hAnsi="Univers"/>
      <w:b/>
      <w:sz w:val="28"/>
    </w:rPr>
  </w:style>
  <w:style w:type="paragraph" w:styleId="Heading8">
    <w:name w:val="heading 8"/>
    <w:basedOn w:val="Normal"/>
    <w:next w:val="Normal"/>
    <w:link w:val="Heading8Char"/>
    <w:uiPriority w:val="9"/>
    <w:qFormat/>
    <w:rsid w:val="0028101F"/>
    <w:pPr>
      <w:keepNext/>
      <w:jc w:val="right"/>
      <w:outlineLvl w:val="7"/>
    </w:pPr>
    <w:rPr>
      <w:rFonts w:ascii="Univers" w:hAnsi="Univers"/>
      <w:b/>
      <w:sz w:val="32"/>
    </w:rPr>
  </w:style>
  <w:style w:type="paragraph" w:styleId="Heading9">
    <w:name w:val="heading 9"/>
    <w:basedOn w:val="Normal"/>
    <w:next w:val="Normal"/>
    <w:link w:val="Heading9Char"/>
    <w:uiPriority w:val="9"/>
    <w:rsid w:val="0028101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8101F"/>
    <w:rPr>
      <w:rFonts w:ascii="Cambria" w:eastAsia="SimSun" w:hAnsi="Cambria"/>
      <w:b/>
      <w:kern w:val="32"/>
      <w:sz w:val="32"/>
      <w:lang w:val="es-ES" w:eastAsia="es-ES"/>
    </w:rPr>
  </w:style>
  <w:style w:type="character" w:customStyle="1" w:styleId="Heading2Char">
    <w:name w:val="Heading 2 Char"/>
    <w:basedOn w:val="DefaultParagraphFont"/>
    <w:link w:val="Heading2"/>
    <w:uiPriority w:val="9"/>
    <w:semiHidden/>
    <w:locked/>
    <w:rsid w:val="0028101F"/>
    <w:rPr>
      <w:rFonts w:ascii="Cambria" w:eastAsia="SimSun" w:hAnsi="Cambria"/>
      <w:b/>
      <w:i/>
      <w:sz w:val="28"/>
      <w:lang w:val="es-ES" w:eastAsia="es-ES"/>
    </w:rPr>
  </w:style>
  <w:style w:type="character" w:customStyle="1" w:styleId="Heading3Char">
    <w:name w:val="Heading 3 Char"/>
    <w:basedOn w:val="DefaultParagraphFont"/>
    <w:link w:val="Heading3"/>
    <w:uiPriority w:val="9"/>
    <w:semiHidden/>
    <w:locked/>
    <w:rsid w:val="0028101F"/>
    <w:rPr>
      <w:rFonts w:ascii="Cambria" w:eastAsia="SimSun" w:hAnsi="Cambria"/>
      <w:b/>
      <w:sz w:val="26"/>
      <w:lang w:val="es-ES" w:eastAsia="es-ES"/>
    </w:rPr>
  </w:style>
  <w:style w:type="character" w:customStyle="1" w:styleId="Heading4Char">
    <w:name w:val="Heading 4 Char"/>
    <w:basedOn w:val="DefaultParagraphFont"/>
    <w:link w:val="Heading4"/>
    <w:uiPriority w:val="9"/>
    <w:semiHidden/>
    <w:locked/>
    <w:rsid w:val="0028101F"/>
    <w:rPr>
      <w:rFonts w:ascii="Calibri" w:eastAsia="SimSun" w:hAnsi="Calibri"/>
      <w:b/>
      <w:sz w:val="28"/>
      <w:lang w:val="es-ES" w:eastAsia="es-ES"/>
    </w:rPr>
  </w:style>
  <w:style w:type="character" w:customStyle="1" w:styleId="Heading5Char">
    <w:name w:val="Heading 5 Char"/>
    <w:basedOn w:val="DefaultParagraphFont"/>
    <w:link w:val="Heading5"/>
    <w:uiPriority w:val="9"/>
    <w:semiHidden/>
    <w:locked/>
    <w:rsid w:val="0028101F"/>
    <w:rPr>
      <w:rFonts w:ascii="Calibri" w:eastAsia="SimSun" w:hAnsi="Calibri"/>
      <w:b/>
      <w:i/>
      <w:sz w:val="26"/>
      <w:lang w:val="es-ES" w:eastAsia="es-ES"/>
    </w:rPr>
  </w:style>
  <w:style w:type="character" w:customStyle="1" w:styleId="Heading6Char">
    <w:name w:val="Heading 6 Char"/>
    <w:basedOn w:val="DefaultParagraphFont"/>
    <w:link w:val="Heading6"/>
    <w:uiPriority w:val="9"/>
    <w:semiHidden/>
    <w:locked/>
    <w:rsid w:val="0028101F"/>
    <w:rPr>
      <w:rFonts w:ascii="Calibri" w:eastAsia="SimSun" w:hAnsi="Calibri"/>
      <w:b/>
      <w:sz w:val="22"/>
      <w:lang w:val="es-ES" w:eastAsia="es-ES"/>
    </w:rPr>
  </w:style>
  <w:style w:type="character" w:customStyle="1" w:styleId="Heading7Char">
    <w:name w:val="Heading 7 Char"/>
    <w:basedOn w:val="DefaultParagraphFont"/>
    <w:link w:val="Heading7"/>
    <w:uiPriority w:val="9"/>
    <w:semiHidden/>
    <w:locked/>
    <w:rsid w:val="0028101F"/>
    <w:rPr>
      <w:rFonts w:ascii="Calibri" w:eastAsia="SimSun" w:hAnsi="Calibri"/>
      <w:sz w:val="24"/>
      <w:lang w:val="es-ES" w:eastAsia="es-ES"/>
    </w:rPr>
  </w:style>
  <w:style w:type="character" w:customStyle="1" w:styleId="Heading8Char">
    <w:name w:val="Heading 8 Char"/>
    <w:basedOn w:val="DefaultParagraphFont"/>
    <w:link w:val="Heading8"/>
    <w:uiPriority w:val="9"/>
    <w:semiHidden/>
    <w:locked/>
    <w:rsid w:val="0028101F"/>
    <w:rPr>
      <w:rFonts w:ascii="Calibri" w:eastAsia="SimSun" w:hAnsi="Calibri"/>
      <w:i/>
      <w:sz w:val="24"/>
      <w:lang w:val="es-ES" w:eastAsia="es-ES"/>
    </w:rPr>
  </w:style>
  <w:style w:type="character" w:customStyle="1" w:styleId="Heading9Char">
    <w:name w:val="Heading 9 Char"/>
    <w:basedOn w:val="DefaultParagraphFont"/>
    <w:link w:val="Heading9"/>
    <w:uiPriority w:val="9"/>
    <w:semiHidden/>
    <w:locked/>
    <w:rsid w:val="0028101F"/>
    <w:rPr>
      <w:rFonts w:ascii="Cambria" w:eastAsia="SimSun" w:hAnsi="Cambria"/>
      <w:sz w:val="22"/>
      <w:lang w:val="es-ES" w:eastAsia="es-ES"/>
    </w:rPr>
  </w:style>
  <w:style w:type="paragraph" w:styleId="Header">
    <w:name w:val="header"/>
    <w:basedOn w:val="Normal"/>
    <w:link w:val="HeaderChar"/>
    <w:uiPriority w:val="99"/>
    <w:rsid w:val="0028101F"/>
    <w:pPr>
      <w:tabs>
        <w:tab w:val="center" w:pos="4320"/>
        <w:tab w:val="right" w:pos="8640"/>
      </w:tabs>
    </w:pPr>
  </w:style>
  <w:style w:type="character" w:customStyle="1" w:styleId="HeaderChar">
    <w:name w:val="Header Char"/>
    <w:basedOn w:val="DefaultParagraphFont"/>
    <w:link w:val="Header"/>
    <w:uiPriority w:val="99"/>
    <w:semiHidden/>
    <w:locked/>
    <w:rsid w:val="0028101F"/>
    <w:rPr>
      <w:sz w:val="24"/>
      <w:lang w:val="es-ES" w:eastAsia="es-ES"/>
    </w:rPr>
  </w:style>
  <w:style w:type="paragraph" w:styleId="Footer">
    <w:name w:val="footer"/>
    <w:basedOn w:val="Normal"/>
    <w:link w:val="FooterChar"/>
    <w:uiPriority w:val="99"/>
    <w:rsid w:val="0028101F"/>
    <w:pPr>
      <w:tabs>
        <w:tab w:val="center" w:pos="4320"/>
        <w:tab w:val="right" w:pos="8640"/>
      </w:tabs>
      <w:ind w:firstLine="720"/>
      <w:jc w:val="right"/>
    </w:pPr>
  </w:style>
  <w:style w:type="character" w:customStyle="1" w:styleId="FooterChar">
    <w:name w:val="Footer Char"/>
    <w:basedOn w:val="DefaultParagraphFont"/>
    <w:link w:val="Footer"/>
    <w:uiPriority w:val="99"/>
    <w:semiHidden/>
    <w:locked/>
    <w:rsid w:val="0028101F"/>
    <w:rPr>
      <w:sz w:val="24"/>
      <w:lang w:val="es-ES" w:eastAsia="es-ES"/>
    </w:rPr>
  </w:style>
  <w:style w:type="paragraph" w:customStyle="1" w:styleId="Para1">
    <w:name w:val="Para1"/>
    <w:basedOn w:val="Normal"/>
    <w:rsid w:val="0028101F"/>
    <w:pPr>
      <w:numPr>
        <w:numId w:val="6"/>
      </w:numPr>
      <w:spacing w:before="120" w:after="120"/>
    </w:pPr>
    <w:rPr>
      <w:szCs w:val="18"/>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
    <w:uiPriority w:val="99"/>
    <w:rsid w:val="0028101F"/>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locked/>
    <w:rsid w:val="0028101F"/>
    <w:rPr>
      <w:sz w:val="24"/>
      <w:lang w:val="es-ES" w:eastAsia="es-E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28101F"/>
    <w:pPr>
      <w:spacing w:after="160" w:line="240" w:lineRule="exact"/>
      <w:jc w:val="left"/>
    </w:pPr>
    <w:rPr>
      <w:sz w:val="18"/>
      <w:szCs w:val="20"/>
      <w:u w:val="single"/>
    </w:rPr>
  </w:style>
  <w:style w:type="paragraph" w:styleId="BodyText">
    <w:name w:val="Body Text"/>
    <w:basedOn w:val="Normal"/>
    <w:link w:val="BodyTextChar"/>
    <w:uiPriority w:val="99"/>
    <w:rsid w:val="0028101F"/>
    <w:pPr>
      <w:spacing w:before="120" w:after="120"/>
      <w:ind w:firstLine="720"/>
    </w:pPr>
    <w:rPr>
      <w:iCs/>
    </w:rPr>
  </w:style>
  <w:style w:type="character" w:customStyle="1" w:styleId="BodyTextChar">
    <w:name w:val="Body Text Char"/>
    <w:basedOn w:val="DefaultParagraphFont"/>
    <w:link w:val="BodyText"/>
    <w:uiPriority w:val="99"/>
    <w:semiHidden/>
    <w:locked/>
    <w:rsid w:val="0028101F"/>
    <w:rPr>
      <w:sz w:val="24"/>
      <w:lang w:val="es-ES" w:eastAsia="es-ES"/>
    </w:rPr>
  </w:style>
  <w:style w:type="character" w:customStyle="1" w:styleId="StyleFootnoteReferenceNounderline">
    <w:name w:val="Style Footnote Reference + No underline"/>
    <w:rsid w:val="0028101F"/>
    <w:rPr>
      <w:sz w:val="18"/>
      <w:u w:val="none"/>
      <w:vertAlign w:val="baseline"/>
      <w:lang w:val="es-ES" w:eastAsia="es-ES"/>
    </w:rPr>
  </w:style>
  <w:style w:type="paragraph" w:customStyle="1" w:styleId="Quotationtextindented">
    <w:name w:val="Quotation text (indented)"/>
    <w:basedOn w:val="Normal"/>
    <w:qFormat/>
    <w:rsid w:val="0028101F"/>
    <w:pPr>
      <w:spacing w:before="120" w:after="120"/>
      <w:ind w:left="720" w:right="720"/>
    </w:pPr>
    <w:rPr>
      <w:bCs/>
    </w:rPr>
  </w:style>
  <w:style w:type="paragraph" w:customStyle="1" w:styleId="recommendationheader">
    <w:name w:val="recommendation header"/>
    <w:basedOn w:val="Heading2"/>
    <w:qFormat/>
    <w:rsid w:val="0028101F"/>
  </w:style>
  <w:style w:type="character" w:styleId="CommentReference">
    <w:name w:val="annotation reference"/>
    <w:basedOn w:val="DefaultParagraphFont"/>
    <w:uiPriority w:val="99"/>
    <w:semiHidden/>
    <w:rsid w:val="0028101F"/>
    <w:rPr>
      <w:sz w:val="16"/>
      <w:lang w:val="es-ES" w:eastAsia="es-ES"/>
    </w:rPr>
  </w:style>
  <w:style w:type="paragraph" w:styleId="CommentText">
    <w:name w:val="annotation text"/>
    <w:basedOn w:val="Normal"/>
    <w:link w:val="CommentTextChar"/>
    <w:uiPriority w:val="99"/>
    <w:semiHidden/>
    <w:rsid w:val="0028101F"/>
    <w:pPr>
      <w:spacing w:after="120" w:line="240" w:lineRule="exact"/>
    </w:pPr>
  </w:style>
  <w:style w:type="character" w:customStyle="1" w:styleId="CommentTextChar">
    <w:name w:val="Comment Text Char"/>
    <w:basedOn w:val="DefaultParagraphFont"/>
    <w:link w:val="CommentText"/>
    <w:uiPriority w:val="99"/>
    <w:semiHidden/>
    <w:locked/>
    <w:rsid w:val="0028101F"/>
    <w:rPr>
      <w:sz w:val="24"/>
      <w:lang w:val="es-ES" w:eastAsia="es-E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qFormat/>
    <w:locked/>
    <w:rsid w:val="0028101F"/>
    <w:rPr>
      <w:sz w:val="18"/>
      <w:u w:val="single"/>
      <w:vertAlign w:val="baseline"/>
      <w:lang w:val="es-ES" w:eastAsia="es-ES"/>
    </w:rPr>
  </w:style>
  <w:style w:type="paragraph" w:styleId="BodyTextIndent">
    <w:name w:val="Body Text Indent"/>
    <w:basedOn w:val="Normal"/>
    <w:link w:val="BodyTextIndentChar"/>
    <w:uiPriority w:val="99"/>
    <w:rsid w:val="0028101F"/>
    <w:pPr>
      <w:spacing w:before="120" w:after="120"/>
      <w:ind w:left="1440" w:hanging="720"/>
      <w:jc w:val="left"/>
    </w:pPr>
  </w:style>
  <w:style w:type="character" w:customStyle="1" w:styleId="BodyTextIndentChar">
    <w:name w:val="Body Text Indent Char"/>
    <w:basedOn w:val="DefaultParagraphFont"/>
    <w:link w:val="BodyTextIndent"/>
    <w:uiPriority w:val="99"/>
    <w:semiHidden/>
    <w:locked/>
    <w:rsid w:val="0028101F"/>
    <w:rPr>
      <w:sz w:val="24"/>
      <w:lang w:val="es-ES" w:eastAsia="es-ES"/>
    </w:rPr>
  </w:style>
  <w:style w:type="character" w:styleId="PageNumber">
    <w:name w:val="page number"/>
    <w:basedOn w:val="DefaultParagraphFont"/>
    <w:uiPriority w:val="99"/>
    <w:rsid w:val="0028101F"/>
    <w:rPr>
      <w:rFonts w:ascii="Times New Roman" w:hAnsi="Times New Roman"/>
      <w:sz w:val="22"/>
      <w:lang w:val="es-ES" w:eastAsia="es-ES"/>
    </w:rPr>
  </w:style>
  <w:style w:type="paragraph" w:customStyle="1" w:styleId="HEADING">
    <w:name w:val="HEADING"/>
    <w:basedOn w:val="Normal"/>
    <w:rsid w:val="0028101F"/>
    <w:pPr>
      <w:keepNext/>
      <w:spacing w:before="240" w:after="120"/>
      <w:jc w:val="center"/>
    </w:pPr>
    <w:rPr>
      <w:b/>
      <w:bCs/>
      <w:caps/>
    </w:rPr>
  </w:style>
  <w:style w:type="paragraph" w:customStyle="1" w:styleId="para4">
    <w:name w:val="para4"/>
    <w:basedOn w:val="Normal"/>
    <w:rsid w:val="0028101F"/>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28101F"/>
    <w:pPr>
      <w:ind w:left="720"/>
      <w:outlineLvl w:val="9"/>
    </w:pPr>
    <w:rPr>
      <w:rFonts w:ascii="Times New Roman" w:hAnsi="Times New Roman"/>
    </w:rPr>
  </w:style>
  <w:style w:type="paragraph" w:customStyle="1" w:styleId="Cornernotation">
    <w:name w:val="Corner notation"/>
    <w:basedOn w:val="Normal"/>
    <w:rsid w:val="0028101F"/>
    <w:pPr>
      <w:ind w:left="170" w:right="4540" w:hanging="170"/>
      <w:jc w:val="left"/>
    </w:pPr>
  </w:style>
  <w:style w:type="paragraph" w:customStyle="1" w:styleId="Para3">
    <w:name w:val="Para3"/>
    <w:basedOn w:val="Normal"/>
    <w:rsid w:val="0028101F"/>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qFormat/>
    <w:rsid w:val="0028101F"/>
  </w:style>
  <w:style w:type="paragraph" w:customStyle="1" w:styleId="tabletitle">
    <w:name w:val="table title"/>
    <w:basedOn w:val="Heading2"/>
    <w:qFormat/>
    <w:rsid w:val="0028101F"/>
    <w:pPr>
      <w:jc w:val="left"/>
      <w:outlineLvl w:val="9"/>
    </w:pPr>
  </w:style>
  <w:style w:type="paragraph" w:styleId="TOAHeading">
    <w:name w:val="toa heading"/>
    <w:basedOn w:val="Normal"/>
    <w:next w:val="Normal"/>
    <w:uiPriority w:val="99"/>
    <w:semiHidden/>
    <w:rsid w:val="0028101F"/>
    <w:pPr>
      <w:spacing w:before="120"/>
    </w:pPr>
    <w:rPr>
      <w:rFonts w:cs="Arial"/>
      <w:b/>
      <w:bCs/>
      <w:sz w:val="24"/>
    </w:rPr>
  </w:style>
  <w:style w:type="paragraph" w:styleId="TOC9">
    <w:name w:val="toc 9"/>
    <w:basedOn w:val="Normal"/>
    <w:next w:val="Normal"/>
    <w:autoRedefine/>
    <w:uiPriority w:val="39"/>
    <w:semiHidden/>
    <w:rsid w:val="0028101F"/>
    <w:pPr>
      <w:spacing w:before="120" w:after="120"/>
      <w:ind w:left="1760"/>
      <w:jc w:val="left"/>
    </w:pPr>
  </w:style>
  <w:style w:type="paragraph" w:styleId="TOC1">
    <w:name w:val="toc 1"/>
    <w:basedOn w:val="Normal"/>
    <w:next w:val="Normal"/>
    <w:autoRedefine/>
    <w:uiPriority w:val="39"/>
    <w:semiHidden/>
    <w:rsid w:val="0028101F"/>
    <w:pPr>
      <w:ind w:left="720" w:hanging="720"/>
    </w:pPr>
    <w:rPr>
      <w:caps/>
    </w:rPr>
  </w:style>
  <w:style w:type="paragraph" w:styleId="TOC2">
    <w:name w:val="toc 2"/>
    <w:basedOn w:val="Normal"/>
    <w:next w:val="Normal"/>
    <w:autoRedefine/>
    <w:uiPriority w:val="39"/>
    <w:semiHidden/>
    <w:rsid w:val="0028101F"/>
    <w:pPr>
      <w:tabs>
        <w:tab w:val="right" w:leader="dot" w:pos="9356"/>
      </w:tabs>
      <w:ind w:left="1440" w:hanging="720"/>
    </w:pPr>
    <w:rPr>
      <w:noProof/>
      <w:szCs w:val="22"/>
    </w:rPr>
  </w:style>
  <w:style w:type="paragraph" w:styleId="TOC3">
    <w:name w:val="toc 3"/>
    <w:basedOn w:val="Normal"/>
    <w:next w:val="Normal"/>
    <w:autoRedefine/>
    <w:uiPriority w:val="39"/>
    <w:semiHidden/>
    <w:rsid w:val="0028101F"/>
    <w:pPr>
      <w:ind w:left="2160" w:hanging="720"/>
    </w:pPr>
  </w:style>
  <w:style w:type="paragraph" w:styleId="TOC4">
    <w:name w:val="toc 4"/>
    <w:basedOn w:val="Normal"/>
    <w:next w:val="Normal"/>
    <w:autoRedefine/>
    <w:uiPriority w:val="39"/>
    <w:semiHidden/>
    <w:rsid w:val="0028101F"/>
    <w:pPr>
      <w:spacing w:before="120" w:after="120"/>
      <w:ind w:left="660"/>
      <w:jc w:val="left"/>
    </w:pPr>
  </w:style>
  <w:style w:type="paragraph" w:styleId="TOC5">
    <w:name w:val="toc 5"/>
    <w:basedOn w:val="Normal"/>
    <w:next w:val="Normal"/>
    <w:autoRedefine/>
    <w:uiPriority w:val="39"/>
    <w:semiHidden/>
    <w:rsid w:val="0028101F"/>
    <w:pPr>
      <w:spacing w:before="120" w:after="120"/>
      <w:ind w:left="880"/>
      <w:jc w:val="left"/>
    </w:pPr>
  </w:style>
  <w:style w:type="paragraph" w:styleId="TOC6">
    <w:name w:val="toc 6"/>
    <w:basedOn w:val="Normal"/>
    <w:next w:val="Normal"/>
    <w:autoRedefine/>
    <w:uiPriority w:val="39"/>
    <w:semiHidden/>
    <w:rsid w:val="0028101F"/>
    <w:pPr>
      <w:spacing w:before="120" w:after="120"/>
      <w:ind w:left="1100"/>
      <w:jc w:val="left"/>
    </w:pPr>
  </w:style>
  <w:style w:type="paragraph" w:styleId="TOC7">
    <w:name w:val="toc 7"/>
    <w:basedOn w:val="Normal"/>
    <w:next w:val="Normal"/>
    <w:autoRedefine/>
    <w:uiPriority w:val="39"/>
    <w:semiHidden/>
    <w:rsid w:val="0028101F"/>
    <w:pPr>
      <w:spacing w:before="120" w:after="120"/>
      <w:ind w:left="1320"/>
      <w:jc w:val="left"/>
    </w:pPr>
  </w:style>
  <w:style w:type="paragraph" w:styleId="TOC8">
    <w:name w:val="toc 8"/>
    <w:basedOn w:val="Normal"/>
    <w:next w:val="Normal"/>
    <w:autoRedefine/>
    <w:uiPriority w:val="39"/>
    <w:semiHidden/>
    <w:rsid w:val="0028101F"/>
    <w:pPr>
      <w:spacing w:before="120" w:after="120"/>
      <w:ind w:left="1540"/>
      <w:jc w:val="left"/>
    </w:pPr>
  </w:style>
  <w:style w:type="paragraph" w:customStyle="1" w:styleId="reference">
    <w:name w:val="reference"/>
    <w:basedOn w:val="Heading9"/>
    <w:qFormat/>
    <w:rsid w:val="0028101F"/>
    <w:rPr>
      <w:i w:val="0"/>
      <w:sz w:val="18"/>
    </w:rPr>
  </w:style>
  <w:style w:type="character" w:styleId="FollowedHyperlink">
    <w:name w:val="FollowedHyperlink"/>
    <w:basedOn w:val="DefaultParagraphFont"/>
    <w:uiPriority w:val="99"/>
    <w:rsid w:val="0028101F"/>
    <w:rPr>
      <w:color w:val="800080"/>
      <w:u w:val="single"/>
      <w:lang w:val="es-ES" w:eastAsia="es-ES"/>
    </w:rPr>
  </w:style>
  <w:style w:type="paragraph" w:styleId="BodyText2">
    <w:name w:val="Body Text 2"/>
    <w:basedOn w:val="Normal"/>
    <w:link w:val="BodyText2Char"/>
    <w:uiPriority w:val="99"/>
    <w:semiHidden/>
    <w:unhideWhenUsed/>
    <w:rsid w:val="0028101F"/>
    <w:pPr>
      <w:spacing w:after="120" w:line="480" w:lineRule="auto"/>
    </w:pPr>
  </w:style>
  <w:style w:type="character" w:customStyle="1" w:styleId="BodyText2Char">
    <w:name w:val="Body Text 2 Char"/>
    <w:basedOn w:val="DefaultParagraphFont"/>
    <w:link w:val="BodyText2"/>
    <w:uiPriority w:val="99"/>
    <w:semiHidden/>
    <w:locked/>
    <w:rsid w:val="0028101F"/>
    <w:rPr>
      <w:sz w:val="24"/>
      <w:lang w:val="es-ES" w:eastAsia="es-ES"/>
    </w:rPr>
  </w:style>
  <w:style w:type="paragraph" w:customStyle="1" w:styleId="Para2">
    <w:name w:val="Para2"/>
    <w:basedOn w:val="Para1"/>
    <w:rsid w:val="0028101F"/>
    <w:pPr>
      <w:numPr>
        <w:numId w:val="7"/>
      </w:numPr>
      <w:autoSpaceDE w:val="0"/>
      <w:autoSpaceDN w:val="0"/>
      <w:ind w:firstLine="720"/>
    </w:pPr>
  </w:style>
  <w:style w:type="paragraph" w:customStyle="1" w:styleId="Para-decision">
    <w:name w:val="Para-decision"/>
    <w:basedOn w:val="Normal"/>
    <w:rsid w:val="0028101F"/>
    <w:pPr>
      <w:tabs>
        <w:tab w:val="left" w:pos="-1440"/>
        <w:tab w:val="left" w:pos="-720"/>
        <w:tab w:val="left" w:pos="0"/>
        <w:tab w:val="left" w:pos="720"/>
        <w:tab w:val="left" w:pos="1440"/>
      </w:tabs>
      <w:suppressAutoHyphens/>
      <w:overflowPunct w:val="0"/>
      <w:autoSpaceDE w:val="0"/>
      <w:autoSpaceDN w:val="0"/>
      <w:adjustRightInd w:val="0"/>
      <w:spacing w:before="120" w:after="120"/>
      <w:jc w:val="left"/>
      <w:textAlignment w:val="baseline"/>
    </w:pPr>
    <w:rPr>
      <w:color w:val="000000"/>
    </w:rPr>
  </w:style>
  <w:style w:type="character" w:styleId="EndnoteReference">
    <w:name w:val="endnote reference"/>
    <w:basedOn w:val="DefaultParagraphFont"/>
    <w:uiPriority w:val="99"/>
    <w:semiHidden/>
    <w:rsid w:val="0028101F"/>
    <w:rPr>
      <w:vertAlign w:val="superscript"/>
      <w:lang w:val="es-ES" w:eastAsia="es-ES"/>
    </w:rPr>
  </w:style>
  <w:style w:type="paragraph" w:styleId="EndnoteText">
    <w:name w:val="endnote text"/>
    <w:basedOn w:val="Normal"/>
    <w:link w:val="EndnoteTextChar"/>
    <w:uiPriority w:val="99"/>
    <w:semiHidden/>
    <w:rsid w:val="0028101F"/>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sid w:val="0028101F"/>
    <w:rPr>
      <w:lang w:val="es-ES" w:eastAsia="es-ES"/>
    </w:rPr>
  </w:style>
  <w:style w:type="paragraph" w:customStyle="1" w:styleId="Heading1longmultiline">
    <w:name w:val="Heading 1 (long multiline)"/>
    <w:basedOn w:val="Heading1"/>
    <w:rsid w:val="0028101F"/>
    <w:pPr>
      <w:ind w:left="1843" w:hanging="1134"/>
      <w:jc w:val="left"/>
    </w:pPr>
  </w:style>
  <w:style w:type="paragraph" w:customStyle="1" w:styleId="Heading1multiline">
    <w:name w:val="Heading 1 (multiline)"/>
    <w:basedOn w:val="Heading1"/>
    <w:rsid w:val="0028101F"/>
    <w:pPr>
      <w:ind w:left="1843" w:right="996" w:hanging="567"/>
      <w:jc w:val="left"/>
    </w:pPr>
  </w:style>
  <w:style w:type="paragraph" w:customStyle="1" w:styleId="Heading2multiline">
    <w:name w:val="Heading 2 (multiline)"/>
    <w:basedOn w:val="Heading1"/>
    <w:next w:val="Para1"/>
    <w:rsid w:val="0028101F"/>
    <w:pPr>
      <w:spacing w:before="120"/>
      <w:ind w:left="1843" w:right="998" w:hanging="567"/>
      <w:jc w:val="left"/>
    </w:pPr>
    <w:rPr>
      <w:i/>
      <w:iCs/>
      <w:caps w:val="0"/>
    </w:rPr>
  </w:style>
  <w:style w:type="paragraph" w:customStyle="1" w:styleId="Heading2longmultiline">
    <w:name w:val="Heading 2 (long multiline)"/>
    <w:basedOn w:val="Heading2multiline"/>
    <w:rsid w:val="0028101F"/>
    <w:pPr>
      <w:ind w:left="2127" w:hanging="1276"/>
    </w:pPr>
  </w:style>
  <w:style w:type="paragraph" w:customStyle="1" w:styleId="Heading3multiline">
    <w:name w:val="Heading 3 (multiline)"/>
    <w:basedOn w:val="Heading3"/>
    <w:next w:val="Para1"/>
    <w:rsid w:val="0028101F"/>
    <w:pPr>
      <w:ind w:left="1418" w:hanging="425"/>
      <w:jc w:val="left"/>
    </w:pPr>
  </w:style>
  <w:style w:type="paragraph" w:customStyle="1" w:styleId="heading2notforTOC">
    <w:name w:val="heading 2 not for TOC"/>
    <w:basedOn w:val="Heading3"/>
    <w:rsid w:val="0028101F"/>
  </w:style>
  <w:style w:type="paragraph" w:customStyle="1" w:styleId="HEADINGNOTFORTOC">
    <w:name w:val="HEADING (NOT FOR TOC)"/>
    <w:basedOn w:val="Heading1"/>
    <w:next w:val="Heading2"/>
    <w:rsid w:val="0028101F"/>
  </w:style>
  <w:style w:type="character" w:styleId="PlaceholderText">
    <w:name w:val="Placeholder Text"/>
    <w:basedOn w:val="DefaultParagraphFont"/>
    <w:uiPriority w:val="99"/>
    <w:semiHidden/>
    <w:rsid w:val="0028101F"/>
    <w:rPr>
      <w:color w:val="808080"/>
      <w:lang w:val="es-ES" w:eastAsia="es-ES"/>
    </w:rPr>
  </w:style>
  <w:style w:type="paragraph" w:styleId="BalloonText">
    <w:name w:val="Balloon Text"/>
    <w:basedOn w:val="Normal"/>
    <w:link w:val="BalloonTextChar"/>
    <w:uiPriority w:val="99"/>
    <w:semiHidden/>
    <w:unhideWhenUsed/>
    <w:rsid w:val="002810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101F"/>
    <w:rPr>
      <w:rFonts w:ascii="Tahoma" w:hAnsi="Tahoma"/>
      <w:sz w:val="16"/>
      <w:lang w:val="es-ES" w:eastAsia="es-ES"/>
    </w:rPr>
  </w:style>
  <w:style w:type="character" w:styleId="Hyperlink">
    <w:name w:val="Hyperlink"/>
    <w:basedOn w:val="DefaultParagraphFont"/>
    <w:uiPriority w:val="99"/>
    <w:rsid w:val="0028101F"/>
    <w:rPr>
      <w:color w:val="0000FF"/>
      <w:u w:val="single"/>
      <w:lang w:val="es-ES" w:eastAsia="es-ES"/>
    </w:rPr>
  </w:style>
  <w:style w:type="paragraph" w:styleId="CommentSubject">
    <w:name w:val="annotation subject"/>
    <w:basedOn w:val="CommentText"/>
    <w:next w:val="CommentText"/>
    <w:link w:val="CommentSubjectChar"/>
    <w:uiPriority w:val="99"/>
    <w:semiHidden/>
    <w:unhideWhenUsed/>
    <w:rsid w:val="0028101F"/>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locked/>
    <w:rsid w:val="0028101F"/>
    <w:rPr>
      <w:b/>
      <w:sz w:val="24"/>
      <w:lang w:val="es-ES" w:eastAsia="es-ES"/>
    </w:rPr>
  </w:style>
  <w:style w:type="paragraph" w:customStyle="1" w:styleId="StyleBVIfnrCharBVIfnrCarCarCharBVIfnrCarCharBVIfnr">
    <w:name w:val="Style BVI fnr Char BVI fnr Car Car CharBVI fnr Car Char BVI fnr ..."/>
    <w:basedOn w:val="BVIfnrChar"/>
    <w:rsid w:val="0028101F"/>
    <w:rPr>
      <w:kern w:val="22"/>
      <w:u w:val="none"/>
      <w:vertAlign w:val="superscript"/>
    </w:rPr>
  </w:style>
  <w:style w:type="table" w:styleId="TableGrid">
    <w:name w:val="Table Grid"/>
    <w:basedOn w:val="TableNormal"/>
    <w:uiPriority w:val="59"/>
    <w:rsid w:val="0028101F"/>
    <w:rPr>
      <w:rFonts w:ascii="Calibri" w:eastAsia="SimSun" w:hAnsi="Calibri"/>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07/full/cop-07-dec-es.pdf" TargetMode="External"/><Relationship Id="rId13" Type="http://schemas.openxmlformats.org/officeDocument/2006/relationships/hyperlink" Target="https://www.cbd.int/doc/decisions/cop-07/full/cop-07-dec-es.pdf" TargetMode="External"/><Relationship Id="rId18" Type="http://schemas.openxmlformats.org/officeDocument/2006/relationships/hyperlink" Target="https://www.cbd.int/doc/decisions/cop-10/cop-10-dec-42-es.pdf" TargetMode="External"/><Relationship Id="rId3" Type="http://schemas.openxmlformats.org/officeDocument/2006/relationships/hyperlink" Target="https://www.cbd.int/doc/decisions/mop-08/mop-08-dec-19-es.pdf" TargetMode="External"/><Relationship Id="rId7" Type="http://schemas.openxmlformats.org/officeDocument/2006/relationships/hyperlink" Target="https://www.cbd.int/doc/meetings/tk/wg8j-07/official/wg8j-07-08-add1-es.pdf" TargetMode="External"/><Relationship Id="rId12" Type="http://schemas.openxmlformats.org/officeDocument/2006/relationships/hyperlink" Target="https://www.cbd.int/doc/decisions/cop-07/full/cop-07-dec-es.pdf" TargetMode="External"/><Relationship Id="rId17" Type="http://schemas.openxmlformats.org/officeDocument/2006/relationships/hyperlink" Target="https://www.cbd.int/doc/meetings/tk/wg8j-08/official/wg8j-08-06-add1-es.pdf" TargetMode="External"/><Relationship Id="rId2" Type="http://schemas.openxmlformats.org/officeDocument/2006/relationships/hyperlink" Target="https://www.cbd.int/doc/decisions/cop-12/cop-12-dec-12-es.pdf" TargetMode="External"/><Relationship Id="rId16" Type="http://schemas.openxmlformats.org/officeDocument/2006/relationships/hyperlink" Target="https://www.cbd.int/doc/decisions/cop-13/cop-13-dec-18-es.pdf" TargetMode="External"/><Relationship Id="rId1" Type="http://schemas.openxmlformats.org/officeDocument/2006/relationships/hyperlink" Target="https://www.cbd.int/doc/decisions/cop-07/full/cop-07-dec-es.pdf" TargetMode="External"/><Relationship Id="rId6" Type="http://schemas.openxmlformats.org/officeDocument/2006/relationships/hyperlink" Target="http://www.un.org/esa/socdev/unpfii/documents/MCS_v_en.pdf" TargetMode="External"/><Relationship Id="rId11" Type="http://schemas.openxmlformats.org/officeDocument/2006/relationships/hyperlink" Target="https://www.cbd.int/doc/decisions/cop-07/full/cop-07-dec-es.pdf" TargetMode="External"/><Relationship Id="rId5" Type="http://schemas.openxmlformats.org/officeDocument/2006/relationships/hyperlink" Target="http://www.un.org/esa/socdev/unpfii/documents/DRIPS_es.pdf" TargetMode="External"/><Relationship Id="rId15" Type="http://schemas.openxmlformats.org/officeDocument/2006/relationships/hyperlink" Target="https://www.cbd.int/doc/decisions/cop-13/cop-13-dec-18-es.pdf" TargetMode="External"/><Relationship Id="rId10" Type="http://schemas.openxmlformats.org/officeDocument/2006/relationships/hyperlink" Target="https://www.cbd.int/doc/decisions/cop-07/full/cop-07-dec-es.pdf" TargetMode="External"/><Relationship Id="rId19" Type="http://schemas.openxmlformats.org/officeDocument/2006/relationships/hyperlink" Target="https://www.iccaconsortium.org/index.php/discover/" TargetMode="External"/><Relationship Id="rId4" Type="http://schemas.openxmlformats.org/officeDocument/2006/relationships/hyperlink" Target="https://www.cbd.int/doc/decisions/np-mop-02/np-mop-02-dec-07-es.pdf" TargetMode="External"/><Relationship Id="rId9" Type="http://schemas.openxmlformats.org/officeDocument/2006/relationships/hyperlink" Target="https://www.cbd.int/doc/decisions/cop-07/full/cop-07-dec-es.pdf" TargetMode="External"/><Relationship Id="rId14" Type="http://schemas.openxmlformats.org/officeDocument/2006/relationships/hyperlink" Target="https://www.cbd.int/doc/decisions/cop-07/full/cop-07-dec-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2014\SBSTTA-18\template-sbstta-18.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EAC1A9-B493-445A-AA88-EDF5D12B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template-sbstta-18.dot</Template>
  <TotalTime>393</TotalTime>
  <Pages>8</Pages>
  <Words>2684</Words>
  <Characters>15060</Characters>
  <Application>Microsoft Office Word</Application>
  <DocSecurity>0</DocSecurity>
  <Lines>327</Lines>
  <Paragraphs>170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Glossary of relevant key terms and concepts within the context of Article 8(j) and related provisions</vt:lpstr>
      <vt:lpstr>Glossary of relevant key terms and concepts within the context of Article 8(j) and related provisions</vt:lpstr>
    </vt:vector>
  </TitlesOfParts>
  <Company>Secretariat of the Convention on Biological Diversity (SCBD)</Company>
  <LinksUpToDate>false</LinksUpToDate>
  <CharactersWithSpaces>17574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relevant key terms and concepts within the context of Article 8(j) and related provisions</dc:title>
  <dc:subject>CBD/WG8J/10/L.3</dc:subject>
  <dc:creator>scbd</dc:creator>
  <cp:lastModifiedBy>Laura Perez</cp:lastModifiedBy>
  <cp:revision>28</cp:revision>
  <cp:lastPrinted>2017-12-14T00:24:00Z</cp:lastPrinted>
  <dcterms:created xsi:type="dcterms:W3CDTF">2018-01-15T18:11:00Z</dcterms:created>
  <dcterms:modified xsi:type="dcterms:W3CDTF">2018-01-18T23:39:00Z</dcterms:modified>
</cp:coreProperties>
</file>