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07" w:type="dxa"/>
        <w:tblLayout w:type="fixed"/>
        <w:tblLook w:val="00A0"/>
      </w:tblPr>
      <w:tblGrid>
        <w:gridCol w:w="927"/>
        <w:gridCol w:w="5141"/>
        <w:gridCol w:w="104"/>
        <w:gridCol w:w="1094"/>
        <w:gridCol w:w="2802"/>
        <w:gridCol w:w="139"/>
      </w:tblGrid>
      <w:tr w:rsidR="007523C2">
        <w:trPr>
          <w:gridAfter w:val="1"/>
          <w:wAfter w:w="139" w:type="dxa"/>
          <w:trHeight w:val="844"/>
        </w:trPr>
        <w:tc>
          <w:tcPr>
            <w:tcW w:w="927" w:type="dxa"/>
            <w:tcBorders>
              <w:bottom w:val="single" w:sz="12" w:space="0" w:color="auto"/>
            </w:tcBorders>
          </w:tcPr>
          <w:p w:rsidR="007523C2" w:rsidRDefault="008754BE">
            <w:pPr>
              <w:suppressLineNumbers/>
              <w:suppressAutoHyphens/>
              <w:rPr>
                <w:rFonts w:eastAsia="Times New Roman"/>
                <w:kern w:val="22"/>
                <w:lang/>
              </w:rPr>
            </w:pPr>
            <w:r>
              <w:rPr>
                <w:noProof/>
                <w:snapToGrid/>
                <w:lang w:val="en-US" w:eastAsia="en-US"/>
              </w:rPr>
              <w:drawing>
                <wp:anchor distT="0" distB="0" distL="114300" distR="114300" simplePos="0" relativeHeight="251657728" behindDoc="0" locked="0" layoutInCell="1" allowOverlap="1">
                  <wp:simplePos x="0" y="0"/>
                  <wp:positionH relativeFrom="column">
                    <wp:posOffset>635</wp:posOffset>
                  </wp:positionH>
                  <wp:positionV relativeFrom="page">
                    <wp:posOffset>0</wp:posOffset>
                  </wp:positionV>
                  <wp:extent cx="476250" cy="402590"/>
                  <wp:effectExtent l="19050" t="0" r="0" b="0"/>
                  <wp:wrapNone/>
                  <wp:docPr id="3"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7"/>
                          <a:srcRect/>
                          <a:stretch>
                            <a:fillRect/>
                          </a:stretch>
                        </pic:blipFill>
                        <pic:spPr bwMode="auto">
                          <a:xfrm>
                            <a:off x="0" y="0"/>
                            <a:ext cx="476250" cy="402590"/>
                          </a:xfrm>
                          <a:prstGeom prst="rect">
                            <a:avLst/>
                          </a:prstGeom>
                          <a:noFill/>
                          <a:ln w="9525">
                            <a:noFill/>
                            <a:miter lim="800000"/>
                            <a:headEnd/>
                            <a:tailEnd/>
                          </a:ln>
                        </pic:spPr>
                      </pic:pic>
                    </a:graphicData>
                  </a:graphic>
                </wp:anchor>
              </w:drawing>
            </w:r>
          </w:p>
        </w:tc>
        <w:tc>
          <w:tcPr>
            <w:tcW w:w="5141" w:type="dxa"/>
            <w:tcBorders>
              <w:bottom w:val="single" w:sz="12" w:space="0" w:color="auto"/>
            </w:tcBorders>
            <w:tcFitText/>
          </w:tcPr>
          <w:p w:rsidR="007523C2" w:rsidRDefault="008754BE">
            <w:pPr>
              <w:suppressLineNumbers/>
              <w:suppressAutoHyphens/>
              <w:rPr>
                <w:rFonts w:eastAsia="Times New Roman"/>
                <w:kern w:val="22"/>
                <w:lang/>
              </w:rPr>
            </w:pPr>
            <w:r>
              <w:rPr>
                <w:rFonts w:eastAsia="Times New Roman"/>
                <w:noProof/>
                <w:snapToGrid/>
                <w:kern w:val="22"/>
                <w:lang w:val="en-US" w:eastAsia="en-US"/>
              </w:rPr>
              <w:drawing>
                <wp:inline distT="0" distB="0" distL="0" distR="0">
                  <wp:extent cx="690880" cy="396240"/>
                  <wp:effectExtent l="19050" t="0" r="0" b="0"/>
                  <wp:docPr id="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8"/>
                          <a:srcRect/>
                          <a:stretch>
                            <a:fillRect/>
                          </a:stretch>
                        </pic:blipFill>
                        <pic:spPr bwMode="auto">
                          <a:xfrm>
                            <a:off x="0" y="0"/>
                            <a:ext cx="690880" cy="396240"/>
                          </a:xfrm>
                          <a:prstGeom prst="rect">
                            <a:avLst/>
                          </a:prstGeom>
                          <a:noFill/>
                          <a:ln w="9525">
                            <a:noFill/>
                            <a:miter lim="800000"/>
                            <a:headEnd/>
                            <a:tailEnd/>
                          </a:ln>
                        </pic:spPr>
                      </pic:pic>
                    </a:graphicData>
                  </a:graphic>
                </wp:inline>
              </w:drawing>
            </w:r>
          </w:p>
        </w:tc>
        <w:tc>
          <w:tcPr>
            <w:tcW w:w="4000" w:type="dxa"/>
            <w:gridSpan w:val="3"/>
            <w:tcBorders>
              <w:bottom w:val="single" w:sz="12" w:space="0" w:color="auto"/>
            </w:tcBorders>
          </w:tcPr>
          <w:p w:rsidR="007523C2" w:rsidRDefault="007523C2">
            <w:pPr>
              <w:suppressLineNumbers/>
              <w:suppressAutoHyphens/>
              <w:jc w:val="right"/>
              <w:rPr>
                <w:rFonts w:ascii="Arial" w:eastAsia="Times New Roman" w:hAnsi="Arial" w:cs="Arial"/>
                <w:b/>
                <w:bCs/>
                <w:kern w:val="22"/>
                <w:lang/>
              </w:rPr>
            </w:pPr>
            <w:r>
              <w:rPr>
                <w:rFonts w:ascii="Arial" w:eastAsia="Times New Roman" w:hAnsi="Arial" w:cs="Arial"/>
                <w:b/>
                <w:bCs/>
                <w:noProof/>
                <w:kern w:val="22"/>
                <w:lang/>
              </w:rPr>
              <w:t>CBD</w:t>
            </w:r>
          </w:p>
        </w:tc>
      </w:tr>
      <w:tr w:rsidR="007523C2">
        <w:tblPrEx>
          <w:tblBorders>
            <w:bottom w:val="single" w:sz="36" w:space="0" w:color="000000"/>
          </w:tblBorders>
          <w:tblLook w:val="0000"/>
        </w:tblPrEx>
        <w:trPr>
          <w:trHeight w:val="1693"/>
        </w:trPr>
        <w:tc>
          <w:tcPr>
            <w:tcW w:w="6172" w:type="dxa"/>
            <w:gridSpan w:val="3"/>
            <w:tcBorders>
              <w:top w:val="nil"/>
              <w:bottom w:val="single" w:sz="36" w:space="0" w:color="000000"/>
            </w:tcBorders>
          </w:tcPr>
          <w:p w:rsidR="007523C2" w:rsidRDefault="008754BE">
            <w:pPr>
              <w:suppressLineNumbers/>
              <w:suppressAutoHyphens/>
              <w:rPr>
                <w:rFonts w:ascii="Univers" w:eastAsia="Times New Roman" w:hAnsi="Univers" w:cs="Univers"/>
                <w:kern w:val="22"/>
                <w:lang/>
              </w:rPr>
            </w:pPr>
            <w:r>
              <w:rPr>
                <w:rFonts w:ascii="Univers" w:eastAsia="Times New Roman" w:hAnsi="Univers" w:cs="Univers"/>
                <w:noProof/>
                <w:snapToGrid/>
                <w:kern w:val="22"/>
                <w:lang w:val="en-US" w:eastAsia="en-US"/>
              </w:rPr>
              <w:drawing>
                <wp:inline distT="0" distB="0" distL="0" distR="0">
                  <wp:extent cx="2900680" cy="1056640"/>
                  <wp:effectExtent l="19050" t="0" r="0" b="0"/>
                  <wp:docPr id="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9"/>
                          <a:srcRect/>
                          <a:stretch>
                            <a:fillRect/>
                          </a:stretch>
                        </pic:blipFill>
                        <pic:spPr bwMode="auto">
                          <a:xfrm>
                            <a:off x="0" y="0"/>
                            <a:ext cx="2900680" cy="1056640"/>
                          </a:xfrm>
                          <a:prstGeom prst="rect">
                            <a:avLst/>
                          </a:prstGeom>
                          <a:noFill/>
                          <a:ln w="9525">
                            <a:noFill/>
                            <a:miter lim="800000"/>
                            <a:headEnd/>
                            <a:tailEnd/>
                          </a:ln>
                        </pic:spPr>
                      </pic:pic>
                    </a:graphicData>
                  </a:graphic>
                </wp:inline>
              </w:drawing>
            </w:r>
          </w:p>
        </w:tc>
        <w:tc>
          <w:tcPr>
            <w:tcW w:w="1094" w:type="dxa"/>
            <w:tcBorders>
              <w:top w:val="nil"/>
              <w:bottom w:val="single" w:sz="36" w:space="0" w:color="000000"/>
            </w:tcBorders>
          </w:tcPr>
          <w:p w:rsidR="007523C2" w:rsidRDefault="007523C2">
            <w:pPr>
              <w:pStyle w:val="Header"/>
              <w:suppressLineNumbers/>
              <w:tabs>
                <w:tab w:val="clear" w:pos="4320"/>
                <w:tab w:val="clear" w:pos="8640"/>
              </w:tabs>
              <w:suppressAutoHyphens/>
              <w:rPr>
                <w:rFonts w:eastAsia="Times New Roman"/>
                <w:kern w:val="22"/>
                <w:lang/>
              </w:rPr>
            </w:pPr>
          </w:p>
        </w:tc>
        <w:tc>
          <w:tcPr>
            <w:tcW w:w="2941" w:type="dxa"/>
            <w:gridSpan w:val="2"/>
            <w:tcBorders>
              <w:top w:val="nil"/>
              <w:bottom w:val="single" w:sz="36" w:space="0" w:color="000000"/>
            </w:tcBorders>
          </w:tcPr>
          <w:p w:rsidR="007523C2" w:rsidRDefault="007523C2">
            <w:pPr>
              <w:suppressLineNumbers/>
              <w:suppressAutoHyphens/>
              <w:spacing w:before="120"/>
              <w:ind w:left="62"/>
              <w:jc w:val="left"/>
              <w:rPr>
                <w:rFonts w:eastAsia="Times New Roman"/>
                <w:kern w:val="22"/>
                <w:lang/>
              </w:rPr>
            </w:pPr>
            <w:r>
              <w:rPr>
                <w:rFonts w:eastAsia="Times New Roman"/>
                <w:noProof/>
                <w:kern w:val="22"/>
                <w:lang/>
              </w:rPr>
              <w:t>Distr.</w:t>
            </w:r>
          </w:p>
          <w:p w:rsidR="007523C2" w:rsidRDefault="007523C2">
            <w:pPr>
              <w:suppressLineNumbers/>
              <w:suppressAutoHyphens/>
              <w:ind w:left="62"/>
              <w:jc w:val="left"/>
              <w:rPr>
                <w:rFonts w:eastAsia="Times New Roman"/>
                <w:kern w:val="22"/>
                <w:lang/>
              </w:rPr>
            </w:pPr>
            <w:r>
              <w:rPr>
                <w:rFonts w:eastAsia="Times New Roman"/>
                <w:noProof/>
                <w:kern w:val="22"/>
                <w:lang/>
              </w:rPr>
              <w:t>GENERAL</w:t>
            </w:r>
          </w:p>
          <w:p w:rsidR="007523C2" w:rsidRDefault="007523C2">
            <w:pPr>
              <w:suppressLineNumbers/>
              <w:suppressAutoHyphens/>
              <w:ind w:left="62"/>
              <w:jc w:val="left"/>
              <w:rPr>
                <w:rFonts w:eastAsia="Times New Roman"/>
                <w:kern w:val="22"/>
                <w:lang/>
              </w:rPr>
            </w:pPr>
          </w:p>
          <w:p w:rsidR="007523C2" w:rsidRDefault="007523C2">
            <w:pPr>
              <w:suppressLineNumbers/>
              <w:suppressAutoHyphens/>
              <w:ind w:left="62"/>
              <w:jc w:val="left"/>
              <w:rPr>
                <w:rFonts w:eastAsia="Times New Roman"/>
                <w:kern w:val="22"/>
                <w:lang/>
              </w:rPr>
            </w:pPr>
            <w:r>
              <w:rPr>
                <w:rFonts w:eastAsia="Times New Roman"/>
                <w:noProof/>
                <w:kern w:val="22"/>
                <w:lang/>
              </w:rPr>
              <w:t>CBD/WG2020/REC/3/2</w:t>
            </w:r>
          </w:p>
          <w:p w:rsidR="007523C2" w:rsidRDefault="007523C2">
            <w:pPr>
              <w:suppressLineNumbers/>
              <w:suppressAutoHyphens/>
              <w:ind w:left="62"/>
              <w:jc w:val="left"/>
              <w:rPr>
                <w:rFonts w:eastAsia="Times New Roman"/>
                <w:kern w:val="22"/>
                <w:lang/>
              </w:rPr>
            </w:pPr>
            <w:r>
              <w:rPr>
                <w:rFonts w:eastAsia="Times New Roman"/>
                <w:noProof/>
                <w:kern w:val="22"/>
                <w:lang/>
              </w:rPr>
              <w:t>29 de marzo de 2022</w:t>
            </w:r>
          </w:p>
          <w:p w:rsidR="007523C2" w:rsidRDefault="007523C2">
            <w:pPr>
              <w:suppressLineNumbers/>
              <w:suppressAutoHyphens/>
              <w:ind w:left="62"/>
              <w:jc w:val="left"/>
              <w:rPr>
                <w:rFonts w:eastAsia="Times New Roman"/>
                <w:kern w:val="22"/>
                <w:lang/>
              </w:rPr>
            </w:pPr>
          </w:p>
          <w:p w:rsidR="007523C2" w:rsidRDefault="007523C2">
            <w:pPr>
              <w:suppressLineNumbers/>
              <w:suppressAutoHyphens/>
              <w:ind w:left="62"/>
              <w:jc w:val="left"/>
              <w:rPr>
                <w:rFonts w:eastAsia="Times New Roman"/>
                <w:kern w:val="22"/>
                <w:lang/>
              </w:rPr>
            </w:pPr>
            <w:r>
              <w:rPr>
                <w:rFonts w:eastAsia="Times New Roman"/>
                <w:noProof/>
                <w:kern w:val="22"/>
                <w:lang/>
              </w:rPr>
              <w:t>ESPAÑOL</w:t>
            </w:r>
          </w:p>
          <w:p w:rsidR="007523C2" w:rsidRDefault="007523C2">
            <w:pPr>
              <w:suppressLineNumbers/>
              <w:suppressAutoHyphens/>
              <w:ind w:left="62"/>
              <w:jc w:val="left"/>
              <w:rPr>
                <w:rFonts w:eastAsia="Times New Roman"/>
                <w:kern w:val="22"/>
                <w:u w:val="single"/>
                <w:lang/>
              </w:rPr>
            </w:pPr>
            <w:r>
              <w:rPr>
                <w:rFonts w:eastAsia="Times New Roman"/>
                <w:noProof/>
                <w:kern w:val="22"/>
                <w:lang/>
              </w:rPr>
              <w:t>ORIGINAL:</w:t>
            </w:r>
            <w:r>
              <w:rPr>
                <w:rFonts w:eastAsia="Times New Roman"/>
                <w:kern w:val="22"/>
                <w:lang/>
              </w:rPr>
              <w:t xml:space="preserve"> </w:t>
            </w:r>
            <w:r>
              <w:rPr>
                <w:rFonts w:eastAsia="Times New Roman"/>
                <w:noProof/>
                <w:kern w:val="22"/>
                <w:lang/>
              </w:rPr>
              <w:t>ENGLISH</w:t>
            </w:r>
          </w:p>
        </w:tc>
      </w:tr>
    </w:tbl>
    <w:p w:rsidR="007523C2" w:rsidRPr="0077061B" w:rsidRDefault="007523C2">
      <w:pPr>
        <w:pStyle w:val="meetingname"/>
        <w:ind w:right="5532"/>
        <w:jc w:val="left"/>
        <w:rPr>
          <w:rFonts w:eastAsia="Times New Roman"/>
          <w:kern w:val="22"/>
          <w:lang/>
        </w:rPr>
      </w:pPr>
      <w:r w:rsidRPr="0077061B">
        <w:rPr>
          <w:rFonts w:eastAsia="Times New Roman"/>
          <w:noProof/>
          <w:kern w:val="22"/>
          <w:lang/>
        </w:rPr>
        <w:t>GRUPO DE TRABAJO DE COMPOSICIÓN ABIERTA SOBRE EL MARCO MUNDIAL DE LA DIVERSIDAD BIOLÓGICA POSTERIOR A 2020</w:t>
      </w:r>
    </w:p>
    <w:p w:rsidR="007523C2" w:rsidRPr="0077061B" w:rsidRDefault="007523C2">
      <w:pPr>
        <w:pStyle w:val="meetingname"/>
        <w:ind w:right="5532"/>
        <w:rPr>
          <w:rFonts w:eastAsia="Times New Roman"/>
          <w:caps w:val="0"/>
          <w:kern w:val="22"/>
          <w:lang/>
        </w:rPr>
      </w:pPr>
      <w:r w:rsidRPr="0077061B">
        <w:rPr>
          <w:rFonts w:eastAsia="Times New Roman"/>
          <w:noProof/>
          <w:kern w:val="22"/>
          <w:lang/>
        </w:rPr>
        <w:t>T</w:t>
      </w:r>
      <w:r w:rsidRPr="0077061B">
        <w:rPr>
          <w:rFonts w:eastAsia="Times New Roman"/>
          <w:caps w:val="0"/>
          <w:noProof/>
          <w:kern w:val="22"/>
          <w:lang/>
        </w:rPr>
        <w:t>ercera reunión</w:t>
      </w:r>
    </w:p>
    <w:p w:rsidR="007523C2" w:rsidRPr="0077061B" w:rsidRDefault="007523C2">
      <w:pPr>
        <w:ind w:right="5040"/>
        <w:rPr>
          <w:rFonts w:eastAsia="Times New Roman"/>
          <w:kern w:val="22"/>
          <w:lang/>
        </w:rPr>
      </w:pPr>
      <w:r w:rsidRPr="0077061B">
        <w:rPr>
          <w:rFonts w:eastAsia="Times New Roman"/>
          <w:noProof/>
          <w:kern w:val="22"/>
          <w:lang/>
        </w:rPr>
        <w:t>En línea, 23 de agosto a 3 de septiembre de 2021 y Ginebra (Suiza), 14 a 29 de marzo de 2022</w:t>
      </w:r>
    </w:p>
    <w:p w:rsidR="007523C2" w:rsidRPr="0077061B" w:rsidRDefault="007523C2">
      <w:pPr>
        <w:suppressLineNumbers/>
        <w:suppressAutoHyphens/>
        <w:adjustRightInd w:val="0"/>
        <w:snapToGrid w:val="0"/>
        <w:ind w:right="5532"/>
        <w:rPr>
          <w:rFonts w:eastAsia="Times New Roman"/>
          <w:kern w:val="22"/>
          <w:lang/>
        </w:rPr>
      </w:pPr>
      <w:r w:rsidRPr="0077061B">
        <w:rPr>
          <w:rFonts w:eastAsia="Times New Roman"/>
          <w:noProof/>
          <w:kern w:val="22"/>
          <w:lang/>
        </w:rPr>
        <w:t>Tema 5 del programa</w:t>
      </w:r>
    </w:p>
    <w:p w:rsidR="007523C2" w:rsidRPr="0077061B" w:rsidRDefault="007523C2">
      <w:pPr>
        <w:spacing w:before="240" w:after="120"/>
        <w:jc w:val="center"/>
        <w:textAlignment w:val="baseline"/>
        <w:rPr>
          <w:rFonts w:eastAsia="Times New Roman"/>
          <w:b/>
          <w:bCs/>
          <w:lang/>
        </w:rPr>
      </w:pPr>
      <w:r w:rsidRPr="0077061B">
        <w:rPr>
          <w:rFonts w:eastAsia="Times New Roman"/>
          <w:b/>
          <w:bCs/>
          <w:color w:val="000000"/>
          <w:kern w:val="22"/>
          <w:lang w:val="es-ES"/>
        </w:rPr>
        <w:t>RECOMENDACIÓN ADOPTADA POR EL GRUPO DE TRABAJO SOBRE EL MARCO MUNDIAL DE LA DIVERSIDAD BIOLÓGICA POSTERIOR A 2020</w:t>
      </w:r>
    </w:p>
    <w:p w:rsidR="007523C2" w:rsidRPr="0077061B" w:rsidRDefault="007523C2">
      <w:pPr>
        <w:spacing w:before="240" w:after="120"/>
        <w:jc w:val="center"/>
        <w:textAlignment w:val="baseline"/>
        <w:rPr>
          <w:rFonts w:eastAsia="Times New Roman"/>
          <w:b/>
          <w:bCs/>
          <w:lang/>
        </w:rPr>
      </w:pPr>
      <w:r w:rsidRPr="0077061B">
        <w:rPr>
          <w:rFonts w:eastAsia="Times New Roman"/>
          <w:b/>
          <w:bCs/>
          <w:color w:val="000000"/>
          <w:kern w:val="22"/>
          <w:lang/>
        </w:rPr>
        <w:t>3/2.</w:t>
      </w:r>
      <w:r w:rsidRPr="0077061B">
        <w:rPr>
          <w:rFonts w:eastAsia="Times New Roman"/>
          <w:b/>
          <w:bCs/>
          <w:color w:val="000000"/>
          <w:kern w:val="22"/>
          <w:lang/>
        </w:rPr>
        <w:tab/>
      </w:r>
      <w:r w:rsidRPr="0077061B">
        <w:rPr>
          <w:rFonts w:eastAsia="Times New Roman"/>
          <w:b/>
          <w:bCs/>
          <w:color w:val="000000"/>
          <w:kern w:val="22"/>
          <w:lang w:val="es-ES"/>
        </w:rPr>
        <w:t>Información digital sobre secuencias de recursos genéticos</w:t>
      </w:r>
    </w:p>
    <w:p w:rsidR="007523C2" w:rsidRPr="0077061B" w:rsidRDefault="007523C2">
      <w:pPr>
        <w:spacing w:before="120" w:after="120"/>
        <w:ind w:firstLine="709"/>
        <w:textAlignment w:val="baseline"/>
        <w:rPr>
          <w:rFonts w:eastAsia="Times New Roman"/>
          <w:i/>
          <w:iCs/>
          <w:kern w:val="22"/>
          <w:lang/>
        </w:rPr>
      </w:pPr>
      <w:r w:rsidRPr="0077061B">
        <w:rPr>
          <w:rFonts w:eastAsia="Times New Roman"/>
          <w:i/>
          <w:iCs/>
          <w:kern w:val="22"/>
          <w:lang w:val="es-ES"/>
        </w:rPr>
        <w:t>El Grupo de Trabajo de Composición Abierta sobre el Marco Mundial de la Diversidad Biológica posterior a 2020</w:t>
      </w:r>
      <w:r w:rsidRPr="0077061B">
        <w:rPr>
          <w:rFonts w:ascii="Malgun Gothic" w:eastAsia="Malgun Gothic" w:cs="Malgun Gothic"/>
          <w:i/>
          <w:iCs/>
          <w:kern w:val="22"/>
          <w:lang w:val="es-ES"/>
        </w:rPr>
        <w:t>,</w:t>
      </w:r>
    </w:p>
    <w:p w:rsidR="007523C2" w:rsidRPr="0077061B" w:rsidRDefault="007523C2">
      <w:pPr>
        <w:spacing w:before="120" w:after="120"/>
        <w:ind w:firstLine="720"/>
        <w:textAlignment w:val="baseline"/>
        <w:rPr>
          <w:rFonts w:eastAsia="Times New Roman"/>
          <w:kern w:val="22"/>
          <w:lang/>
        </w:rPr>
      </w:pPr>
      <w:r w:rsidRPr="0077061B">
        <w:rPr>
          <w:rFonts w:eastAsia="Times New Roman"/>
          <w:i/>
          <w:iCs/>
          <w:kern w:val="22"/>
          <w:lang w:val="es-ES"/>
        </w:rPr>
        <w:t>Teniendo presente</w:t>
      </w:r>
      <w:r w:rsidRPr="0077061B">
        <w:rPr>
          <w:rFonts w:eastAsia="Times New Roman"/>
          <w:kern w:val="22"/>
          <w:lang w:val="es-ES"/>
        </w:rPr>
        <w:t xml:space="preserve"> los objetivos del Convenio sobre la Diversidad Biológica y sus Protocolos,</w:t>
      </w:r>
    </w:p>
    <w:p w:rsidR="007523C2" w:rsidRPr="0077061B" w:rsidRDefault="007523C2">
      <w:pPr>
        <w:spacing w:before="120" w:after="120"/>
        <w:ind w:firstLine="720"/>
        <w:textAlignment w:val="baseline"/>
        <w:rPr>
          <w:rFonts w:eastAsia="Times New Roman"/>
          <w:kern w:val="22"/>
          <w:lang/>
        </w:rPr>
      </w:pPr>
      <w:r w:rsidRPr="0077061B">
        <w:rPr>
          <w:rFonts w:eastAsia="Times New Roman"/>
          <w:i/>
          <w:iCs/>
          <w:kern w:val="22"/>
          <w:lang w:val="es-ES"/>
        </w:rPr>
        <w:t>Recordando</w:t>
      </w:r>
      <w:r w:rsidRPr="0077061B">
        <w:rPr>
          <w:rFonts w:eastAsia="Times New Roman"/>
          <w:kern w:val="22"/>
          <w:lang w:val="es-ES"/>
        </w:rPr>
        <w:t xml:space="preserve"> las decisiones XIII/16 y 14/20,</w:t>
      </w:r>
    </w:p>
    <w:p w:rsidR="007523C2" w:rsidRPr="0077061B" w:rsidRDefault="007523C2">
      <w:pPr>
        <w:ind w:firstLine="720"/>
        <w:rPr>
          <w:rFonts w:eastAsia="Times New Roman"/>
          <w:lang/>
        </w:rPr>
      </w:pPr>
      <w:r w:rsidRPr="0077061B">
        <w:rPr>
          <w:rFonts w:eastAsia="Times New Roman"/>
          <w:i/>
          <w:iCs/>
          <w:lang w:val="es-ES"/>
        </w:rPr>
        <w:t xml:space="preserve">Reconociendo </w:t>
      </w:r>
      <w:r w:rsidRPr="0077061B">
        <w:rPr>
          <w:rFonts w:eastAsia="Times New Roman"/>
          <w:lang w:val="es-ES"/>
        </w:rPr>
        <w:t xml:space="preserve">los derechos de los pueblos indígenas y las comunidades locales, incluido respecto </w:t>
      </w:r>
      <w:r w:rsidR="003E77E1">
        <w:rPr>
          <w:rFonts w:eastAsia="Times New Roman"/>
          <w:lang w:val="es-ES"/>
        </w:rPr>
        <w:t>de</w:t>
      </w:r>
      <w:r w:rsidRPr="0077061B">
        <w:rPr>
          <w:rFonts w:eastAsia="Times New Roman"/>
          <w:lang w:val="es-ES"/>
        </w:rPr>
        <w:t xml:space="preserve"> los conocimientos tradicionales asociados a los recursos genéticos, y </w:t>
      </w:r>
      <w:r w:rsidRPr="0077061B">
        <w:rPr>
          <w:rFonts w:eastAsia="Times New Roman"/>
          <w:i/>
          <w:iCs/>
          <w:lang w:val="es-ES"/>
        </w:rPr>
        <w:t>observando</w:t>
      </w:r>
      <w:r w:rsidRPr="0077061B">
        <w:rPr>
          <w:rFonts w:eastAsia="Times New Roman"/>
          <w:lang w:val="es-ES"/>
        </w:rPr>
        <w:t xml:space="preserve"> la relación especial que los pueblos indígenas y las comunidades locales tienen con la naturaleza,</w:t>
      </w:r>
    </w:p>
    <w:p w:rsidR="007523C2" w:rsidRPr="0077061B" w:rsidRDefault="007523C2">
      <w:pPr>
        <w:spacing w:before="120" w:after="120"/>
        <w:ind w:firstLine="708"/>
        <w:rPr>
          <w:rFonts w:eastAsia="Times New Roman"/>
          <w:kern w:val="22"/>
          <w:lang/>
        </w:rPr>
      </w:pPr>
      <w:r w:rsidRPr="0077061B">
        <w:rPr>
          <w:rFonts w:eastAsia="Times New Roman"/>
          <w:kern w:val="22"/>
          <w:lang/>
        </w:rPr>
        <w:t>1.</w:t>
      </w:r>
      <w:r w:rsidRPr="0077061B">
        <w:rPr>
          <w:rFonts w:eastAsia="Times New Roman"/>
          <w:kern w:val="22"/>
          <w:lang/>
        </w:rPr>
        <w:tab/>
      </w:r>
      <w:r w:rsidRPr="0077061B">
        <w:rPr>
          <w:rFonts w:eastAsia="Times New Roman"/>
          <w:i/>
          <w:iCs/>
          <w:kern w:val="22"/>
          <w:lang w:val="es-ES"/>
        </w:rPr>
        <w:t xml:space="preserve">Toma nota </w:t>
      </w:r>
      <w:r w:rsidRPr="0077061B">
        <w:rPr>
          <w:rFonts w:eastAsia="Times New Roman"/>
          <w:kern w:val="22"/>
          <w:lang w:val="es-ES"/>
        </w:rPr>
        <w:t>de los resultados de la reunión del Grupo Especial de Expertos Técnicos sobre Información Digital sobre Secuencias de Recursos Genéticos</w:t>
      </w:r>
      <w:r w:rsidRPr="0077061B">
        <w:rPr>
          <w:rStyle w:val="FootnoteReference"/>
          <w:rFonts w:eastAsia="Times New Roman"/>
          <w:kern w:val="22"/>
          <w:sz w:val="22"/>
          <w:szCs w:val="22"/>
          <w:lang w:val="es-ES"/>
        </w:rPr>
        <w:footnoteReference w:id="2"/>
      </w:r>
      <w:r w:rsidRPr="0077061B">
        <w:rPr>
          <w:rFonts w:eastAsia="Times New Roman"/>
          <w:kern w:val="22"/>
          <w:lang w:val="es-ES"/>
        </w:rPr>
        <w:t>;</w:t>
      </w:r>
    </w:p>
    <w:p w:rsidR="007523C2" w:rsidRPr="0077061B" w:rsidRDefault="007523C2">
      <w:pPr>
        <w:spacing w:before="120" w:after="120"/>
        <w:ind w:firstLine="708"/>
        <w:rPr>
          <w:rFonts w:eastAsia="Times New Roman"/>
          <w:lang/>
        </w:rPr>
      </w:pPr>
      <w:r w:rsidRPr="0077061B">
        <w:rPr>
          <w:rFonts w:eastAsia="Times New Roman"/>
          <w:lang/>
        </w:rPr>
        <w:t>2.</w:t>
      </w:r>
      <w:r w:rsidRPr="0077061B">
        <w:rPr>
          <w:rFonts w:eastAsia="Times New Roman"/>
          <w:lang/>
        </w:rPr>
        <w:tab/>
      </w:r>
      <w:r w:rsidRPr="0077061B">
        <w:rPr>
          <w:rFonts w:eastAsia="Times New Roman"/>
          <w:i/>
          <w:iCs/>
          <w:kern w:val="22"/>
          <w:lang w:val="es-ES"/>
        </w:rPr>
        <w:t>Toma nota también</w:t>
      </w:r>
      <w:r w:rsidRPr="0077061B">
        <w:rPr>
          <w:rFonts w:eastAsia="Times New Roman"/>
          <w:kern w:val="22"/>
          <w:lang w:val="es-ES"/>
        </w:rPr>
        <w:t xml:space="preserve"> del informe de los corresponsables sobre la labor del Grupo Oficioso de Asesoramiento de los Copresidentes en materia de información digital sobre secuencias de recursos genéticos, incluidas las conclusiones a las que arribaron los corresponsables en las deliberaciones del Grupo Oficioso de Asesoramiento de los Copresidentes en materia de información digital sobre secuencias de recursos genéticos y las recomendaciones </w:t>
      </w:r>
      <w:r w:rsidR="003E77E1" w:rsidRPr="0077061B">
        <w:rPr>
          <w:rFonts w:eastAsia="Times New Roman"/>
          <w:kern w:val="22"/>
          <w:lang w:val="es-ES"/>
        </w:rPr>
        <w:t xml:space="preserve">que </w:t>
      </w:r>
      <w:r w:rsidR="003E77E1">
        <w:rPr>
          <w:rFonts w:eastAsia="Times New Roman"/>
          <w:kern w:val="22"/>
          <w:lang w:val="es-ES"/>
        </w:rPr>
        <w:t>formula</w:t>
      </w:r>
      <w:r w:rsidR="003E77E1" w:rsidRPr="0077061B">
        <w:rPr>
          <w:rFonts w:eastAsia="Times New Roman"/>
          <w:kern w:val="22"/>
          <w:lang w:val="es-ES"/>
        </w:rPr>
        <w:t xml:space="preserve">ron </w:t>
      </w:r>
      <w:r w:rsidR="003E77E1">
        <w:rPr>
          <w:rFonts w:eastAsia="Times New Roman"/>
          <w:kern w:val="22"/>
          <w:lang w:val="es-ES"/>
        </w:rPr>
        <w:t>par</w:t>
      </w:r>
      <w:r w:rsidRPr="0077061B">
        <w:rPr>
          <w:rFonts w:eastAsia="Times New Roman"/>
          <w:kern w:val="22"/>
          <w:lang w:val="es-ES"/>
        </w:rPr>
        <w:t>a</w:t>
      </w:r>
      <w:r w:rsidR="003E77E1">
        <w:rPr>
          <w:rFonts w:eastAsia="Times New Roman"/>
          <w:kern w:val="22"/>
          <w:lang w:val="es-ES"/>
        </w:rPr>
        <w:t xml:space="preserve"> e</w:t>
      </w:r>
      <w:r w:rsidRPr="0077061B">
        <w:rPr>
          <w:rFonts w:eastAsia="Times New Roman"/>
          <w:kern w:val="22"/>
          <w:lang w:val="es-ES"/>
        </w:rPr>
        <w:t>l Grupo de Trabajo de Composición Abierta a partir de esas deliberaciones</w:t>
      </w:r>
      <w:r w:rsidRPr="0077061B">
        <w:rPr>
          <w:rStyle w:val="FootnoteReference"/>
          <w:rFonts w:eastAsia="Times New Roman"/>
          <w:sz w:val="22"/>
          <w:szCs w:val="22"/>
          <w:lang w:val="es-ES"/>
        </w:rPr>
        <w:footnoteReference w:id="3"/>
      </w:r>
      <w:r w:rsidRPr="0077061B">
        <w:rPr>
          <w:rFonts w:eastAsia="Times New Roman"/>
          <w:lang w:val="es-ES"/>
        </w:rPr>
        <w:t xml:space="preserve">, </w:t>
      </w:r>
      <w:r w:rsidR="003E77E1">
        <w:rPr>
          <w:rFonts w:eastAsia="Times New Roman"/>
          <w:lang w:val="es-ES"/>
        </w:rPr>
        <w:t xml:space="preserve">las </w:t>
      </w:r>
      <w:r w:rsidRPr="0077061B">
        <w:rPr>
          <w:rFonts w:eastAsia="Times New Roman"/>
          <w:lang w:val="es-ES"/>
        </w:rPr>
        <w:t>que contribuyen a avanzar en la labor señalada en el documento CBD/WG2020/3/5, anexo V, sección A;</w:t>
      </w:r>
    </w:p>
    <w:p w:rsidR="007523C2" w:rsidRPr="0077061B" w:rsidRDefault="007523C2" w:rsidP="0077061B">
      <w:pPr>
        <w:spacing w:before="120"/>
        <w:ind w:firstLine="706"/>
        <w:rPr>
          <w:rFonts w:eastAsia="Times New Roman"/>
          <w:lang/>
        </w:rPr>
      </w:pPr>
      <w:r w:rsidRPr="0077061B">
        <w:rPr>
          <w:rFonts w:eastAsia="Times New Roman"/>
          <w:lang/>
        </w:rPr>
        <w:t>3.</w:t>
      </w:r>
      <w:r w:rsidRPr="0077061B">
        <w:rPr>
          <w:rFonts w:eastAsia="Times New Roman"/>
          <w:lang/>
        </w:rPr>
        <w:tab/>
      </w:r>
      <w:r w:rsidRPr="0077061B">
        <w:rPr>
          <w:rFonts w:eastAsia="Times New Roman"/>
          <w:i/>
          <w:iCs/>
          <w:kern w:val="22"/>
          <w:lang w:val="es-ES"/>
        </w:rPr>
        <w:t>Toma nota además</w:t>
      </w:r>
      <w:r w:rsidRPr="0077061B">
        <w:rPr>
          <w:rFonts w:eastAsia="Times New Roman"/>
          <w:kern w:val="22"/>
          <w:lang w:val="es-ES"/>
        </w:rPr>
        <w:t xml:space="preserve"> de las diversas opiniones vertidas en la consulta oficiosa en línea</w:t>
      </w:r>
      <w:r w:rsidRPr="0077061B">
        <w:rPr>
          <w:rStyle w:val="FootnoteReference"/>
          <w:rFonts w:eastAsia="Times New Roman"/>
          <w:kern w:val="22"/>
          <w:sz w:val="22"/>
          <w:szCs w:val="22"/>
          <w:lang w:val="es-ES"/>
        </w:rPr>
        <w:footnoteReference w:id="4"/>
      </w:r>
      <w:r w:rsidRPr="0077061B">
        <w:rPr>
          <w:rFonts w:eastAsia="Times New Roman"/>
          <w:kern w:val="22"/>
          <w:lang w:val="es-ES"/>
        </w:rPr>
        <w:t xml:space="preserve">, así como </w:t>
      </w:r>
      <w:r w:rsidR="003E77E1">
        <w:rPr>
          <w:rFonts w:eastAsia="Times New Roman"/>
          <w:kern w:val="22"/>
          <w:lang w:val="es-ES"/>
        </w:rPr>
        <w:t xml:space="preserve">de </w:t>
      </w:r>
      <w:r w:rsidRPr="0077061B">
        <w:rPr>
          <w:rFonts w:eastAsia="Times New Roman"/>
          <w:kern w:val="22"/>
          <w:lang w:val="es-ES"/>
        </w:rPr>
        <w:t>las opiniones y la información presentadas tras la parte I de la tercera reunión del Grupo de Trabajo de Composición Abierta</w:t>
      </w:r>
      <w:r w:rsidRPr="0077061B">
        <w:rPr>
          <w:rStyle w:val="FootnoteReference"/>
          <w:rFonts w:eastAsia="Times New Roman"/>
          <w:kern w:val="22"/>
          <w:sz w:val="22"/>
          <w:szCs w:val="22"/>
          <w:lang w:val="es-ES"/>
        </w:rPr>
        <w:footnoteReference w:id="5"/>
      </w:r>
      <w:r w:rsidRPr="0077061B">
        <w:rPr>
          <w:rFonts w:eastAsia="Times New Roman"/>
          <w:kern w:val="22"/>
          <w:lang w:val="es-ES"/>
        </w:rPr>
        <w:t>;</w:t>
      </w:r>
    </w:p>
    <w:p w:rsidR="007523C2" w:rsidRPr="0077061B" w:rsidRDefault="007523C2">
      <w:pPr>
        <w:spacing w:before="120" w:after="120"/>
        <w:ind w:firstLine="720"/>
        <w:rPr>
          <w:rFonts w:eastAsia="Times New Roman"/>
          <w:kern w:val="22"/>
          <w:lang/>
        </w:rPr>
      </w:pPr>
      <w:r w:rsidRPr="0077061B">
        <w:rPr>
          <w:rFonts w:eastAsia="Times New Roman"/>
          <w:kern w:val="22"/>
          <w:lang/>
        </w:rPr>
        <w:lastRenderedPageBreak/>
        <w:t>4.</w:t>
      </w:r>
      <w:r w:rsidRPr="0077061B">
        <w:rPr>
          <w:rFonts w:eastAsia="Times New Roman"/>
          <w:kern w:val="22"/>
          <w:lang/>
        </w:rPr>
        <w:tab/>
      </w:r>
      <w:r w:rsidRPr="0077061B">
        <w:rPr>
          <w:rFonts w:eastAsia="Times New Roman"/>
          <w:i/>
          <w:iCs/>
          <w:kern w:val="22"/>
          <w:lang w:val="es-ES"/>
        </w:rPr>
        <w:t xml:space="preserve">Acoge con satisfacción </w:t>
      </w:r>
      <w:r w:rsidRPr="0077061B">
        <w:rPr>
          <w:rFonts w:eastAsia="Times New Roman"/>
          <w:kern w:val="22"/>
          <w:lang w:val="es-ES"/>
        </w:rPr>
        <w:t xml:space="preserve">la recomendación de los corresponsables de adoptar un enfoque gradual y </w:t>
      </w:r>
      <w:r w:rsidRPr="0077061B">
        <w:rPr>
          <w:rFonts w:eastAsia="Times New Roman"/>
          <w:i/>
          <w:iCs/>
          <w:kern w:val="22"/>
          <w:lang w:val="es-ES"/>
        </w:rPr>
        <w:t xml:space="preserve">toma nota </w:t>
      </w:r>
      <w:r w:rsidRPr="0077061B">
        <w:rPr>
          <w:rFonts w:eastAsia="Times New Roman"/>
          <w:kern w:val="22"/>
          <w:lang w:val="es-ES"/>
        </w:rPr>
        <w:t>de la siguiente información, elaborada e</w:t>
      </w:r>
      <w:r w:rsidR="003E77E1">
        <w:rPr>
          <w:rFonts w:eastAsia="Times New Roman"/>
          <w:kern w:val="22"/>
          <w:lang w:val="es-ES"/>
        </w:rPr>
        <w:t>n</w:t>
      </w:r>
      <w:r w:rsidRPr="0077061B">
        <w:rPr>
          <w:rFonts w:eastAsia="Times New Roman"/>
          <w:kern w:val="22"/>
          <w:lang w:val="es-ES"/>
        </w:rPr>
        <w:t xml:space="preserve"> las actividades oficiosas en materia de información digital sobre secuencias de recursos genéticos llevadas a cabo a petición de los Copresidentes del Grupo de Trabajo:</w:t>
      </w:r>
    </w:p>
    <w:p w:rsidR="007523C2" w:rsidRPr="0077061B" w:rsidRDefault="007523C2">
      <w:pPr>
        <w:numPr>
          <w:ilvl w:val="0"/>
          <w:numId w:val="19"/>
        </w:numPr>
        <w:tabs>
          <w:tab w:val="clear" w:pos="349"/>
        </w:tabs>
        <w:spacing w:before="120" w:after="120"/>
        <w:ind w:left="0" w:firstLine="720"/>
        <w:rPr>
          <w:rFonts w:eastAsia="Times New Roman"/>
          <w:kern w:val="22"/>
          <w:lang/>
        </w:rPr>
      </w:pPr>
      <w:r w:rsidRPr="0077061B">
        <w:rPr>
          <w:rFonts w:eastAsia="Times New Roman"/>
          <w:kern w:val="22"/>
          <w:lang w:val="es-ES"/>
        </w:rPr>
        <w:t>La lista de posibles opciones de políticas que figura en el anexo</w:t>
      </w:r>
      <w:r w:rsidR="003E77E1">
        <w:rPr>
          <w:rFonts w:eastAsia="Times New Roman"/>
          <w:kern w:val="22"/>
          <w:lang w:val="es-ES"/>
        </w:rPr>
        <w:t> </w:t>
      </w:r>
      <w:r w:rsidRPr="0077061B">
        <w:rPr>
          <w:rFonts w:eastAsia="Times New Roman"/>
          <w:kern w:val="22"/>
          <w:lang w:val="es-ES"/>
        </w:rPr>
        <w:t>I de la nota de la Secretaria Ejecutiva, señalando también la posibilidad de desarrollar otras opciones, incluidas opciones híbridas</w:t>
      </w:r>
      <w:r w:rsidRPr="0077061B">
        <w:rPr>
          <w:rStyle w:val="FootnoteReference"/>
          <w:rFonts w:eastAsia="Times New Roman"/>
          <w:kern w:val="22"/>
          <w:sz w:val="22"/>
          <w:szCs w:val="22"/>
          <w:lang w:val="es-ES"/>
        </w:rPr>
        <w:footnoteReference w:id="6"/>
      </w:r>
      <w:r w:rsidRPr="0077061B">
        <w:rPr>
          <w:rFonts w:eastAsia="Times New Roman"/>
          <w:kern w:val="22"/>
          <w:lang w:val="es-ES"/>
        </w:rPr>
        <w:t>;</w:t>
      </w:r>
    </w:p>
    <w:p w:rsidR="007523C2" w:rsidRPr="0077061B" w:rsidRDefault="007523C2">
      <w:pPr>
        <w:numPr>
          <w:ilvl w:val="0"/>
          <w:numId w:val="19"/>
        </w:numPr>
        <w:tabs>
          <w:tab w:val="clear" w:pos="349"/>
        </w:tabs>
        <w:spacing w:before="120" w:after="120"/>
        <w:ind w:left="0" w:firstLine="720"/>
        <w:rPr>
          <w:rFonts w:eastAsia="Times New Roman"/>
          <w:kern w:val="22"/>
          <w:lang/>
        </w:rPr>
      </w:pPr>
      <w:r w:rsidRPr="0077061B">
        <w:rPr>
          <w:rFonts w:eastAsia="Times New Roman"/>
          <w:kern w:val="22"/>
          <w:lang w:val="es-ES"/>
        </w:rPr>
        <w:t>La lista de posibles criterios para evaluar las opciones de políticas que figura en el anexo II de la nota de la Secretaria Ejecutiva</w:t>
      </w:r>
      <w:r w:rsidRPr="0077061B">
        <w:rPr>
          <w:rStyle w:val="FootnoteReference"/>
          <w:rFonts w:eastAsia="Times New Roman"/>
          <w:kern w:val="22"/>
          <w:sz w:val="22"/>
          <w:szCs w:val="22"/>
          <w:lang w:val="es-ES"/>
        </w:rPr>
        <w:footnoteReference w:id="7"/>
      </w:r>
      <w:r w:rsidRPr="0077061B">
        <w:rPr>
          <w:rFonts w:eastAsia="Times New Roman"/>
          <w:kern w:val="22"/>
          <w:lang w:val="es-ES"/>
        </w:rPr>
        <w:t>;</w:t>
      </w:r>
    </w:p>
    <w:p w:rsidR="007523C2" w:rsidRPr="0077061B" w:rsidRDefault="007523C2">
      <w:pPr>
        <w:spacing w:before="120" w:after="120"/>
        <w:ind w:firstLine="720"/>
        <w:rPr>
          <w:rFonts w:eastAsia="Times New Roman"/>
          <w:kern w:val="22"/>
          <w:lang/>
        </w:rPr>
      </w:pPr>
      <w:r w:rsidRPr="0077061B">
        <w:rPr>
          <w:rFonts w:eastAsia="Times New Roman"/>
          <w:kern w:val="22"/>
          <w:lang/>
        </w:rPr>
        <w:t>5.</w:t>
      </w:r>
      <w:r w:rsidRPr="0077061B">
        <w:rPr>
          <w:rFonts w:eastAsia="Times New Roman"/>
          <w:kern w:val="22"/>
          <w:lang/>
        </w:rPr>
        <w:tab/>
      </w:r>
      <w:r w:rsidRPr="0077061B">
        <w:rPr>
          <w:rFonts w:eastAsia="Times New Roman"/>
          <w:i/>
          <w:iCs/>
          <w:lang w:val="es-ES"/>
        </w:rPr>
        <w:t>Reconoce</w:t>
      </w:r>
      <w:r w:rsidRPr="0077061B">
        <w:rPr>
          <w:rFonts w:eastAsia="Times New Roman"/>
          <w:lang w:val="es-ES"/>
        </w:rPr>
        <w:t xml:space="preserve"> que una solución para una participación justa y equitativa en los beneficios en relación con la información digital sobre secuencias de recursos genéticos debería, entre otras cosas:</w:t>
      </w:r>
    </w:p>
    <w:p w:rsidR="007523C2" w:rsidRPr="0077061B" w:rsidRDefault="00124DD4">
      <w:pPr>
        <w:pStyle w:val="ListParagraph"/>
        <w:numPr>
          <w:ilvl w:val="0"/>
          <w:numId w:val="23"/>
        </w:numPr>
        <w:tabs>
          <w:tab w:val="clear" w:pos="349"/>
        </w:tabs>
        <w:spacing w:before="120" w:after="120"/>
        <w:ind w:left="0" w:firstLine="720"/>
        <w:rPr>
          <w:rFonts w:eastAsia="Times New Roman"/>
          <w:sz w:val="22"/>
          <w:szCs w:val="22"/>
          <w:lang/>
        </w:rPr>
      </w:pPr>
      <w:r>
        <w:rPr>
          <w:rFonts w:eastAsia="Times New Roman"/>
          <w:sz w:val="22"/>
          <w:szCs w:val="22"/>
          <w:lang w:val="es-ES"/>
        </w:rPr>
        <w:t>S</w:t>
      </w:r>
      <w:r w:rsidR="007523C2" w:rsidRPr="0077061B">
        <w:rPr>
          <w:rFonts w:eastAsia="Times New Roman"/>
          <w:sz w:val="22"/>
          <w:szCs w:val="22"/>
          <w:lang w:val="es-ES"/>
        </w:rPr>
        <w:t>er eficaz, viable y práctica;</w:t>
      </w:r>
    </w:p>
    <w:p w:rsidR="007523C2" w:rsidRPr="0077061B" w:rsidRDefault="00124DD4">
      <w:pPr>
        <w:pStyle w:val="ListParagraph"/>
        <w:numPr>
          <w:ilvl w:val="0"/>
          <w:numId w:val="23"/>
        </w:numPr>
        <w:tabs>
          <w:tab w:val="clear" w:pos="349"/>
        </w:tabs>
        <w:spacing w:before="120" w:after="120"/>
        <w:ind w:left="0" w:firstLine="720"/>
        <w:rPr>
          <w:rFonts w:eastAsia="Times New Roman"/>
          <w:sz w:val="22"/>
          <w:szCs w:val="22"/>
          <w:lang/>
        </w:rPr>
      </w:pPr>
      <w:r>
        <w:rPr>
          <w:rFonts w:eastAsia="Times New Roman"/>
          <w:sz w:val="22"/>
          <w:szCs w:val="22"/>
          <w:lang w:val="es-ES"/>
        </w:rPr>
        <w:t>G</w:t>
      </w:r>
      <w:r w:rsidR="007523C2" w:rsidRPr="0077061B">
        <w:rPr>
          <w:rFonts w:eastAsia="Times New Roman"/>
          <w:sz w:val="22"/>
          <w:szCs w:val="22"/>
          <w:lang w:val="es-ES"/>
        </w:rPr>
        <w:t>enerar más beneficios, tanto monetarios como no monetarios, que costos;</w:t>
      </w:r>
    </w:p>
    <w:p w:rsidR="007523C2" w:rsidRPr="0077061B" w:rsidRDefault="00124DD4">
      <w:pPr>
        <w:pStyle w:val="ListParagraph"/>
        <w:numPr>
          <w:ilvl w:val="0"/>
          <w:numId w:val="23"/>
        </w:numPr>
        <w:tabs>
          <w:tab w:val="clear" w:pos="349"/>
        </w:tabs>
        <w:spacing w:before="120" w:after="120"/>
        <w:ind w:left="0" w:firstLine="720"/>
        <w:rPr>
          <w:rFonts w:eastAsia="Times New Roman"/>
          <w:sz w:val="22"/>
          <w:szCs w:val="22"/>
          <w:lang/>
        </w:rPr>
      </w:pPr>
      <w:r>
        <w:rPr>
          <w:rFonts w:eastAsia="Times New Roman"/>
          <w:sz w:val="22"/>
          <w:szCs w:val="22"/>
          <w:lang w:val="es-ES"/>
        </w:rPr>
        <w:t>S</w:t>
      </w:r>
      <w:r w:rsidR="007523C2" w:rsidRPr="0077061B">
        <w:rPr>
          <w:rFonts w:eastAsia="Times New Roman"/>
          <w:sz w:val="22"/>
          <w:szCs w:val="22"/>
          <w:lang w:val="es-ES"/>
        </w:rPr>
        <w:t>er efectiva;</w:t>
      </w:r>
    </w:p>
    <w:p w:rsidR="007523C2" w:rsidRPr="0077061B" w:rsidRDefault="00124DD4">
      <w:pPr>
        <w:pStyle w:val="ListParagraph"/>
        <w:numPr>
          <w:ilvl w:val="0"/>
          <w:numId w:val="23"/>
        </w:numPr>
        <w:tabs>
          <w:tab w:val="clear" w:pos="349"/>
        </w:tabs>
        <w:spacing w:before="120" w:after="120"/>
        <w:ind w:left="0" w:firstLine="720"/>
        <w:rPr>
          <w:rFonts w:eastAsia="Times New Roman"/>
          <w:kern w:val="22"/>
          <w:sz w:val="22"/>
          <w:szCs w:val="22"/>
          <w:lang/>
        </w:rPr>
      </w:pPr>
      <w:r>
        <w:rPr>
          <w:rFonts w:eastAsia="Times New Roman"/>
          <w:kern w:val="22"/>
          <w:sz w:val="22"/>
          <w:szCs w:val="22"/>
          <w:lang w:val="es-ES"/>
        </w:rPr>
        <w:t>P</w:t>
      </w:r>
      <w:r w:rsidR="007523C2" w:rsidRPr="0077061B">
        <w:rPr>
          <w:rFonts w:eastAsia="Times New Roman"/>
          <w:kern w:val="22"/>
          <w:sz w:val="22"/>
          <w:szCs w:val="22"/>
          <w:lang w:val="es-ES"/>
        </w:rPr>
        <w:t>roporcionar seguridad y claridad jurídicas a los proveedores y usuarios de información digital sobre secuencias de recursos genéticos;</w:t>
      </w:r>
    </w:p>
    <w:p w:rsidR="007523C2" w:rsidRPr="0077061B" w:rsidRDefault="00124DD4">
      <w:pPr>
        <w:pStyle w:val="ListParagraph"/>
        <w:numPr>
          <w:ilvl w:val="0"/>
          <w:numId w:val="23"/>
        </w:numPr>
        <w:tabs>
          <w:tab w:val="clear" w:pos="349"/>
        </w:tabs>
        <w:spacing w:before="120" w:after="120"/>
        <w:ind w:left="0" w:firstLine="720"/>
        <w:rPr>
          <w:rFonts w:eastAsia="Times New Roman"/>
          <w:sz w:val="22"/>
          <w:szCs w:val="22"/>
          <w:lang/>
        </w:rPr>
      </w:pPr>
      <w:r>
        <w:rPr>
          <w:rFonts w:eastAsia="Times New Roman"/>
          <w:sz w:val="22"/>
          <w:szCs w:val="22"/>
          <w:lang w:val="es-ES"/>
        </w:rPr>
        <w:t>N</w:t>
      </w:r>
      <w:r w:rsidR="007523C2" w:rsidRPr="0077061B">
        <w:rPr>
          <w:rFonts w:eastAsia="Times New Roman"/>
          <w:sz w:val="22"/>
          <w:szCs w:val="22"/>
          <w:lang w:val="es-ES"/>
        </w:rPr>
        <w:t>o obstaculizar la investigación y la innovación;</w:t>
      </w:r>
    </w:p>
    <w:p w:rsidR="007523C2" w:rsidRPr="0077061B" w:rsidRDefault="00124DD4">
      <w:pPr>
        <w:pStyle w:val="ListParagraph"/>
        <w:numPr>
          <w:ilvl w:val="0"/>
          <w:numId w:val="23"/>
        </w:numPr>
        <w:tabs>
          <w:tab w:val="clear" w:pos="349"/>
        </w:tabs>
        <w:spacing w:before="120" w:after="120"/>
        <w:ind w:left="0" w:firstLine="720"/>
        <w:rPr>
          <w:rFonts w:eastAsia="Times New Roman"/>
          <w:sz w:val="22"/>
          <w:szCs w:val="22"/>
          <w:lang/>
        </w:rPr>
      </w:pPr>
      <w:r>
        <w:rPr>
          <w:rFonts w:eastAsia="Times New Roman"/>
          <w:sz w:val="22"/>
          <w:szCs w:val="22"/>
          <w:lang w:val="es-ES"/>
        </w:rPr>
        <w:t>S</w:t>
      </w:r>
      <w:r w:rsidR="007523C2" w:rsidRPr="0077061B">
        <w:rPr>
          <w:rFonts w:eastAsia="Times New Roman"/>
          <w:sz w:val="22"/>
          <w:szCs w:val="22"/>
          <w:lang w:val="es-ES"/>
        </w:rPr>
        <w:t>er coherente con el acceso abierto a los datos;</w:t>
      </w:r>
    </w:p>
    <w:p w:rsidR="007523C2" w:rsidRPr="0077061B" w:rsidRDefault="00124DD4">
      <w:pPr>
        <w:pStyle w:val="ListParagraph"/>
        <w:numPr>
          <w:ilvl w:val="0"/>
          <w:numId w:val="23"/>
        </w:numPr>
        <w:tabs>
          <w:tab w:val="clear" w:pos="349"/>
        </w:tabs>
        <w:spacing w:before="120" w:after="120"/>
        <w:ind w:left="0" w:firstLine="720"/>
        <w:rPr>
          <w:rFonts w:eastAsia="Times New Roman"/>
          <w:sz w:val="22"/>
          <w:szCs w:val="22"/>
          <w:lang/>
        </w:rPr>
      </w:pPr>
      <w:r>
        <w:rPr>
          <w:rFonts w:eastAsia="Times New Roman"/>
          <w:sz w:val="22"/>
          <w:szCs w:val="22"/>
          <w:lang w:val="es-ES"/>
        </w:rPr>
        <w:t>N</w:t>
      </w:r>
      <w:r w:rsidR="007523C2" w:rsidRPr="0077061B">
        <w:rPr>
          <w:rFonts w:eastAsia="Times New Roman"/>
          <w:sz w:val="22"/>
          <w:szCs w:val="22"/>
          <w:lang w:val="es-ES"/>
        </w:rPr>
        <w:t>o ser incompatible con las obligaciones jurídicas internacionales;</w:t>
      </w:r>
    </w:p>
    <w:p w:rsidR="007523C2" w:rsidRPr="0077061B" w:rsidRDefault="00124DD4">
      <w:pPr>
        <w:pStyle w:val="ListParagraph"/>
        <w:numPr>
          <w:ilvl w:val="0"/>
          <w:numId w:val="23"/>
        </w:numPr>
        <w:tabs>
          <w:tab w:val="clear" w:pos="349"/>
        </w:tabs>
        <w:spacing w:before="120" w:after="120"/>
        <w:ind w:left="0" w:firstLine="720"/>
        <w:rPr>
          <w:rFonts w:eastAsia="Times New Roman"/>
          <w:sz w:val="22"/>
          <w:szCs w:val="22"/>
          <w:lang/>
        </w:rPr>
      </w:pPr>
      <w:r>
        <w:rPr>
          <w:rFonts w:eastAsia="Times New Roman"/>
          <w:sz w:val="22"/>
          <w:szCs w:val="22"/>
          <w:lang w:val="es-ES"/>
        </w:rPr>
        <w:t>A</w:t>
      </w:r>
      <w:r w:rsidR="007523C2" w:rsidRPr="0077061B">
        <w:rPr>
          <w:rFonts w:eastAsia="Times New Roman"/>
          <w:sz w:val="22"/>
          <w:szCs w:val="22"/>
          <w:lang w:val="es-ES"/>
        </w:rPr>
        <w:t>poyarse mutuamente con otros instrumentos de acceso y participación en los beneficios;</w:t>
      </w:r>
    </w:p>
    <w:p w:rsidR="007523C2" w:rsidRPr="0077061B" w:rsidRDefault="00124DD4">
      <w:pPr>
        <w:pStyle w:val="ListParagraph"/>
        <w:numPr>
          <w:ilvl w:val="0"/>
          <w:numId w:val="23"/>
        </w:numPr>
        <w:tabs>
          <w:tab w:val="clear" w:pos="349"/>
        </w:tabs>
        <w:spacing w:before="120" w:after="120"/>
        <w:ind w:left="0" w:firstLine="720"/>
        <w:rPr>
          <w:rFonts w:eastAsia="Times New Roman"/>
          <w:sz w:val="22"/>
          <w:szCs w:val="22"/>
          <w:lang/>
        </w:rPr>
      </w:pPr>
      <w:r>
        <w:rPr>
          <w:rFonts w:eastAsia="Times New Roman"/>
          <w:sz w:val="22"/>
          <w:szCs w:val="22"/>
          <w:lang w:val="es-ES"/>
        </w:rPr>
        <w:t>T</w:t>
      </w:r>
      <w:r w:rsidR="007523C2" w:rsidRPr="0077061B">
        <w:rPr>
          <w:rFonts w:eastAsia="Times New Roman"/>
          <w:sz w:val="22"/>
          <w:szCs w:val="22"/>
          <w:lang w:val="es-ES"/>
        </w:rPr>
        <w:t xml:space="preserve">ener en cuenta los derechos de los pueblos indígenas y las comunidades locales, incluido respecto </w:t>
      </w:r>
      <w:r w:rsidR="003E77E1">
        <w:rPr>
          <w:rFonts w:eastAsia="Times New Roman"/>
          <w:sz w:val="22"/>
          <w:szCs w:val="22"/>
          <w:lang w:val="es-ES"/>
        </w:rPr>
        <w:t>de</w:t>
      </w:r>
      <w:r w:rsidR="007523C2" w:rsidRPr="0077061B">
        <w:rPr>
          <w:rFonts w:eastAsia="Times New Roman"/>
          <w:sz w:val="22"/>
          <w:szCs w:val="22"/>
          <w:lang w:val="es-ES"/>
        </w:rPr>
        <w:t xml:space="preserve"> los conocimientos tradicionales asociados con los recursos genéticos que poseen.</w:t>
      </w:r>
    </w:p>
    <w:p w:rsidR="007523C2" w:rsidRPr="0077061B" w:rsidRDefault="007523C2">
      <w:pPr>
        <w:spacing w:before="120" w:after="120"/>
        <w:ind w:firstLine="720"/>
        <w:rPr>
          <w:rFonts w:eastAsia="Times New Roman"/>
          <w:kern w:val="22"/>
          <w:lang/>
        </w:rPr>
      </w:pPr>
      <w:r w:rsidRPr="0077061B">
        <w:rPr>
          <w:rFonts w:eastAsia="Times New Roman"/>
          <w:kern w:val="22"/>
          <w:lang/>
        </w:rPr>
        <w:t>6.</w:t>
      </w:r>
      <w:r w:rsidRPr="0077061B">
        <w:rPr>
          <w:rFonts w:eastAsia="Times New Roman"/>
          <w:kern w:val="22"/>
          <w:lang/>
        </w:rPr>
        <w:tab/>
      </w:r>
      <w:r w:rsidRPr="0077061B">
        <w:rPr>
          <w:rFonts w:eastAsia="Times New Roman"/>
          <w:i/>
          <w:iCs/>
          <w:lang w:val="es-ES"/>
        </w:rPr>
        <w:t>Reconoce</w:t>
      </w:r>
      <w:r w:rsidRPr="0077061B">
        <w:rPr>
          <w:rFonts w:eastAsia="Times New Roman"/>
          <w:lang w:val="es-ES"/>
        </w:rPr>
        <w:t xml:space="preserve"> que los beneficios monetarios y no monetarios derivados del uso de la información digital sobre secuencias de recursos genéticos deberían utilizarse, en particular</w:t>
      </w:r>
      <w:r w:rsidRPr="0077061B">
        <w:rPr>
          <w:rStyle w:val="FootnoteReference"/>
          <w:rFonts w:eastAsia="Times New Roman"/>
          <w:sz w:val="22"/>
          <w:szCs w:val="22"/>
          <w:lang w:val="es-ES"/>
        </w:rPr>
        <w:footnoteReference w:id="8"/>
      </w:r>
      <w:r w:rsidRPr="0077061B">
        <w:rPr>
          <w:rFonts w:eastAsia="Times New Roman"/>
          <w:lang w:val="es-ES"/>
        </w:rPr>
        <w:t xml:space="preserve">, para apoyar la conservación y la utilización sostenible de la diversidad biológica y, entre otras cosas, beneficiar a los pueblos indígenas y </w:t>
      </w:r>
      <w:r w:rsidR="008754BE">
        <w:rPr>
          <w:rFonts w:eastAsia="Times New Roman"/>
          <w:lang w:val="es-ES"/>
        </w:rPr>
        <w:t xml:space="preserve">a </w:t>
      </w:r>
      <w:r w:rsidRPr="0077061B">
        <w:rPr>
          <w:rFonts w:eastAsia="Times New Roman"/>
          <w:lang w:val="es-ES"/>
        </w:rPr>
        <w:t>las comunidades locales;</w:t>
      </w:r>
    </w:p>
    <w:p w:rsidR="007523C2" w:rsidRPr="0077061B" w:rsidRDefault="007523C2">
      <w:pPr>
        <w:spacing w:before="120" w:after="120"/>
        <w:ind w:firstLine="720"/>
        <w:rPr>
          <w:rFonts w:eastAsia="Times New Roman"/>
          <w:kern w:val="22"/>
          <w:lang/>
        </w:rPr>
      </w:pPr>
      <w:r w:rsidRPr="0077061B">
        <w:rPr>
          <w:rFonts w:eastAsia="Times New Roman"/>
          <w:kern w:val="22"/>
          <w:lang/>
        </w:rPr>
        <w:t>7.</w:t>
      </w:r>
      <w:r w:rsidRPr="0077061B">
        <w:rPr>
          <w:rFonts w:eastAsia="Times New Roman"/>
          <w:kern w:val="22"/>
          <w:lang/>
        </w:rPr>
        <w:tab/>
      </w:r>
      <w:r w:rsidRPr="0077061B">
        <w:rPr>
          <w:rFonts w:eastAsia="Times New Roman"/>
          <w:i/>
          <w:iCs/>
          <w:lang w:val="es-ES"/>
        </w:rPr>
        <w:t xml:space="preserve">Reconoce también </w:t>
      </w:r>
      <w:r w:rsidRPr="0077061B">
        <w:rPr>
          <w:rFonts w:eastAsia="Times New Roman"/>
          <w:lang w:val="es-ES"/>
        </w:rPr>
        <w:t>la diversidad de opiniones con respecto a las modalidades y metodologías de una posible solución para la participación justa y equitativa en los beneficios derivados de la información digital sobre secuencias de recursos genéticos</w:t>
      </w:r>
      <w:r w:rsidRPr="0077061B">
        <w:rPr>
          <w:rFonts w:eastAsia="Times New Roman"/>
          <w:kern w:val="22"/>
          <w:lang w:val="es-ES"/>
        </w:rPr>
        <w:t>;</w:t>
      </w:r>
    </w:p>
    <w:p w:rsidR="007523C2" w:rsidRPr="0077061B" w:rsidRDefault="007523C2">
      <w:pPr>
        <w:spacing w:before="120" w:after="120"/>
        <w:ind w:firstLine="720"/>
        <w:rPr>
          <w:rFonts w:eastAsia="Times New Roman"/>
          <w:kern w:val="22"/>
          <w:lang/>
        </w:rPr>
      </w:pPr>
      <w:r w:rsidRPr="0077061B">
        <w:rPr>
          <w:rFonts w:eastAsia="Times New Roman"/>
          <w:kern w:val="22"/>
          <w:lang/>
        </w:rPr>
        <w:t>8.</w:t>
      </w:r>
      <w:r w:rsidRPr="0077061B">
        <w:rPr>
          <w:rFonts w:eastAsia="Times New Roman"/>
          <w:kern w:val="22"/>
          <w:lang/>
        </w:rPr>
        <w:tab/>
      </w:r>
      <w:r w:rsidRPr="0077061B">
        <w:rPr>
          <w:rFonts w:eastAsia="Times New Roman"/>
          <w:i/>
          <w:iCs/>
          <w:lang w:val="es-ES"/>
        </w:rPr>
        <w:t xml:space="preserve">Reconoce </w:t>
      </w:r>
      <w:r w:rsidRPr="0077061B">
        <w:rPr>
          <w:rFonts w:eastAsia="Times New Roman"/>
          <w:lang w:val="es-ES"/>
        </w:rPr>
        <w:t>que los Copresidentes del Grupo de Trabajo sobre el Marco Mundial de la Diversidad Biológica posterior a 2020 pidieron a la Secretaria Ejecutiva que encargara una revisión y aplicación independientes del marco a efectos de evaluar las opciones de políticas utilizando la matriz de desempeño que figura en el anexo III del documento CBD/WG2020/3/4/Add.1</w:t>
      </w:r>
      <w:r w:rsidRPr="0077061B">
        <w:rPr>
          <w:rStyle w:val="FootnoteReference"/>
          <w:rFonts w:eastAsia="Times New Roman"/>
          <w:sz w:val="22"/>
          <w:szCs w:val="22"/>
          <w:lang w:val="es-ES"/>
        </w:rPr>
        <w:footnoteReference w:id="9"/>
      </w:r>
      <w:r w:rsidRPr="0077061B">
        <w:rPr>
          <w:rFonts w:eastAsia="Times New Roman"/>
          <w:lang w:val="es-ES"/>
        </w:rPr>
        <w:t>;</w:t>
      </w:r>
    </w:p>
    <w:p w:rsidR="007523C2" w:rsidRPr="0077061B" w:rsidRDefault="007523C2">
      <w:pPr>
        <w:spacing w:before="120" w:after="120"/>
        <w:ind w:firstLine="720"/>
        <w:rPr>
          <w:rFonts w:eastAsia="Times New Roman"/>
          <w:kern w:val="22"/>
          <w:lang/>
        </w:rPr>
      </w:pPr>
      <w:r w:rsidRPr="0077061B">
        <w:rPr>
          <w:rFonts w:eastAsia="Times New Roman"/>
          <w:kern w:val="22"/>
          <w:lang/>
        </w:rPr>
        <w:t>9.</w:t>
      </w:r>
      <w:r w:rsidRPr="0077061B">
        <w:rPr>
          <w:rFonts w:eastAsia="Times New Roman"/>
          <w:kern w:val="22"/>
          <w:lang/>
        </w:rPr>
        <w:tab/>
      </w:r>
      <w:r w:rsidRPr="0077061B">
        <w:rPr>
          <w:rFonts w:eastAsia="Times New Roman"/>
          <w:i/>
          <w:iCs/>
          <w:lang w:val="es-ES"/>
        </w:rPr>
        <w:t xml:space="preserve">Pide </w:t>
      </w:r>
      <w:r w:rsidRPr="0077061B">
        <w:rPr>
          <w:rFonts w:eastAsia="Times New Roman"/>
          <w:lang w:val="es-ES"/>
        </w:rPr>
        <w:t xml:space="preserve">a la Secretaria Ejecutiva que, </w:t>
      </w:r>
      <w:r w:rsidR="008754BE">
        <w:rPr>
          <w:rFonts w:eastAsia="Times New Roman"/>
          <w:lang w:val="es-ES"/>
        </w:rPr>
        <w:t>a medida que</w:t>
      </w:r>
      <w:r w:rsidRPr="0077061B">
        <w:rPr>
          <w:rFonts w:eastAsia="Times New Roman"/>
          <w:lang w:val="es-ES"/>
        </w:rPr>
        <w:t xml:space="preserve"> estén disponibles, presente las conclusiones de la evaluación preliminar al Grupo Oficioso de Asesoramiento de los Copresidentes;</w:t>
      </w:r>
    </w:p>
    <w:p w:rsidR="007523C2" w:rsidRPr="0077061B" w:rsidRDefault="007523C2">
      <w:pPr>
        <w:spacing w:before="120" w:after="120"/>
        <w:ind w:firstLine="720"/>
        <w:rPr>
          <w:rFonts w:eastAsia="Times New Roman"/>
          <w:kern w:val="22"/>
          <w:lang/>
        </w:rPr>
      </w:pPr>
      <w:r w:rsidRPr="0077061B">
        <w:rPr>
          <w:rFonts w:eastAsia="Times New Roman"/>
          <w:kern w:val="22"/>
          <w:lang/>
        </w:rPr>
        <w:t>10.</w:t>
      </w:r>
      <w:r w:rsidRPr="0077061B">
        <w:rPr>
          <w:rFonts w:eastAsia="Times New Roman"/>
          <w:kern w:val="22"/>
          <w:lang/>
        </w:rPr>
        <w:tab/>
      </w:r>
      <w:r w:rsidRPr="0077061B">
        <w:rPr>
          <w:rFonts w:eastAsia="Times New Roman"/>
          <w:i/>
          <w:iCs/>
          <w:lang w:val="es-ES"/>
        </w:rPr>
        <w:t xml:space="preserve">Pide también </w:t>
      </w:r>
      <w:r w:rsidRPr="0077061B">
        <w:rPr>
          <w:rFonts w:eastAsia="Times New Roman"/>
          <w:lang w:val="es-ES"/>
        </w:rPr>
        <w:t>a la Secretaria Ejecutiva que ponga la evaluación de las posibles opciones de políticas a disposición de la Conferencia de las Partes en su 15ª reunión, para su información;</w:t>
      </w:r>
    </w:p>
    <w:p w:rsidR="007523C2" w:rsidRPr="0077061B" w:rsidRDefault="007523C2">
      <w:pPr>
        <w:spacing w:before="120" w:after="120"/>
        <w:ind w:firstLine="720"/>
        <w:rPr>
          <w:rFonts w:eastAsia="Times New Roman"/>
          <w:kern w:val="22"/>
          <w:lang/>
        </w:rPr>
      </w:pPr>
      <w:r w:rsidRPr="0077061B">
        <w:rPr>
          <w:rFonts w:eastAsia="Times New Roman"/>
          <w:kern w:val="22"/>
          <w:lang/>
        </w:rPr>
        <w:lastRenderedPageBreak/>
        <w:t>11.</w:t>
      </w:r>
      <w:r w:rsidRPr="0077061B">
        <w:rPr>
          <w:rFonts w:eastAsia="Times New Roman"/>
          <w:kern w:val="22"/>
          <w:lang/>
        </w:rPr>
        <w:tab/>
      </w:r>
      <w:r w:rsidRPr="0077061B">
        <w:rPr>
          <w:rFonts w:eastAsia="Times New Roman"/>
          <w:i/>
          <w:iCs/>
          <w:lang w:val="es-ES"/>
        </w:rPr>
        <w:t xml:space="preserve">Pide </w:t>
      </w:r>
      <w:r w:rsidRPr="0077061B">
        <w:rPr>
          <w:rFonts w:eastAsia="Times New Roman"/>
          <w:lang w:val="es-ES"/>
        </w:rPr>
        <w:t>a los Copresidentes del Grupo de Trabajo sobre el Marco Mundial de la Diversidad Biológica posterior a 2020 que, conforme al párrafo 7 del mandato del Grupo Oficioso de Asesoramiento de los Copresidentes en materia de información digital sobre secuencias de recursos genéticos, inviten a las deliberaciones del Grupo Oficioso de Asesoramiento de los Copresidentes a representantes de la comunidad de investigación científica, el sector privado, las organizaciones de la sociedad civil y las bases de datos que se ocupan de la información digital sobre secuencias de recursos genéticos, manteniendo un equilibrio regional;</w:t>
      </w:r>
    </w:p>
    <w:p w:rsidR="007523C2" w:rsidRPr="0077061B" w:rsidRDefault="007523C2">
      <w:pPr>
        <w:spacing w:before="120" w:after="120"/>
        <w:ind w:firstLine="720"/>
        <w:rPr>
          <w:rFonts w:eastAsia="Times New Roman"/>
          <w:kern w:val="22"/>
          <w:lang/>
        </w:rPr>
      </w:pPr>
      <w:r w:rsidRPr="0077061B">
        <w:rPr>
          <w:rFonts w:eastAsia="Times New Roman"/>
          <w:kern w:val="22"/>
          <w:lang/>
        </w:rPr>
        <w:t>12.</w:t>
      </w:r>
      <w:r w:rsidRPr="0077061B">
        <w:rPr>
          <w:rFonts w:eastAsia="Times New Roman"/>
          <w:kern w:val="22"/>
          <w:lang/>
        </w:rPr>
        <w:tab/>
      </w:r>
      <w:r w:rsidRPr="0077061B">
        <w:rPr>
          <w:rFonts w:eastAsia="Times New Roman"/>
          <w:i/>
          <w:iCs/>
          <w:lang w:val="es-ES"/>
        </w:rPr>
        <w:t>Pide</w:t>
      </w:r>
      <w:r w:rsidR="00124DD4">
        <w:rPr>
          <w:rFonts w:eastAsia="Times New Roman"/>
          <w:i/>
          <w:iCs/>
          <w:lang w:val="es-ES"/>
        </w:rPr>
        <w:t xml:space="preserve"> </w:t>
      </w:r>
      <w:r w:rsidRPr="0077061B">
        <w:rPr>
          <w:rFonts w:eastAsia="Times New Roman"/>
          <w:lang w:val="es-ES"/>
        </w:rPr>
        <w:t>al Grupo Oficioso de Asesoramiento de los Copresidentes en materia de información digital sobre secuencias de recursos genéticos que prosiga con su labor</w:t>
      </w:r>
      <w:r w:rsidRPr="0077061B">
        <w:rPr>
          <w:rStyle w:val="FootnoteReference"/>
          <w:rFonts w:eastAsia="Times New Roman"/>
          <w:sz w:val="22"/>
          <w:szCs w:val="22"/>
          <w:lang w:val="es-ES"/>
        </w:rPr>
        <w:footnoteReference w:id="10"/>
      </w:r>
      <w:r w:rsidRPr="0077061B">
        <w:rPr>
          <w:rFonts w:eastAsia="Times New Roman"/>
          <w:lang w:val="es-ES"/>
        </w:rPr>
        <w:t xml:space="preserve"> de evaluación de las consecuencias de los posibles enfoques, opciones o modalidades de políticas para la participación en los beneficios que se deriven del uso de la información digital sobre secuencias de recursos genéticos, </w:t>
      </w:r>
      <w:r w:rsidR="00124DD4">
        <w:rPr>
          <w:rFonts w:eastAsia="Times New Roman"/>
          <w:lang w:val="es-ES"/>
        </w:rPr>
        <w:t xml:space="preserve">partiendo </w:t>
      </w:r>
      <w:r w:rsidRPr="0077061B">
        <w:rPr>
          <w:rFonts w:eastAsia="Times New Roman"/>
          <w:lang w:val="es-ES"/>
        </w:rPr>
        <w:t>de los elementos mencionados en los párrafos</w:t>
      </w:r>
      <w:r w:rsidR="00124DD4">
        <w:rPr>
          <w:rFonts w:eastAsia="Times New Roman"/>
          <w:lang w:val="es-ES"/>
        </w:rPr>
        <w:t> </w:t>
      </w:r>
      <w:r w:rsidRPr="0077061B">
        <w:rPr>
          <w:rFonts w:eastAsia="Times New Roman"/>
          <w:lang w:val="es-ES"/>
        </w:rPr>
        <w:t>5</w:t>
      </w:r>
      <w:r w:rsidR="00124DD4">
        <w:rPr>
          <w:rFonts w:eastAsia="Times New Roman"/>
          <w:lang w:val="es-ES"/>
        </w:rPr>
        <w:t> </w:t>
      </w:r>
      <w:r w:rsidRPr="0077061B">
        <w:rPr>
          <w:rFonts w:eastAsia="Times New Roman"/>
          <w:lang w:val="es-ES"/>
        </w:rPr>
        <w:t>y</w:t>
      </w:r>
      <w:r w:rsidR="00124DD4">
        <w:rPr>
          <w:rFonts w:eastAsia="Times New Roman"/>
          <w:lang w:val="es-ES"/>
        </w:rPr>
        <w:t> </w:t>
      </w:r>
      <w:r w:rsidRPr="0077061B">
        <w:rPr>
          <w:rFonts w:eastAsia="Times New Roman"/>
          <w:lang w:val="es-ES"/>
        </w:rPr>
        <w:t>6 anteriores, y que preste además asesoramiento en las siguientes áreas:</w:t>
      </w:r>
    </w:p>
    <w:p w:rsidR="007523C2" w:rsidRPr="0077061B" w:rsidRDefault="007523C2">
      <w:pPr>
        <w:numPr>
          <w:ilvl w:val="0"/>
          <w:numId w:val="26"/>
        </w:numPr>
        <w:tabs>
          <w:tab w:val="clear" w:pos="349"/>
        </w:tabs>
        <w:spacing w:before="120" w:after="120"/>
        <w:ind w:left="0" w:firstLine="720"/>
        <w:rPr>
          <w:rFonts w:eastAsia="Times New Roman"/>
          <w:kern w:val="22"/>
          <w:lang/>
        </w:rPr>
      </w:pPr>
      <w:r w:rsidRPr="0077061B">
        <w:rPr>
          <w:rFonts w:eastAsia="Times New Roman"/>
          <w:lang w:val="es-ES"/>
        </w:rPr>
        <w:t>Enfoques, opciones o modalidades híbridos;</w:t>
      </w:r>
    </w:p>
    <w:p w:rsidR="007523C2" w:rsidRPr="0077061B" w:rsidRDefault="007523C2">
      <w:pPr>
        <w:numPr>
          <w:ilvl w:val="0"/>
          <w:numId w:val="26"/>
        </w:numPr>
        <w:tabs>
          <w:tab w:val="clear" w:pos="349"/>
        </w:tabs>
        <w:spacing w:before="120" w:after="120"/>
        <w:ind w:left="0" w:firstLine="720"/>
        <w:rPr>
          <w:rFonts w:eastAsia="Times New Roman"/>
          <w:kern w:val="22"/>
          <w:lang/>
        </w:rPr>
      </w:pPr>
      <w:r w:rsidRPr="0077061B">
        <w:rPr>
          <w:rFonts w:eastAsia="Times New Roman"/>
          <w:lang w:val="es-ES"/>
        </w:rPr>
        <w:t>Las conclusiones de la evaluación mencionada en el párrafo 8 anterior, a medida que estén disponibles;</w:t>
      </w:r>
    </w:p>
    <w:p w:rsidR="007523C2" w:rsidRPr="0077061B" w:rsidRDefault="007523C2">
      <w:pPr>
        <w:numPr>
          <w:ilvl w:val="0"/>
          <w:numId w:val="26"/>
        </w:numPr>
        <w:tabs>
          <w:tab w:val="clear" w:pos="349"/>
        </w:tabs>
        <w:spacing w:before="120" w:after="120"/>
        <w:ind w:left="0" w:firstLine="720"/>
        <w:rPr>
          <w:rFonts w:eastAsia="Times New Roman"/>
          <w:kern w:val="22"/>
          <w:lang/>
        </w:rPr>
      </w:pPr>
      <w:r w:rsidRPr="0077061B">
        <w:rPr>
          <w:rFonts w:eastAsia="Times New Roman"/>
          <w:lang w:val="es-ES"/>
        </w:rPr>
        <w:t xml:space="preserve">Elementos </w:t>
      </w:r>
      <w:r w:rsidR="00124DD4">
        <w:rPr>
          <w:rFonts w:eastAsia="Times New Roman"/>
          <w:lang w:val="es-ES"/>
        </w:rPr>
        <w:t>para</w:t>
      </w:r>
      <w:r w:rsidRPr="0077061B">
        <w:rPr>
          <w:rFonts w:eastAsia="Times New Roman"/>
          <w:lang w:val="es-ES"/>
        </w:rPr>
        <w:t xml:space="preserve"> una definición</w:t>
      </w:r>
      <w:r w:rsidRPr="0077061B">
        <w:rPr>
          <w:rStyle w:val="FootnoteReference"/>
          <w:rFonts w:eastAsia="Times New Roman"/>
          <w:sz w:val="22"/>
          <w:szCs w:val="22"/>
          <w:lang w:val="es-ES"/>
        </w:rPr>
        <w:footnoteReference w:id="11"/>
      </w:r>
      <w:r w:rsidRPr="0077061B">
        <w:rPr>
          <w:rFonts w:eastAsia="Times New Roman"/>
          <w:lang w:val="es-ES"/>
        </w:rPr>
        <w:t xml:space="preserve"> de información digital sobre secuencias de recursos genéticos, </w:t>
      </w:r>
      <w:r w:rsidR="00124DD4">
        <w:rPr>
          <w:rFonts w:eastAsia="Times New Roman"/>
          <w:lang w:val="es-ES"/>
        </w:rPr>
        <w:t>sobre la base</w:t>
      </w:r>
      <w:r w:rsidRPr="0077061B">
        <w:rPr>
          <w:rFonts w:eastAsia="Times New Roman"/>
          <w:lang w:val="es-ES"/>
        </w:rPr>
        <w:t xml:space="preserve"> </w:t>
      </w:r>
      <w:r w:rsidR="00124DD4">
        <w:rPr>
          <w:rFonts w:eastAsia="Times New Roman"/>
          <w:lang w:val="es-ES"/>
        </w:rPr>
        <w:t>d</w:t>
      </w:r>
      <w:r w:rsidRPr="0077061B">
        <w:rPr>
          <w:rFonts w:eastAsia="Times New Roman"/>
          <w:lang w:val="es-ES"/>
        </w:rPr>
        <w:t>e la labor del Grupo Especial de Expertos Técnicos sobre Información Digital sobre Secuencias de Recursos Genéticos y cualquier otra información pertinente;</w:t>
      </w:r>
    </w:p>
    <w:p w:rsidR="007523C2" w:rsidRPr="0077061B" w:rsidRDefault="007523C2">
      <w:pPr>
        <w:numPr>
          <w:ilvl w:val="0"/>
          <w:numId w:val="26"/>
        </w:numPr>
        <w:tabs>
          <w:tab w:val="clear" w:pos="349"/>
        </w:tabs>
        <w:spacing w:before="120" w:after="120"/>
        <w:ind w:left="0" w:firstLine="720"/>
        <w:rPr>
          <w:rFonts w:eastAsia="Times New Roman"/>
          <w:kern w:val="22"/>
          <w:lang/>
        </w:rPr>
      </w:pPr>
      <w:r w:rsidRPr="0077061B">
        <w:rPr>
          <w:rFonts w:eastAsia="Times New Roman"/>
          <w:lang w:val="es-ES"/>
        </w:rPr>
        <w:t>Viabilidad jurídica;</w:t>
      </w:r>
    </w:p>
    <w:p w:rsidR="007523C2" w:rsidRPr="0077061B" w:rsidRDefault="007523C2">
      <w:pPr>
        <w:numPr>
          <w:ilvl w:val="0"/>
          <w:numId w:val="26"/>
        </w:numPr>
        <w:tabs>
          <w:tab w:val="clear" w:pos="349"/>
        </w:tabs>
        <w:spacing w:before="120" w:after="120"/>
        <w:ind w:left="0" w:firstLine="720"/>
        <w:rPr>
          <w:rFonts w:eastAsia="Times New Roman"/>
          <w:kern w:val="22"/>
          <w:lang/>
        </w:rPr>
      </w:pPr>
      <w:r w:rsidRPr="0077061B">
        <w:rPr>
          <w:rFonts w:eastAsia="Times New Roman"/>
          <w:lang w:val="es-ES"/>
        </w:rPr>
        <w:t>Seguimiento y rastreo, y sus implicaciones para los posibles enfoques, opciones o modalidades de políticas;</w:t>
      </w:r>
    </w:p>
    <w:p w:rsidR="007523C2" w:rsidRPr="0077061B" w:rsidRDefault="007523C2">
      <w:pPr>
        <w:numPr>
          <w:ilvl w:val="0"/>
          <w:numId w:val="26"/>
        </w:numPr>
        <w:tabs>
          <w:tab w:val="clear" w:pos="349"/>
        </w:tabs>
        <w:spacing w:before="120" w:after="120"/>
        <w:ind w:left="0" w:firstLine="720"/>
        <w:rPr>
          <w:rFonts w:eastAsia="Times New Roman"/>
          <w:kern w:val="22"/>
          <w:lang/>
        </w:rPr>
      </w:pPr>
      <w:r w:rsidRPr="0077061B">
        <w:rPr>
          <w:rFonts w:eastAsia="Times New Roman"/>
          <w:lang w:val="es-ES"/>
        </w:rPr>
        <w:t>Los próximos pasos en el enfoque que se deben tener en cuenta para avanzar hacia una solución para la participación justa y equitativa en los beneficios que se deriven del uso de la información digital sobre secuencias de recursos genéticos en el contexto del marco mundial de la diversidad biológica posterior a 2020;</w:t>
      </w:r>
    </w:p>
    <w:p w:rsidR="007523C2" w:rsidRPr="0077061B" w:rsidRDefault="007523C2">
      <w:pPr>
        <w:numPr>
          <w:ilvl w:val="0"/>
          <w:numId w:val="26"/>
        </w:numPr>
        <w:tabs>
          <w:tab w:val="clear" w:pos="349"/>
        </w:tabs>
        <w:spacing w:before="120" w:after="120"/>
        <w:ind w:left="0" w:firstLine="720"/>
        <w:rPr>
          <w:rFonts w:eastAsia="Times New Roman"/>
          <w:kern w:val="22"/>
          <w:lang/>
        </w:rPr>
      </w:pPr>
      <w:r w:rsidRPr="0077061B">
        <w:rPr>
          <w:rFonts w:eastAsia="Times New Roman"/>
          <w:lang w:val="es-ES"/>
        </w:rPr>
        <w:t>El papel, los derechos y los intereses de los pueblos indígenas y las comunidades locales y la necesidad de tenerlos en cuenta al examinar posibles enfoques, opciones o modalidades de políticas;</w:t>
      </w:r>
    </w:p>
    <w:p w:rsidR="007523C2" w:rsidRPr="0077061B" w:rsidRDefault="007523C2">
      <w:pPr>
        <w:numPr>
          <w:ilvl w:val="0"/>
          <w:numId w:val="26"/>
        </w:numPr>
        <w:tabs>
          <w:tab w:val="clear" w:pos="349"/>
        </w:tabs>
        <w:spacing w:before="120" w:after="120"/>
        <w:ind w:left="0" w:firstLine="720"/>
        <w:rPr>
          <w:rFonts w:eastAsia="Times New Roman"/>
          <w:kern w:val="22"/>
          <w:lang/>
        </w:rPr>
      </w:pPr>
      <w:r w:rsidRPr="0077061B">
        <w:rPr>
          <w:rFonts w:eastAsia="Times New Roman"/>
          <w:lang w:val="es-ES"/>
        </w:rPr>
        <w:t>El papel y los intereses de la comunidad de investigación científica, el sector privado, las organizaciones de la sociedad civil y las bases de datos que se ocupan de la información digital sobre secuencias de recursos genéticos, así como las implicaciones para esos sectores.</w:t>
      </w:r>
    </w:p>
    <w:p w:rsidR="007523C2" w:rsidRPr="0077061B" w:rsidRDefault="007523C2">
      <w:pPr>
        <w:spacing w:before="120" w:after="120"/>
        <w:ind w:firstLine="709"/>
        <w:rPr>
          <w:rFonts w:eastAsia="Times New Roman"/>
          <w:kern w:val="22"/>
          <w:lang/>
        </w:rPr>
      </w:pPr>
      <w:r w:rsidRPr="0077061B">
        <w:rPr>
          <w:rFonts w:eastAsia="Times New Roman"/>
          <w:kern w:val="22"/>
          <w:lang/>
        </w:rPr>
        <w:t>13.</w:t>
      </w:r>
      <w:r w:rsidRPr="0077061B">
        <w:rPr>
          <w:rFonts w:eastAsia="Times New Roman"/>
          <w:kern w:val="22"/>
          <w:lang/>
        </w:rPr>
        <w:tab/>
      </w:r>
      <w:r w:rsidRPr="0077061B">
        <w:rPr>
          <w:rFonts w:eastAsia="Times New Roman"/>
          <w:i/>
          <w:iCs/>
          <w:lang w:val="es-ES"/>
        </w:rPr>
        <w:t xml:space="preserve">Pide </w:t>
      </w:r>
      <w:r w:rsidRPr="0077061B">
        <w:rPr>
          <w:rFonts w:eastAsia="Times New Roman"/>
          <w:lang w:val="es-ES"/>
        </w:rPr>
        <w:t>a los Copresidentes del Grupo de Trabajo sobre el Marco Mundial de la Diversidad Biológica posterior a 2020 que en su informe a la 15ª reunión de la Conferencia de las Partes tengan en cuenta las conclusiones de la evaluación de las posibles opciones de políticas y la labor del Grupo Oficioso de Asesoramiento de los Copresidentes en materia de información digital sobre secuencias de recursos genéticos;</w:t>
      </w:r>
    </w:p>
    <w:p w:rsidR="007523C2" w:rsidRPr="0077061B" w:rsidRDefault="007523C2">
      <w:pPr>
        <w:spacing w:before="120" w:after="120"/>
        <w:ind w:firstLine="720"/>
        <w:rPr>
          <w:rFonts w:eastAsia="Times New Roman"/>
          <w:i/>
          <w:iCs/>
          <w:kern w:val="22"/>
          <w:lang/>
        </w:rPr>
      </w:pPr>
      <w:bookmarkStart w:id="0" w:name="_Hlk102054708"/>
      <w:r w:rsidRPr="0077061B">
        <w:rPr>
          <w:rFonts w:eastAsia="Times New Roman"/>
          <w:kern w:val="22"/>
          <w:lang/>
        </w:rPr>
        <w:t>14.</w:t>
      </w:r>
      <w:r w:rsidRPr="0077061B">
        <w:rPr>
          <w:rFonts w:eastAsia="Times New Roman"/>
          <w:kern w:val="22"/>
          <w:lang/>
        </w:rPr>
        <w:tab/>
      </w:r>
      <w:r w:rsidRPr="0077061B">
        <w:rPr>
          <w:rFonts w:eastAsia="Times New Roman"/>
          <w:i/>
          <w:iCs/>
          <w:kern w:val="22"/>
          <w:lang w:val="es-ES"/>
        </w:rPr>
        <w:t xml:space="preserve">Recomienda </w:t>
      </w:r>
      <w:r w:rsidRPr="0077061B">
        <w:rPr>
          <w:rFonts w:eastAsia="Times New Roman"/>
          <w:kern w:val="22"/>
          <w:lang w:val="es-ES"/>
        </w:rPr>
        <w:t>a la Conferencia de las Partes que en su 15ª reunión adopte una decisión del tenor de lo propuesto en el anexo de la presente;</w:t>
      </w:r>
    </w:p>
    <w:bookmarkEnd w:id="0"/>
    <w:p w:rsidR="007523C2" w:rsidRPr="0077061B" w:rsidRDefault="007523C2">
      <w:pPr>
        <w:spacing w:before="120" w:after="120"/>
        <w:ind w:firstLine="720"/>
        <w:rPr>
          <w:rFonts w:eastAsia="Times New Roman"/>
          <w:i/>
          <w:iCs/>
          <w:kern w:val="22"/>
          <w:lang/>
        </w:rPr>
      </w:pPr>
      <w:r w:rsidRPr="0077061B">
        <w:rPr>
          <w:rFonts w:eastAsia="Times New Roman"/>
          <w:kern w:val="22"/>
          <w:lang/>
        </w:rPr>
        <w:t>15.</w:t>
      </w:r>
      <w:r w:rsidRPr="0077061B">
        <w:rPr>
          <w:rFonts w:eastAsia="Times New Roman"/>
          <w:kern w:val="22"/>
          <w:lang/>
        </w:rPr>
        <w:tab/>
      </w:r>
      <w:r w:rsidRPr="0077061B">
        <w:rPr>
          <w:rFonts w:eastAsia="Times New Roman"/>
          <w:i/>
          <w:iCs/>
          <w:kern w:val="22"/>
          <w:lang w:val="es-ES"/>
        </w:rPr>
        <w:t xml:space="preserve">Recomienda </w:t>
      </w:r>
      <w:r w:rsidRPr="0077061B">
        <w:rPr>
          <w:rFonts w:eastAsia="Times New Roman"/>
          <w:kern w:val="22"/>
          <w:lang w:val="es-ES"/>
        </w:rPr>
        <w:t xml:space="preserve">a </w:t>
      </w:r>
      <w:r w:rsidRPr="0077061B">
        <w:rPr>
          <w:rFonts w:eastAsia="Times New Roman"/>
          <w:lang w:val="es-ES"/>
        </w:rPr>
        <w:t xml:space="preserve">la Conferencia de las Partes que actúa como reunión de las Partes en el Protocolo de Nagoya sobre Acceso y Participación en los Beneficios que </w:t>
      </w:r>
      <w:r w:rsidRPr="0077061B">
        <w:rPr>
          <w:rFonts w:eastAsia="Times New Roman"/>
          <w:kern w:val="22"/>
          <w:lang w:val="es-ES"/>
        </w:rPr>
        <w:t>en su cuarta reunión considere esta recomendación</w:t>
      </w:r>
      <w:r w:rsidRPr="0077061B">
        <w:rPr>
          <w:rFonts w:eastAsia="Times New Roman"/>
          <w:lang w:val="es-ES"/>
        </w:rPr>
        <w:t>, así como las decisiones que prepare la Conferencia de las Partes en su 15ª reunión.</w:t>
      </w:r>
    </w:p>
    <w:p w:rsidR="007523C2" w:rsidRPr="0077061B" w:rsidRDefault="007523C2">
      <w:pPr>
        <w:pStyle w:val="ListParagraph"/>
        <w:keepNext/>
        <w:spacing w:before="120" w:after="120"/>
        <w:ind w:left="0"/>
        <w:jc w:val="center"/>
        <w:rPr>
          <w:rFonts w:eastAsia="Times New Roman"/>
          <w:i/>
          <w:iCs/>
          <w:kern w:val="22"/>
          <w:sz w:val="22"/>
          <w:szCs w:val="22"/>
          <w:lang/>
        </w:rPr>
      </w:pPr>
      <w:r w:rsidRPr="0077061B">
        <w:rPr>
          <w:rFonts w:eastAsia="Times New Roman"/>
          <w:i/>
          <w:iCs/>
          <w:kern w:val="22"/>
          <w:sz w:val="22"/>
          <w:szCs w:val="22"/>
          <w:lang w:val="es-ES"/>
        </w:rPr>
        <w:lastRenderedPageBreak/>
        <w:t>Anexo</w:t>
      </w:r>
    </w:p>
    <w:p w:rsidR="007523C2" w:rsidRPr="0077061B" w:rsidRDefault="007523C2">
      <w:pPr>
        <w:pStyle w:val="Heading1"/>
        <w:rPr>
          <w:rFonts w:eastAsia="Times New Roman"/>
          <w:lang/>
        </w:rPr>
      </w:pPr>
      <w:r w:rsidRPr="0077061B">
        <w:rPr>
          <w:rFonts w:eastAsia="Times New Roman"/>
          <w:lang w:val="es-ES"/>
        </w:rPr>
        <w:t>RecomENDACIÓN DEL GRUPO DE TRABAJO SOBRE EL MARCO MUNDIAL DE LA DIVERSIDAD BIOLÓGICA POSTERIOR A 2020 A LA CONFERENCIA DE LAS PARTES PARA SU EXAMEN EN SU 15ª REUNIÓN</w:t>
      </w:r>
    </w:p>
    <w:p w:rsidR="007523C2" w:rsidRPr="0077061B" w:rsidRDefault="007523C2">
      <w:pPr>
        <w:pStyle w:val="ListParagraph"/>
        <w:keepNext/>
        <w:spacing w:before="120" w:after="120"/>
        <w:ind w:left="0" w:firstLine="720"/>
        <w:rPr>
          <w:rFonts w:eastAsia="Times New Roman"/>
          <w:i/>
          <w:iCs/>
          <w:kern w:val="22"/>
          <w:sz w:val="22"/>
          <w:szCs w:val="22"/>
          <w:lang/>
        </w:rPr>
      </w:pPr>
      <w:r w:rsidRPr="0077061B">
        <w:rPr>
          <w:rFonts w:eastAsia="Times New Roman"/>
          <w:i/>
          <w:iCs/>
          <w:kern w:val="22"/>
          <w:sz w:val="22"/>
          <w:szCs w:val="22"/>
          <w:lang w:val="es-ES"/>
        </w:rPr>
        <w:t>[La Conferencia de las Partes,</w:t>
      </w:r>
    </w:p>
    <w:p w:rsidR="007523C2" w:rsidRPr="0077061B" w:rsidRDefault="007523C2">
      <w:pPr>
        <w:pStyle w:val="ListParagraph"/>
        <w:spacing w:before="120" w:after="120"/>
        <w:ind w:left="0" w:firstLine="720"/>
        <w:rPr>
          <w:rFonts w:eastAsia="Times New Roman"/>
          <w:kern w:val="22"/>
          <w:sz w:val="22"/>
          <w:szCs w:val="22"/>
          <w:lang/>
        </w:rPr>
      </w:pPr>
      <w:r w:rsidRPr="0077061B">
        <w:rPr>
          <w:rFonts w:eastAsia="Times New Roman"/>
          <w:i/>
          <w:iCs/>
          <w:kern w:val="22"/>
          <w:sz w:val="22"/>
          <w:szCs w:val="22"/>
          <w:lang w:val="es-ES"/>
        </w:rPr>
        <w:t xml:space="preserve">Teniendo en cuenta </w:t>
      </w:r>
      <w:r w:rsidRPr="0077061B">
        <w:rPr>
          <w:rFonts w:eastAsia="Times New Roman"/>
          <w:kern w:val="22"/>
          <w:sz w:val="22"/>
          <w:szCs w:val="22"/>
          <w:lang w:val="es-ES"/>
        </w:rPr>
        <w:t xml:space="preserve">la necesidad de llegar a un acuerdo sobre el alcance de la “información digital sobre secuencias </w:t>
      </w:r>
      <w:r w:rsidRPr="0077061B">
        <w:rPr>
          <w:rFonts w:eastAsia="Times New Roman"/>
          <w:sz w:val="22"/>
          <w:szCs w:val="22"/>
          <w:lang w:val="es-ES"/>
        </w:rPr>
        <w:t>[de recursos genéticos]</w:t>
      </w:r>
      <w:r w:rsidRPr="0077061B">
        <w:rPr>
          <w:rFonts w:eastAsia="Times New Roman"/>
          <w:kern w:val="22"/>
          <w:sz w:val="22"/>
          <w:szCs w:val="22"/>
          <w:lang w:val="es-ES"/>
        </w:rPr>
        <w:t xml:space="preserve">” y la </w:t>
      </w:r>
      <w:r w:rsidRPr="0077061B">
        <w:rPr>
          <w:rFonts w:eastAsia="Times New Roman"/>
          <w:sz w:val="22"/>
          <w:szCs w:val="22"/>
          <w:lang w:val="es-ES"/>
        </w:rPr>
        <w:t>[consiguiente] terminología apropiada</w:t>
      </w:r>
      <w:r w:rsidRPr="0077061B">
        <w:rPr>
          <w:rFonts w:eastAsia="Times New Roman"/>
          <w:kern w:val="22"/>
          <w:sz w:val="22"/>
          <w:szCs w:val="22"/>
          <w:lang w:val="es-ES"/>
        </w:rPr>
        <w:t>,</w:t>
      </w:r>
    </w:p>
    <w:p w:rsidR="007523C2" w:rsidRPr="0077061B" w:rsidRDefault="007523C2">
      <w:pPr>
        <w:spacing w:before="120" w:after="120"/>
        <w:ind w:firstLine="720"/>
        <w:rPr>
          <w:rFonts w:eastAsia="Times New Roman"/>
          <w:lang/>
        </w:rPr>
      </w:pPr>
      <w:r w:rsidRPr="0077061B">
        <w:rPr>
          <w:rFonts w:eastAsia="Times New Roman"/>
          <w:i/>
          <w:iCs/>
          <w:lang w:val="es-ES"/>
        </w:rPr>
        <w:t>[Recordando</w:t>
      </w:r>
      <w:r w:rsidRPr="0077061B">
        <w:rPr>
          <w:rFonts w:eastAsia="Times New Roman"/>
          <w:lang w:val="es-ES"/>
        </w:rPr>
        <w:t xml:space="preserve"> que </w:t>
      </w:r>
      <w:r w:rsidR="009425E4" w:rsidRPr="0077061B">
        <w:rPr>
          <w:rFonts w:eastAsia="Times New Roman"/>
          <w:lang w:val="es-ES"/>
        </w:rPr>
        <w:t>e</w:t>
      </w:r>
      <w:r w:rsidR="007444DB">
        <w:rPr>
          <w:rFonts w:eastAsia="Times New Roman"/>
          <w:lang w:val="es-ES"/>
        </w:rPr>
        <w:t>n</w:t>
      </w:r>
      <w:r w:rsidR="009425E4" w:rsidRPr="0077061B">
        <w:rPr>
          <w:rFonts w:eastAsia="Times New Roman"/>
          <w:lang w:val="es-ES"/>
        </w:rPr>
        <w:t xml:space="preserve"> sus marcos de acceso y participación en los beneficios</w:t>
      </w:r>
      <w:r w:rsidRPr="0077061B">
        <w:rPr>
          <w:rFonts w:eastAsia="Times New Roman"/>
          <w:lang w:val="es-ES"/>
        </w:rPr>
        <w:t xml:space="preserve"> </w:t>
      </w:r>
      <w:r w:rsidR="007444DB" w:rsidRPr="0077061B">
        <w:rPr>
          <w:rFonts w:eastAsia="Times New Roman"/>
          <w:lang w:val="es-ES"/>
        </w:rPr>
        <w:t xml:space="preserve">algunas Partes han adoptado </w:t>
      </w:r>
      <w:r w:rsidRPr="0077061B">
        <w:rPr>
          <w:rFonts w:eastAsia="Times New Roman"/>
          <w:lang w:val="es-ES"/>
        </w:rPr>
        <w:t>medidas nacionales que regulan el acceso a la información digital sobre secuencias de recursos genéticos y su uso, como se reconoce en el párrafo 5 de la decisión 14/20][</w:t>
      </w:r>
      <w:r w:rsidRPr="0077061B">
        <w:rPr>
          <w:rFonts w:eastAsia="Times New Roman"/>
          <w:i/>
          <w:iCs/>
          <w:lang w:val="es-ES"/>
        </w:rPr>
        <w:t>Reconociendo</w:t>
      </w:r>
      <w:r w:rsidRPr="0077061B">
        <w:rPr>
          <w:rFonts w:eastAsia="Times New Roman"/>
          <w:lang w:val="es-ES"/>
        </w:rPr>
        <w:t xml:space="preserve"> los múltiples enfoques adoptados en medidas nacionales dirigidas a abordar la información digital sobre secuencias],</w:t>
      </w:r>
    </w:p>
    <w:p w:rsidR="007523C2" w:rsidRPr="0077061B" w:rsidRDefault="007523C2">
      <w:pPr>
        <w:spacing w:before="120" w:after="120"/>
        <w:ind w:firstLine="720"/>
        <w:rPr>
          <w:rFonts w:eastAsia="Times New Roman"/>
          <w:lang/>
        </w:rPr>
      </w:pPr>
      <w:r w:rsidRPr="0077061B">
        <w:rPr>
          <w:rFonts w:eastAsia="Times New Roman"/>
          <w:i/>
          <w:iCs/>
          <w:lang w:val="es-ES"/>
        </w:rPr>
        <w:t>[Reconociendo también</w:t>
      </w:r>
      <w:r w:rsidRPr="0077061B">
        <w:rPr>
          <w:rFonts w:eastAsia="Times New Roman"/>
          <w:lang w:val="es-ES"/>
        </w:rPr>
        <w:t xml:space="preserve"> que la información digital sobre secuencias de recursos genéticos es una parte intrínseca de los recursos genéticos,]</w:t>
      </w:r>
    </w:p>
    <w:p w:rsidR="007523C2" w:rsidRPr="0077061B" w:rsidRDefault="007523C2">
      <w:pPr>
        <w:spacing w:before="120" w:after="120"/>
        <w:ind w:firstLine="720"/>
        <w:rPr>
          <w:rFonts w:eastAsia="Times New Roman"/>
          <w:lang/>
        </w:rPr>
      </w:pPr>
      <w:r w:rsidRPr="0077061B">
        <w:rPr>
          <w:rFonts w:eastAsia="Times New Roman"/>
          <w:lang w:val="es-ES"/>
        </w:rPr>
        <w:t>[</w:t>
      </w:r>
      <w:r w:rsidRPr="0077061B">
        <w:rPr>
          <w:rFonts w:eastAsia="Times New Roman"/>
          <w:i/>
          <w:iCs/>
          <w:lang w:val="es-ES"/>
        </w:rPr>
        <w:t>Reconociendo además</w:t>
      </w:r>
      <w:r w:rsidRPr="0077061B">
        <w:rPr>
          <w:rFonts w:eastAsia="Times New Roman"/>
          <w:lang w:val="es-ES"/>
        </w:rPr>
        <w:t xml:space="preserve"> que la trazabilidad de la correlación entre la información digital sobre secuencias y los recursos genéticos favorece el desarrollo de un mecanismo para la información digital sobre secuencias de recursos genéticos,]</w:t>
      </w:r>
    </w:p>
    <w:p w:rsidR="007523C2" w:rsidRPr="0077061B" w:rsidRDefault="007523C2">
      <w:pPr>
        <w:spacing w:before="120" w:after="120"/>
        <w:ind w:firstLine="720"/>
        <w:rPr>
          <w:rFonts w:eastAsia="Times New Roman"/>
          <w:i/>
          <w:iCs/>
          <w:lang/>
        </w:rPr>
      </w:pPr>
      <w:r w:rsidRPr="0077061B">
        <w:rPr>
          <w:rFonts w:eastAsia="Times New Roman"/>
          <w:i/>
          <w:iCs/>
          <w:lang w:val="es-ES"/>
        </w:rPr>
        <w:t>[Reconociendo</w:t>
      </w:r>
      <w:r w:rsidRPr="0077061B">
        <w:rPr>
          <w:rFonts w:eastAsia="Times New Roman"/>
          <w:lang w:val="es-ES"/>
        </w:rPr>
        <w:t xml:space="preserve"> el vínculo entre la información digital sobre secuencias y el país de origen,]</w:t>
      </w:r>
    </w:p>
    <w:p w:rsidR="007523C2" w:rsidRPr="0077061B" w:rsidRDefault="007523C2">
      <w:pPr>
        <w:pStyle w:val="ListParagraph"/>
        <w:spacing w:before="120" w:after="120"/>
        <w:ind w:left="0" w:firstLine="736"/>
        <w:rPr>
          <w:rFonts w:eastAsia="Times New Roman"/>
          <w:kern w:val="22"/>
          <w:sz w:val="22"/>
          <w:szCs w:val="22"/>
          <w:lang/>
        </w:rPr>
      </w:pPr>
      <w:r w:rsidRPr="0077061B">
        <w:rPr>
          <w:rFonts w:eastAsia="Times New Roman"/>
          <w:sz w:val="22"/>
          <w:szCs w:val="22"/>
          <w:lang w:val="es-ES"/>
        </w:rPr>
        <w:t>[</w:t>
      </w:r>
      <w:r w:rsidRPr="0077061B">
        <w:rPr>
          <w:rFonts w:eastAsia="Times New Roman"/>
          <w:i/>
          <w:iCs/>
          <w:sz w:val="22"/>
          <w:szCs w:val="22"/>
          <w:lang w:val="es-ES"/>
        </w:rPr>
        <w:t xml:space="preserve">Reconociendo también </w:t>
      </w:r>
      <w:r w:rsidRPr="0077061B">
        <w:rPr>
          <w:rFonts w:eastAsia="Times New Roman"/>
          <w:sz w:val="22"/>
          <w:szCs w:val="22"/>
          <w:lang w:val="es-ES"/>
        </w:rPr>
        <w:t>la necesidad de tomar en cuenta las obligaciones y los compromisos en materia de derechos humanos relacionados con el disfrute de un medio ambiente limpio, saludable y sostenible</w:t>
      </w:r>
      <w:r w:rsidRPr="0077061B">
        <w:rPr>
          <w:rStyle w:val="FootnoteReference"/>
          <w:rFonts w:eastAsia="Times New Roman"/>
          <w:kern w:val="22"/>
          <w:sz w:val="22"/>
          <w:szCs w:val="22"/>
          <w:lang w:val="es-ES"/>
        </w:rPr>
        <w:footnoteReference w:id="12"/>
      </w:r>
      <w:r w:rsidRPr="0077061B">
        <w:rPr>
          <w:rFonts w:eastAsia="Times New Roman"/>
          <w:sz w:val="22"/>
          <w:szCs w:val="22"/>
          <w:lang w:val="es-ES"/>
        </w:rPr>
        <w:t xml:space="preserve"> en la aplicación y el seguimiento del Objetivo de Desarrollo Sostenible 15.6, teniendo en cuenta el carácter integrado y multisectorial de los Objetivos de Desarrollo Sostenible,] </w:t>
      </w:r>
    </w:p>
    <w:p w:rsidR="007523C2" w:rsidRPr="0077061B" w:rsidRDefault="007523C2">
      <w:pPr>
        <w:pStyle w:val="ListParagraph"/>
        <w:tabs>
          <w:tab w:val="left" w:pos="1276"/>
        </w:tabs>
        <w:spacing w:before="120" w:after="120"/>
        <w:ind w:left="0" w:firstLine="720"/>
        <w:rPr>
          <w:rFonts w:eastAsia="Times New Roman"/>
          <w:kern w:val="22"/>
          <w:sz w:val="22"/>
          <w:szCs w:val="22"/>
          <w:lang/>
        </w:rPr>
      </w:pPr>
      <w:r w:rsidRPr="0077061B">
        <w:rPr>
          <w:rFonts w:eastAsia="Times New Roman"/>
          <w:sz w:val="22"/>
          <w:szCs w:val="22"/>
          <w:lang/>
        </w:rPr>
        <w:t>[</w:t>
      </w:r>
      <w:r w:rsidRPr="0077061B">
        <w:rPr>
          <w:rFonts w:eastAsia="Times New Roman"/>
          <w:kern w:val="22"/>
          <w:sz w:val="22"/>
          <w:szCs w:val="22"/>
          <w:lang/>
        </w:rPr>
        <w:t xml:space="preserve">1. </w:t>
      </w:r>
      <w:r w:rsidRPr="0077061B">
        <w:rPr>
          <w:rFonts w:eastAsia="Times New Roman"/>
          <w:kern w:val="22"/>
          <w:sz w:val="22"/>
          <w:szCs w:val="22"/>
          <w:lang/>
        </w:rPr>
        <w:tab/>
      </w:r>
      <w:r w:rsidRPr="0077061B">
        <w:rPr>
          <w:rFonts w:eastAsia="Times New Roman"/>
          <w:i/>
          <w:iCs/>
          <w:kern w:val="22"/>
          <w:sz w:val="22"/>
          <w:szCs w:val="22"/>
          <w:lang w:val="es-ES"/>
        </w:rPr>
        <w:t>Conviene</w:t>
      </w:r>
      <w:r w:rsidRPr="0077061B">
        <w:rPr>
          <w:rFonts w:eastAsia="Times New Roman"/>
          <w:kern w:val="22"/>
          <w:sz w:val="22"/>
          <w:szCs w:val="22"/>
          <w:lang w:val="es-ES"/>
        </w:rPr>
        <w:t xml:space="preserve"> </w:t>
      </w:r>
      <w:r w:rsidRPr="0077061B">
        <w:rPr>
          <w:rFonts w:eastAsia="Times New Roman"/>
          <w:i/>
          <w:iCs/>
          <w:kern w:val="22"/>
          <w:sz w:val="22"/>
          <w:szCs w:val="22"/>
          <w:lang w:val="es-ES"/>
        </w:rPr>
        <w:t>en que</w:t>
      </w:r>
      <w:r w:rsidRPr="0077061B">
        <w:rPr>
          <w:rFonts w:eastAsia="Times New Roman"/>
          <w:kern w:val="22"/>
          <w:sz w:val="22"/>
          <w:szCs w:val="22"/>
          <w:lang w:val="es-ES"/>
        </w:rPr>
        <w:t xml:space="preserve"> la “información</w:t>
      </w:r>
      <w:r w:rsidRPr="0077061B">
        <w:rPr>
          <w:rFonts w:eastAsia="Times New Roman"/>
          <w:sz w:val="22"/>
          <w:szCs w:val="22"/>
          <w:lang w:val="es-ES"/>
        </w:rPr>
        <w:t xml:space="preserve"> </w:t>
      </w:r>
      <w:r w:rsidRPr="0077061B">
        <w:rPr>
          <w:rFonts w:eastAsia="Times New Roman"/>
          <w:kern w:val="22"/>
          <w:sz w:val="22"/>
          <w:szCs w:val="22"/>
          <w:lang w:val="es-ES"/>
        </w:rPr>
        <w:t xml:space="preserve">digital sobre secuencias </w:t>
      </w:r>
      <w:r w:rsidRPr="0077061B">
        <w:rPr>
          <w:rFonts w:eastAsia="Times New Roman"/>
          <w:sz w:val="22"/>
          <w:szCs w:val="22"/>
          <w:lang w:val="es-ES"/>
        </w:rPr>
        <w:t>[de recursos genéticos]</w:t>
      </w:r>
      <w:r w:rsidRPr="0077061B">
        <w:rPr>
          <w:rFonts w:eastAsia="Times New Roman"/>
          <w:kern w:val="22"/>
          <w:sz w:val="22"/>
          <w:szCs w:val="22"/>
          <w:lang w:val="es-ES"/>
        </w:rPr>
        <w:t xml:space="preserve">” consiste en </w:t>
      </w:r>
      <w:r w:rsidRPr="0077061B">
        <w:rPr>
          <w:rFonts w:eastAsia="Times New Roman"/>
          <w:sz w:val="22"/>
          <w:szCs w:val="22"/>
          <w:lang w:val="es-ES"/>
        </w:rPr>
        <w:t>[</w:t>
      </w:r>
      <w:r w:rsidRPr="0077061B">
        <w:rPr>
          <w:rFonts w:eastAsia="Times New Roman"/>
          <w:kern w:val="22"/>
          <w:sz w:val="22"/>
          <w:szCs w:val="22"/>
          <w:lang w:val="es-ES"/>
        </w:rPr>
        <w:t>información sobre</w:t>
      </w:r>
      <w:r w:rsidRPr="0077061B">
        <w:rPr>
          <w:rFonts w:eastAsia="Times New Roman"/>
          <w:sz w:val="22"/>
          <w:szCs w:val="22"/>
          <w:lang w:val="es-ES"/>
        </w:rPr>
        <w:t>][secuencias y estructuras químicas sobre][secuencias anotadas de]</w:t>
      </w:r>
      <w:r w:rsidRPr="0077061B">
        <w:rPr>
          <w:rFonts w:eastAsia="Times New Roman"/>
          <w:kern w:val="22"/>
          <w:sz w:val="22"/>
          <w:szCs w:val="22"/>
          <w:lang w:val="es-ES"/>
        </w:rPr>
        <w:t xml:space="preserve"> </w:t>
      </w:r>
      <w:r w:rsidRPr="0077061B">
        <w:rPr>
          <w:rFonts w:eastAsia="Times New Roman"/>
          <w:sz w:val="22"/>
          <w:szCs w:val="22"/>
          <w:lang w:val="es-ES"/>
        </w:rPr>
        <w:t>[A</w:t>
      </w:r>
      <w:r w:rsidRPr="0077061B">
        <w:rPr>
          <w:rFonts w:eastAsia="Times New Roman"/>
          <w:kern w:val="22"/>
          <w:sz w:val="22"/>
          <w:szCs w:val="22"/>
          <w:lang w:val="es-ES"/>
        </w:rPr>
        <w:t>DN, ARN, proteínas, modificaciones epigenéticas</w:t>
      </w:r>
      <w:r w:rsidRPr="0077061B">
        <w:rPr>
          <w:rStyle w:val="FootnoteReference"/>
          <w:rFonts w:eastAsia="Times New Roman"/>
          <w:kern w:val="22"/>
          <w:sz w:val="22"/>
          <w:szCs w:val="22"/>
          <w:lang w:val="es-ES"/>
        </w:rPr>
        <w:footnoteReference w:id="13"/>
      </w:r>
      <w:r w:rsidRPr="0077061B">
        <w:rPr>
          <w:rFonts w:eastAsia="Times New Roman"/>
          <w:kern w:val="22"/>
          <w:sz w:val="22"/>
          <w:szCs w:val="22"/>
          <w:lang w:val="es-ES"/>
        </w:rPr>
        <w:t xml:space="preserve">, metabolitos, </w:t>
      </w:r>
      <w:r w:rsidRPr="0077061B">
        <w:rPr>
          <w:rFonts w:eastAsia="Times New Roman"/>
          <w:sz w:val="22"/>
          <w:szCs w:val="22"/>
          <w:lang w:val="es-ES"/>
        </w:rPr>
        <w:t>[</w:t>
      </w:r>
      <w:r w:rsidRPr="0077061B">
        <w:rPr>
          <w:rFonts w:eastAsia="Times New Roman"/>
          <w:kern w:val="22"/>
          <w:sz w:val="22"/>
          <w:szCs w:val="22"/>
          <w:lang w:val="es-ES"/>
        </w:rPr>
        <w:t>y otras macromoléculas,</w:t>
      </w:r>
      <w:r w:rsidRPr="0077061B">
        <w:rPr>
          <w:rFonts w:eastAsia="Times New Roman"/>
          <w:sz w:val="22"/>
          <w:szCs w:val="22"/>
          <w:lang w:val="es-ES"/>
        </w:rPr>
        <w:t xml:space="preserve"> [derivados]]</w:t>
      </w:r>
      <w:r w:rsidRPr="0077061B">
        <w:rPr>
          <w:rFonts w:eastAsia="Times New Roman"/>
          <w:kern w:val="22"/>
          <w:sz w:val="22"/>
          <w:szCs w:val="22"/>
          <w:lang w:val="es-ES"/>
        </w:rPr>
        <w:t xml:space="preserve"> y </w:t>
      </w:r>
      <w:r w:rsidRPr="0077061B">
        <w:rPr>
          <w:rFonts w:eastAsia="Times New Roman"/>
          <w:i/>
          <w:iCs/>
          <w:kern w:val="22"/>
          <w:sz w:val="22"/>
          <w:szCs w:val="22"/>
          <w:lang w:val="es-ES"/>
        </w:rPr>
        <w:t>reconoce</w:t>
      </w:r>
      <w:r w:rsidRPr="0077061B">
        <w:rPr>
          <w:rFonts w:eastAsia="Times New Roman"/>
          <w:kern w:val="22"/>
          <w:sz w:val="22"/>
          <w:szCs w:val="22"/>
          <w:lang w:val="es-ES"/>
        </w:rPr>
        <w:t xml:space="preserve"> la pertinencia de información asociada</w:t>
      </w:r>
      <w:r w:rsidRPr="0077061B">
        <w:rPr>
          <w:rFonts w:eastAsia="Times New Roman"/>
          <w:sz w:val="22"/>
          <w:szCs w:val="22"/>
          <w:lang w:val="es-ES"/>
        </w:rPr>
        <w:t xml:space="preserve"> [en particular los conocimientos tradicionales]]</w:t>
      </w:r>
      <w:r w:rsidRPr="0077061B">
        <w:rPr>
          <w:rFonts w:eastAsia="Times New Roman"/>
          <w:kern w:val="22"/>
          <w:sz w:val="22"/>
          <w:szCs w:val="22"/>
          <w:lang w:val="es-ES"/>
        </w:rPr>
        <w:t>;</w:t>
      </w:r>
      <w:r w:rsidRPr="0077061B">
        <w:rPr>
          <w:rFonts w:eastAsia="Times New Roman"/>
          <w:sz w:val="22"/>
          <w:szCs w:val="22"/>
          <w:lang w:val="es-ES"/>
        </w:rPr>
        <w:t>]</w:t>
      </w:r>
    </w:p>
    <w:p w:rsidR="007523C2" w:rsidRPr="0077061B" w:rsidRDefault="007523C2">
      <w:pPr>
        <w:pStyle w:val="ListParagraph"/>
        <w:tabs>
          <w:tab w:val="left" w:pos="1701"/>
        </w:tabs>
        <w:spacing w:before="120" w:after="120"/>
        <w:ind w:left="0" w:firstLine="720"/>
        <w:rPr>
          <w:rFonts w:eastAsia="Times New Roman"/>
          <w:sz w:val="22"/>
          <w:szCs w:val="22"/>
          <w:lang/>
        </w:rPr>
      </w:pPr>
      <w:r w:rsidRPr="0077061B">
        <w:rPr>
          <w:rFonts w:eastAsia="Times New Roman"/>
          <w:kern w:val="22"/>
          <w:sz w:val="22"/>
          <w:szCs w:val="22"/>
          <w:lang w:val="es-ES"/>
        </w:rPr>
        <w:t>[1.</w:t>
      </w:r>
      <w:r w:rsidRPr="0077061B">
        <w:rPr>
          <w:rFonts w:eastAsia="Times New Roman"/>
          <w:i/>
          <w:iCs/>
          <w:kern w:val="22"/>
          <w:sz w:val="22"/>
          <w:szCs w:val="22"/>
          <w:lang w:val="es-ES"/>
        </w:rPr>
        <w:t>alt</w:t>
      </w:r>
      <w:r w:rsidRPr="0077061B">
        <w:rPr>
          <w:rFonts w:eastAsia="Times New Roman"/>
          <w:kern w:val="22"/>
          <w:sz w:val="22"/>
          <w:szCs w:val="22"/>
          <w:lang w:val="es-ES"/>
        </w:rPr>
        <w:t>.</w:t>
      </w:r>
      <w:r w:rsidRPr="0077061B">
        <w:rPr>
          <w:rFonts w:eastAsia="Times New Roman"/>
          <w:kern w:val="22"/>
          <w:sz w:val="22"/>
          <w:szCs w:val="22"/>
          <w:lang/>
        </w:rPr>
        <w:t xml:space="preserve"> </w:t>
      </w:r>
      <w:r w:rsidRPr="0077061B">
        <w:rPr>
          <w:rFonts w:eastAsia="Times New Roman"/>
          <w:i/>
          <w:iCs/>
          <w:kern w:val="22"/>
          <w:sz w:val="22"/>
          <w:szCs w:val="22"/>
          <w:lang w:val="es-ES"/>
        </w:rPr>
        <w:t>Conviene en</w:t>
      </w:r>
      <w:r w:rsidRPr="0077061B">
        <w:rPr>
          <w:rFonts w:eastAsia="Times New Roman"/>
          <w:kern w:val="22"/>
          <w:sz w:val="22"/>
          <w:szCs w:val="22"/>
          <w:lang w:val="es-ES"/>
        </w:rPr>
        <w:t xml:space="preserve"> definir el alcance de la información digital sobre secuencias tomando en cuenta la labor del diálogo entre múltiples interesados referido en el párrafo 9;]</w:t>
      </w:r>
    </w:p>
    <w:p w:rsidR="007523C2" w:rsidRPr="0077061B" w:rsidRDefault="007523C2">
      <w:pPr>
        <w:pStyle w:val="ListParagraph"/>
        <w:tabs>
          <w:tab w:val="left" w:pos="1701"/>
        </w:tabs>
        <w:spacing w:before="120" w:after="120"/>
        <w:ind w:left="0" w:firstLine="720"/>
        <w:rPr>
          <w:rFonts w:eastAsia="Times New Roman"/>
          <w:kern w:val="22"/>
          <w:sz w:val="22"/>
          <w:szCs w:val="22"/>
          <w:lang/>
        </w:rPr>
      </w:pPr>
      <w:r w:rsidRPr="0077061B">
        <w:rPr>
          <w:rFonts w:eastAsia="Times New Roman"/>
          <w:kern w:val="22"/>
          <w:sz w:val="22"/>
          <w:szCs w:val="22"/>
          <w:lang w:val="es-ES"/>
        </w:rPr>
        <w:t>[1.</w:t>
      </w:r>
      <w:r w:rsidRPr="0077061B">
        <w:rPr>
          <w:rFonts w:eastAsia="Times New Roman"/>
          <w:i/>
          <w:iCs/>
          <w:kern w:val="22"/>
          <w:sz w:val="22"/>
          <w:szCs w:val="22"/>
          <w:lang w:val="es-ES"/>
        </w:rPr>
        <w:t>alt.2 Conviene</w:t>
      </w:r>
      <w:r w:rsidRPr="0077061B">
        <w:rPr>
          <w:rFonts w:eastAsia="Times New Roman"/>
          <w:kern w:val="22"/>
          <w:sz w:val="22"/>
          <w:szCs w:val="22"/>
          <w:lang w:val="es-ES"/>
        </w:rPr>
        <w:t xml:space="preserve"> </w:t>
      </w:r>
      <w:r w:rsidRPr="0077061B">
        <w:rPr>
          <w:rFonts w:eastAsia="Times New Roman"/>
          <w:i/>
          <w:iCs/>
          <w:kern w:val="22"/>
          <w:sz w:val="22"/>
          <w:szCs w:val="22"/>
          <w:lang w:val="es-ES"/>
        </w:rPr>
        <w:t>en que</w:t>
      </w:r>
      <w:r w:rsidRPr="0077061B">
        <w:rPr>
          <w:rFonts w:eastAsia="Times New Roman"/>
          <w:kern w:val="22"/>
          <w:sz w:val="22"/>
          <w:szCs w:val="22"/>
          <w:lang w:val="es-ES"/>
        </w:rPr>
        <w:t xml:space="preserve"> por información digital sobre secuencias de recursos genéticos se entiende los datos de secuencias genéticas que describen el orden de los nucleótidos en el ADN o el ARN en los recursos genéticos;]</w:t>
      </w:r>
    </w:p>
    <w:p w:rsidR="007523C2" w:rsidRPr="0077061B" w:rsidRDefault="007523C2">
      <w:pPr>
        <w:pStyle w:val="ListParagraph"/>
        <w:spacing w:before="120" w:after="120"/>
        <w:ind w:left="0" w:firstLine="720"/>
        <w:rPr>
          <w:rFonts w:eastAsia="Times New Roman"/>
          <w:kern w:val="22"/>
          <w:sz w:val="22"/>
          <w:szCs w:val="22"/>
          <w:lang/>
        </w:rPr>
      </w:pPr>
      <w:r w:rsidRPr="0077061B">
        <w:rPr>
          <w:rFonts w:eastAsia="Times New Roman"/>
          <w:kern w:val="22"/>
          <w:sz w:val="22"/>
          <w:szCs w:val="22"/>
          <w:lang/>
        </w:rPr>
        <w:t>[2.</w:t>
      </w:r>
      <w:r w:rsidRPr="0077061B">
        <w:rPr>
          <w:rFonts w:eastAsia="Times New Roman"/>
          <w:kern w:val="22"/>
          <w:sz w:val="22"/>
          <w:szCs w:val="22"/>
          <w:lang/>
        </w:rPr>
        <w:tab/>
      </w:r>
      <w:r w:rsidRPr="0077061B">
        <w:rPr>
          <w:rFonts w:eastAsia="Times New Roman"/>
          <w:i/>
          <w:iCs/>
          <w:kern w:val="22"/>
          <w:sz w:val="22"/>
          <w:szCs w:val="22"/>
          <w:lang w:val="es-ES"/>
        </w:rPr>
        <w:t>Decide</w:t>
      </w:r>
      <w:r w:rsidRPr="0077061B">
        <w:rPr>
          <w:rFonts w:eastAsia="Times New Roman"/>
          <w:kern w:val="22"/>
          <w:sz w:val="22"/>
          <w:szCs w:val="22"/>
          <w:lang w:val="es-ES"/>
        </w:rPr>
        <w:t xml:space="preserve"> abordar la información digital sobre secuencias de recursos genéticos en el contexto del marco mundial de la diversidad biológica posterior a 2020 a más tardar para […]]</w:t>
      </w:r>
    </w:p>
    <w:p w:rsidR="007523C2" w:rsidRPr="0077061B" w:rsidRDefault="007523C2">
      <w:pPr>
        <w:spacing w:before="120" w:after="120"/>
        <w:ind w:firstLine="720"/>
        <w:rPr>
          <w:rFonts w:eastAsia="Times New Roman"/>
          <w:kern w:val="22"/>
          <w:lang/>
        </w:rPr>
      </w:pPr>
      <w:r w:rsidRPr="0077061B">
        <w:rPr>
          <w:rFonts w:eastAsia="Times New Roman"/>
          <w:kern w:val="22"/>
          <w:lang/>
        </w:rPr>
        <w:t>3.</w:t>
      </w:r>
      <w:r w:rsidRPr="0077061B">
        <w:rPr>
          <w:rFonts w:eastAsia="Times New Roman"/>
          <w:kern w:val="22"/>
          <w:lang/>
        </w:rPr>
        <w:tab/>
      </w:r>
      <w:r w:rsidRPr="0077061B">
        <w:rPr>
          <w:rFonts w:eastAsia="Times New Roman"/>
          <w:i/>
          <w:iCs/>
          <w:lang w:val="es-ES"/>
        </w:rPr>
        <w:t>Reconoce</w:t>
      </w:r>
      <w:r w:rsidRPr="0077061B">
        <w:rPr>
          <w:rFonts w:eastAsia="Times New Roman"/>
          <w:lang w:val="es-ES"/>
        </w:rPr>
        <w:t xml:space="preserve"> la necesidad [de desarrollar, en forma oportuna, ][de ]un enfoque práctico [para [garantizar][que garantice] [la facilitación del acceso a los recursos genéticos y a la información digital sobre secuencias de recursos genéticos y] la participación justa y equitativa en los beneficios que se deriven [del uso][de la utilización] de la información digital sobre secuencias de recursos genéticos] [con miras a encontrar] [y para] una solución a [la participación justa y equitativa en los beneficios que se deriven de] la información digital sobre secuencias de recursos genéticos [de conformidad con los puntos clave indicados en el párrafo 5 de la recomendación 3/2 del Grupo de Trabajo de Composición Abierta sobre el Marco Mundial de la Diversidad Biológica posterior a 2020];</w:t>
      </w:r>
    </w:p>
    <w:p w:rsidR="007523C2" w:rsidRPr="0077061B" w:rsidRDefault="007523C2">
      <w:pPr>
        <w:tabs>
          <w:tab w:val="left" w:pos="1418"/>
        </w:tabs>
        <w:spacing w:before="120" w:after="120"/>
        <w:ind w:firstLine="720"/>
        <w:rPr>
          <w:rFonts w:eastAsia="Times New Roman"/>
          <w:kern w:val="22"/>
          <w:lang/>
        </w:rPr>
      </w:pPr>
      <w:r w:rsidRPr="0077061B">
        <w:rPr>
          <w:rFonts w:eastAsia="Times New Roman"/>
          <w:kern w:val="22"/>
          <w:lang/>
        </w:rPr>
        <w:t>4.</w:t>
      </w:r>
      <w:r w:rsidRPr="0077061B">
        <w:rPr>
          <w:rFonts w:eastAsia="Times New Roman"/>
          <w:kern w:val="22"/>
          <w:lang/>
        </w:rPr>
        <w:tab/>
      </w:r>
      <w:r w:rsidRPr="0077061B">
        <w:rPr>
          <w:rFonts w:eastAsia="Times New Roman"/>
          <w:i/>
          <w:iCs/>
          <w:lang w:val="es-ES"/>
        </w:rPr>
        <w:t>[Reconoce</w:t>
      </w:r>
      <w:r w:rsidRPr="0077061B">
        <w:rPr>
          <w:rFonts w:eastAsia="Times New Roman"/>
          <w:lang w:val="es-ES"/>
        </w:rPr>
        <w:t xml:space="preserve"> los siguientes puntos clave de posible convergencia que podrían conducir a criterios de base para una solución </w:t>
      </w:r>
      <w:r w:rsidR="007444DB">
        <w:rPr>
          <w:rFonts w:eastAsia="Times New Roman"/>
          <w:lang w:val="es-ES"/>
        </w:rPr>
        <w:t>en m</w:t>
      </w:r>
      <w:r w:rsidRPr="0077061B">
        <w:rPr>
          <w:rFonts w:eastAsia="Times New Roman"/>
          <w:lang w:val="es-ES"/>
        </w:rPr>
        <w:t>a</w:t>
      </w:r>
      <w:r w:rsidR="007444DB">
        <w:rPr>
          <w:rFonts w:eastAsia="Times New Roman"/>
          <w:lang w:val="es-ES"/>
        </w:rPr>
        <w:t>teria de</w:t>
      </w:r>
      <w:r w:rsidRPr="0077061B">
        <w:rPr>
          <w:rFonts w:eastAsia="Times New Roman"/>
          <w:lang w:val="es-ES"/>
        </w:rPr>
        <w:t xml:space="preserve"> información digital sobre secuencias de recursos </w:t>
      </w:r>
      <w:r w:rsidRPr="0077061B">
        <w:rPr>
          <w:rFonts w:eastAsia="Times New Roman"/>
          <w:lang w:val="es-ES"/>
        </w:rPr>
        <w:lastRenderedPageBreak/>
        <w:t>genéticos en el marco mundial de la diversidad biológica posterior a 2020, incluido en relación con la participación en los beneficios que se deriven del uso de la información digital sobre secuencias de recursos genéticos;]</w:t>
      </w:r>
    </w:p>
    <w:p w:rsidR="007523C2" w:rsidRPr="0077061B" w:rsidRDefault="007523C2">
      <w:pPr>
        <w:spacing w:before="120" w:after="120"/>
        <w:ind w:firstLine="720"/>
        <w:rPr>
          <w:rFonts w:eastAsia="Times New Roman"/>
          <w:lang/>
        </w:rPr>
      </w:pPr>
      <w:r w:rsidRPr="0077061B">
        <w:rPr>
          <w:rFonts w:eastAsia="Times New Roman"/>
          <w:lang w:val="es-ES"/>
        </w:rPr>
        <w:t>4.</w:t>
      </w:r>
      <w:r w:rsidRPr="0077061B">
        <w:rPr>
          <w:rFonts w:eastAsia="Times New Roman"/>
          <w:i/>
          <w:iCs/>
          <w:lang w:val="es-ES"/>
        </w:rPr>
        <w:t>alt.1</w:t>
      </w:r>
      <w:r w:rsidRPr="0077061B">
        <w:rPr>
          <w:rFonts w:eastAsia="Times New Roman"/>
          <w:lang/>
        </w:rPr>
        <w:t xml:space="preserve"> </w:t>
      </w:r>
      <w:r w:rsidRPr="0077061B">
        <w:rPr>
          <w:rFonts w:eastAsia="Times New Roman"/>
          <w:lang/>
        </w:rPr>
        <w:tab/>
      </w:r>
      <w:r w:rsidRPr="0077061B">
        <w:rPr>
          <w:rFonts w:eastAsia="Times New Roman"/>
          <w:i/>
          <w:iCs/>
          <w:lang w:val="es-ES"/>
        </w:rPr>
        <w:t>[[</w:t>
      </w:r>
      <w:r w:rsidRPr="0077061B">
        <w:rPr>
          <w:rFonts w:eastAsia="Times New Roman"/>
          <w:i/>
          <w:iCs/>
          <w:kern w:val="22"/>
          <w:lang w:val="es-ES"/>
        </w:rPr>
        <w:t>Reconoce</w:t>
      </w:r>
      <w:r w:rsidRPr="0077061B">
        <w:rPr>
          <w:rFonts w:eastAsia="Times New Roman"/>
          <w:i/>
          <w:iCs/>
          <w:lang w:val="es-ES"/>
        </w:rPr>
        <w:t>][Está de acuerdo en]</w:t>
      </w:r>
      <w:r w:rsidRPr="0077061B">
        <w:rPr>
          <w:rFonts w:eastAsia="Times New Roman"/>
          <w:kern w:val="22"/>
          <w:lang w:val="es-ES"/>
        </w:rPr>
        <w:t xml:space="preserve"> los </w:t>
      </w:r>
      <w:r w:rsidRPr="0077061B">
        <w:rPr>
          <w:rFonts w:eastAsia="Times New Roman"/>
          <w:lang w:val="es-ES"/>
        </w:rPr>
        <w:t>siguientes puntos clave de posible convergencia que [podrían][deberían] conducir a criterios [de base] para [una [solución][decisión][evaluar una forma de avanzar] en materia de [la participación en los beneficios respecto de</w:t>
      </w:r>
      <w:r w:rsidR="007444DB">
        <w:rPr>
          <w:rFonts w:eastAsia="Times New Roman"/>
          <w:lang w:val="es-ES"/>
        </w:rPr>
        <w:t xml:space="preserve"> la</w:t>
      </w:r>
      <w:r w:rsidRPr="0077061B">
        <w:rPr>
          <w:rFonts w:eastAsia="Times New Roman"/>
          <w:lang w:val="es-ES"/>
        </w:rPr>
        <w:t>] información digital sobre secuencias de recursos genéticos [en el [contexto del] marco mundial de la diversidad biológica posterior a 2020]</w:t>
      </w:r>
      <w:r w:rsidRPr="0077061B">
        <w:rPr>
          <w:rFonts w:eastAsia="Times New Roman"/>
          <w:kern w:val="22"/>
          <w:lang w:val="es-ES"/>
        </w:rPr>
        <w:t>:</w:t>
      </w:r>
    </w:p>
    <w:p w:rsidR="007523C2" w:rsidRPr="0077061B" w:rsidRDefault="007523C2">
      <w:pPr>
        <w:spacing w:before="120" w:after="120"/>
        <w:ind w:firstLine="720"/>
        <w:rPr>
          <w:rFonts w:eastAsia="Times New Roman"/>
          <w:lang/>
        </w:rPr>
      </w:pPr>
      <w:r w:rsidRPr="0077061B">
        <w:rPr>
          <w:rFonts w:eastAsia="Times New Roman"/>
          <w:kern w:val="22"/>
          <w:lang w:val="es-ES"/>
        </w:rPr>
        <w:t>[4.</w:t>
      </w:r>
      <w:r w:rsidRPr="0077061B">
        <w:rPr>
          <w:rFonts w:eastAsia="Times New Roman"/>
          <w:i/>
          <w:iCs/>
          <w:kern w:val="22"/>
          <w:lang w:val="es-ES"/>
        </w:rPr>
        <w:t>alt.2</w:t>
      </w:r>
      <w:r w:rsidRPr="0077061B">
        <w:rPr>
          <w:rFonts w:eastAsia="Times New Roman"/>
          <w:kern w:val="22"/>
          <w:lang/>
        </w:rPr>
        <w:tab/>
      </w:r>
      <w:r w:rsidRPr="0077061B">
        <w:rPr>
          <w:rFonts w:eastAsia="Times New Roman"/>
          <w:i/>
          <w:iCs/>
          <w:kern w:val="22"/>
          <w:lang w:val="es-ES"/>
        </w:rPr>
        <w:t xml:space="preserve">Está de acuerdo </w:t>
      </w:r>
      <w:r w:rsidRPr="0077061B">
        <w:rPr>
          <w:rFonts w:eastAsia="Times New Roman"/>
          <w:kern w:val="22"/>
          <w:lang w:val="es-ES"/>
        </w:rPr>
        <w:t>en el punto clave de posible convergencia de opiniones que plantea que [el acceso y la participación en los beneficios] [los beneficios], que pueden incluir beneficios tanto no monetarios como monetarios, según proceda, derivados del uso de la información digital sobre secuencias de recursos genéticos deben compartirse de manera justa y equitativa, siempre y cuando se llegue a un acuerdo sobre los principios generales, así como sobre las modalidades prácticas, que incluyen:]</w:t>
      </w:r>
      <w:r w:rsidRPr="0077061B">
        <w:rPr>
          <w:rFonts w:eastAsia="Times New Roman"/>
          <w:kern w:val="22"/>
          <w:lang/>
        </w:rPr>
        <w:t xml:space="preserve"> </w:t>
      </w:r>
      <w:r w:rsidRPr="0077061B">
        <w:rPr>
          <w:rFonts w:eastAsia="Times New Roman"/>
          <w:i/>
          <w:iCs/>
          <w:kern w:val="22"/>
          <w:lang w:val="es-ES"/>
        </w:rPr>
        <w:t>si hay consenso en este texto alt, se suprimiría el punto a).</w:t>
      </w:r>
      <w:r w:rsidRPr="0077061B">
        <w:rPr>
          <w:rFonts w:eastAsia="Times New Roman"/>
          <w:i/>
          <w:iCs/>
          <w:kern w:val="22"/>
          <w:lang/>
        </w:rPr>
        <w:t xml:space="preserve"> </w:t>
      </w:r>
    </w:p>
    <w:p w:rsidR="007523C2" w:rsidRPr="0077061B" w:rsidRDefault="007523C2">
      <w:pPr>
        <w:pStyle w:val="ListParagraph"/>
        <w:spacing w:before="120" w:after="120"/>
        <w:ind w:left="0" w:firstLine="720"/>
        <w:rPr>
          <w:rFonts w:eastAsia="Times New Roman"/>
          <w:kern w:val="22"/>
          <w:sz w:val="22"/>
          <w:szCs w:val="22"/>
          <w:lang/>
        </w:rPr>
      </w:pPr>
      <w:r w:rsidRPr="0077061B">
        <w:rPr>
          <w:rFonts w:eastAsia="Times New Roman"/>
          <w:kern w:val="22"/>
          <w:sz w:val="22"/>
          <w:szCs w:val="22"/>
          <w:lang w:val="es-ES"/>
        </w:rPr>
        <w:t>[a)</w:t>
      </w:r>
      <w:r w:rsidRPr="0077061B">
        <w:rPr>
          <w:rFonts w:eastAsia="Times New Roman"/>
          <w:kern w:val="22"/>
          <w:sz w:val="22"/>
          <w:szCs w:val="22"/>
          <w:lang/>
        </w:rPr>
        <w:t xml:space="preserve"> </w:t>
      </w:r>
      <w:r w:rsidRPr="0077061B">
        <w:rPr>
          <w:rFonts w:eastAsia="Times New Roman"/>
          <w:kern w:val="22"/>
          <w:sz w:val="22"/>
          <w:szCs w:val="22"/>
          <w:lang/>
        </w:rPr>
        <w:tab/>
      </w:r>
      <w:r w:rsidRPr="0077061B">
        <w:rPr>
          <w:rFonts w:eastAsia="Times New Roman"/>
          <w:kern w:val="22"/>
          <w:sz w:val="22"/>
          <w:szCs w:val="22"/>
          <w:lang w:val="es-ES"/>
        </w:rPr>
        <w:t xml:space="preserve">[Los beneficios, que pueden </w:t>
      </w:r>
      <w:r w:rsidR="007444DB">
        <w:rPr>
          <w:rFonts w:eastAsia="Times New Roman"/>
          <w:kern w:val="22"/>
          <w:sz w:val="22"/>
          <w:szCs w:val="22"/>
          <w:lang w:val="es-ES"/>
        </w:rPr>
        <w:t>ser</w:t>
      </w:r>
      <w:r w:rsidRPr="0077061B">
        <w:rPr>
          <w:rFonts w:eastAsia="Times New Roman"/>
          <w:kern w:val="22"/>
          <w:sz w:val="22"/>
          <w:szCs w:val="22"/>
          <w:lang w:val="es-ES"/>
        </w:rPr>
        <w:t xml:space="preserve"> beneficios no monetarios [o][y] monetarios [según proceda], [que se deriven] [del uso][de la utilización] de [información digital sobre secuencias de] recursos genéticos [que puedan implicar el uso de información digital sobre secuencias pueden ser] [deben ser][son] compartidos de una manera [más eficaz] justa y equitativa[, de conformidad con las disposiciones del Convenio] [y deben encontrarse soluciones respecto de</w:t>
      </w:r>
      <w:r w:rsidRPr="0077061B">
        <w:rPr>
          <w:rFonts w:eastAsia="Times New Roman"/>
          <w:sz w:val="22"/>
          <w:szCs w:val="22"/>
          <w:lang w:val="es-ES"/>
        </w:rPr>
        <w:t xml:space="preserve"> [una participación justa y equitativa en los beneficios [mediante un [proceso][mecanismo] multilateral]][cómo compartir esos beneficios]</w:t>
      </w:r>
      <w:r w:rsidRPr="0077061B">
        <w:rPr>
          <w:rFonts w:eastAsia="Times New Roman"/>
          <w:kern w:val="22"/>
          <w:sz w:val="22"/>
          <w:szCs w:val="22"/>
          <w:lang w:val="es-ES"/>
        </w:rPr>
        <w:t>;]]</w:t>
      </w:r>
    </w:p>
    <w:p w:rsidR="007523C2" w:rsidRPr="0077061B" w:rsidRDefault="007523C2">
      <w:pPr>
        <w:pStyle w:val="ListParagraph"/>
        <w:spacing w:before="120" w:after="120"/>
        <w:ind w:left="0" w:firstLine="720"/>
        <w:rPr>
          <w:rFonts w:eastAsia="Times New Roman"/>
          <w:sz w:val="22"/>
          <w:szCs w:val="22"/>
          <w:lang/>
        </w:rPr>
      </w:pPr>
      <w:r w:rsidRPr="0077061B">
        <w:rPr>
          <w:rFonts w:eastAsia="Times New Roman"/>
          <w:kern w:val="22"/>
          <w:sz w:val="22"/>
          <w:szCs w:val="22"/>
          <w:lang w:val="es-ES"/>
        </w:rPr>
        <w:t>[b)</w:t>
      </w:r>
      <w:r w:rsidRPr="0077061B">
        <w:rPr>
          <w:rFonts w:eastAsia="Times New Roman"/>
          <w:kern w:val="22"/>
          <w:sz w:val="22"/>
          <w:szCs w:val="22"/>
          <w:lang/>
        </w:rPr>
        <w:t xml:space="preserve"> </w:t>
      </w:r>
      <w:r w:rsidRPr="0077061B">
        <w:rPr>
          <w:rFonts w:eastAsia="Times New Roman"/>
          <w:kern w:val="22"/>
          <w:sz w:val="22"/>
          <w:szCs w:val="22"/>
          <w:lang/>
        </w:rPr>
        <w:tab/>
      </w:r>
      <w:r w:rsidRPr="0077061B">
        <w:rPr>
          <w:rFonts w:eastAsia="Times New Roman"/>
          <w:kern w:val="22"/>
          <w:sz w:val="22"/>
          <w:szCs w:val="22"/>
          <w:lang w:val="es-ES"/>
        </w:rPr>
        <w:t xml:space="preserve">El acceso a [y la participación en los beneficios de la] información digital sobre secuencias de recursos genéticos en las bases de datos públicas sigue siendo abierto [y sin restricciones][, aborda los desafíos que se plantean para una participación justa y equitativa en los beneficios en las actuales prácticas [y estándares][y normas] internacionales y nacionales, incluido para la protección de los conocimientos tradicionales][[de conformidad con las prácticas [y estándares][y normas]], internacionales y nacionales actuales], [con sujeción a disposiciones de protección de los conocimientos tradicionales, según sea necesario y procedente]][, garantizando la trazabilidad con la información del país de origen de los recursos utilizados]][al tiempo que se toman medidas para promover la transparencia, entre otras cosas mediante el uso de etiquetas de ubicación para las nuevas presentaciones a bases de datos públicas] [con arreglo al enfoque de derechos humanos]; </w:t>
      </w:r>
      <w:r w:rsidRPr="0077061B">
        <w:rPr>
          <w:rFonts w:eastAsia="Times New Roman"/>
          <w:i/>
          <w:iCs/>
          <w:kern w:val="22"/>
          <w:sz w:val="22"/>
          <w:szCs w:val="22"/>
          <w:lang w:val="es-ES"/>
        </w:rPr>
        <w:t>sugerencia de cambiar el orden de a) y b)</w:t>
      </w:r>
    </w:p>
    <w:p w:rsidR="007523C2" w:rsidRPr="0077061B" w:rsidRDefault="007523C2">
      <w:pPr>
        <w:spacing w:before="120" w:after="120"/>
        <w:ind w:firstLine="720"/>
        <w:textAlignment w:val="baseline"/>
        <w:rPr>
          <w:rFonts w:eastAsia="Times New Roman"/>
          <w:lang/>
        </w:rPr>
      </w:pPr>
      <w:r w:rsidRPr="0077061B">
        <w:rPr>
          <w:rFonts w:eastAsia="Times New Roman"/>
          <w:lang w:val="es-ES"/>
        </w:rPr>
        <w:t>[b) </w:t>
      </w:r>
      <w:r w:rsidRPr="0077061B">
        <w:rPr>
          <w:rFonts w:eastAsia="Times New Roman"/>
          <w:i/>
          <w:iCs/>
          <w:lang w:val="es-ES"/>
        </w:rPr>
        <w:t>alt</w:t>
      </w:r>
      <w:r w:rsidRPr="0077061B">
        <w:rPr>
          <w:rFonts w:eastAsia="Times New Roman"/>
          <w:lang w:val="es-ES"/>
        </w:rPr>
        <w:t>.</w:t>
      </w:r>
      <w:r w:rsidRPr="0077061B">
        <w:rPr>
          <w:rFonts w:eastAsia="Times New Roman"/>
          <w:lang/>
        </w:rPr>
        <w:t xml:space="preserve"> </w:t>
      </w:r>
      <w:r w:rsidRPr="0077061B">
        <w:rPr>
          <w:rFonts w:eastAsia="Times New Roman"/>
          <w:lang w:val="es-ES"/>
        </w:rPr>
        <w:t>El acceso a la información digital sobre secuencias de recursos genéticos en las bases de datos públicas sigue siendo abierto, con sujeción a disposiciones que aseguren la participación en los beneficios y la protección de los conocimientos tradicionales asociados a recursos genéticos, según sea necesario y procedente;]</w:t>
      </w:r>
    </w:p>
    <w:p w:rsidR="007523C2" w:rsidRPr="0077061B" w:rsidRDefault="007523C2">
      <w:pPr>
        <w:spacing w:before="120" w:after="120"/>
        <w:ind w:firstLine="720"/>
        <w:textAlignment w:val="baseline"/>
        <w:rPr>
          <w:rFonts w:eastAsia="Times New Roman"/>
          <w:lang/>
        </w:rPr>
      </w:pPr>
      <w:r w:rsidRPr="0077061B">
        <w:rPr>
          <w:rFonts w:eastAsia="Times New Roman"/>
          <w:lang w:val="es-ES"/>
        </w:rPr>
        <w:t>c)</w:t>
      </w:r>
      <w:r w:rsidRPr="0077061B">
        <w:rPr>
          <w:rFonts w:eastAsia="Times New Roman"/>
          <w:lang/>
        </w:rPr>
        <w:tab/>
      </w:r>
      <w:r w:rsidRPr="0077061B">
        <w:rPr>
          <w:rFonts w:eastAsia="Times New Roman"/>
          <w:lang w:val="es-ES"/>
        </w:rPr>
        <w:t>Los pueblos indígenas [y][,] las comunidades locales [y los pequeños agricultores tradicionales] son gestores de la diversidad biológica, biocultural y genética y poseedores de conocimientos tradicionales y su papel [debe tenerse debidamente en cuenta] y [sus] derechos deben [tenerse debidamente en cuenta][hacerse valer][respetarse] en el abordaje de la información digital sobre secuencias de recursos genéticos;</w:t>
      </w:r>
    </w:p>
    <w:p w:rsidR="007523C2" w:rsidRPr="0077061B" w:rsidRDefault="007523C2">
      <w:pPr>
        <w:spacing w:before="120" w:after="120"/>
        <w:ind w:firstLine="720"/>
        <w:textAlignment w:val="baseline"/>
        <w:rPr>
          <w:rFonts w:eastAsia="Times New Roman"/>
          <w:lang/>
        </w:rPr>
      </w:pPr>
      <w:r w:rsidRPr="0077061B">
        <w:rPr>
          <w:rFonts w:eastAsia="Times New Roman"/>
          <w:lang w:val="es-ES"/>
        </w:rPr>
        <w:t>[d) La trazabilidad de la correlación entre la información digital sobre secuencias y los recursos genéticos favorece el desarrollo de un mecanismo para la información digital sobre secuencias de recursos genéticos;]</w:t>
      </w:r>
    </w:p>
    <w:p w:rsidR="007523C2" w:rsidRPr="0077061B" w:rsidRDefault="007523C2">
      <w:pPr>
        <w:tabs>
          <w:tab w:val="left" w:pos="720"/>
        </w:tabs>
        <w:spacing w:before="120" w:after="120"/>
        <w:ind w:firstLine="720"/>
        <w:textAlignment w:val="baseline"/>
        <w:rPr>
          <w:rFonts w:eastAsia="Times New Roman"/>
          <w:lang/>
        </w:rPr>
      </w:pPr>
      <w:r w:rsidRPr="0077061B">
        <w:rPr>
          <w:rFonts w:eastAsia="Times New Roman"/>
          <w:lang w:val="es-ES"/>
        </w:rPr>
        <w:t>e)</w:t>
      </w:r>
      <w:r w:rsidRPr="0077061B">
        <w:rPr>
          <w:rFonts w:eastAsia="Times New Roman"/>
          <w:lang/>
        </w:rPr>
        <w:tab/>
      </w:r>
      <w:r w:rsidRPr="0077061B">
        <w:rPr>
          <w:rFonts w:eastAsia="Times New Roman"/>
          <w:lang w:val="es-ES"/>
        </w:rPr>
        <w:t xml:space="preserve">[La promoción de la investigación,] La creación de capacidad [y][,] la transferencia de tecnología [, reconociendo que la tecnología </w:t>
      </w:r>
      <w:r w:rsidR="00AA4693">
        <w:rPr>
          <w:rFonts w:eastAsia="Times New Roman"/>
          <w:lang w:val="es-ES"/>
        </w:rPr>
        <w:t>comprende</w:t>
      </w:r>
      <w:r w:rsidRPr="0077061B">
        <w:rPr>
          <w:rFonts w:eastAsia="Times New Roman"/>
          <w:lang w:val="es-ES"/>
        </w:rPr>
        <w:t xml:space="preserve"> la biotecnología,] [[para][a] los países en desarrollo] [se proporcionarán y/o facilitarán en condiciones que sean justas y las más favorables posibles, incluidas condiciones concesionarias y preferenciales, en aquellos casos en que se acuerden mutuamente] [y una mayor movilización de recursos] [en condiciones mutuamente acordadas y beneficios </w:t>
      </w:r>
      <w:r w:rsidRPr="0077061B">
        <w:rPr>
          <w:rFonts w:eastAsia="Times New Roman"/>
          <w:lang w:val="es-ES"/>
        </w:rPr>
        <w:lastRenderedPageBreak/>
        <w:t>no monetarios sobre la base del régimen de ciencia abierta] [son][deben ser] componentes esenciales de [la][cualquier] solución [para abordar la] [en materia de] información digital sobre secuencias de recursos genéticos [en el marco mundial de la diversidad biológica posterior a 2020];</w:t>
      </w:r>
    </w:p>
    <w:p w:rsidR="007523C2" w:rsidRPr="0077061B" w:rsidRDefault="007523C2">
      <w:pPr>
        <w:tabs>
          <w:tab w:val="left" w:pos="720"/>
        </w:tabs>
        <w:spacing w:before="120" w:after="120"/>
        <w:ind w:firstLine="720"/>
        <w:textAlignment w:val="baseline"/>
        <w:rPr>
          <w:rFonts w:eastAsia="Times New Roman"/>
          <w:lang/>
        </w:rPr>
      </w:pPr>
      <w:r w:rsidRPr="0077061B">
        <w:rPr>
          <w:rFonts w:eastAsia="Times New Roman"/>
          <w:lang w:val="es-ES"/>
        </w:rPr>
        <w:t>f)</w:t>
      </w:r>
      <w:r w:rsidRPr="0077061B">
        <w:rPr>
          <w:rFonts w:eastAsia="Times New Roman"/>
          <w:lang/>
        </w:rPr>
        <w:tab/>
      </w:r>
      <w:r w:rsidRPr="0077061B">
        <w:rPr>
          <w:rFonts w:eastAsia="Times New Roman"/>
          <w:lang w:val="es-ES"/>
        </w:rPr>
        <w:t>[El uso de][La utilización de los recursos genéticos en forma de][Los beneficios del uso de la] información digital sobre secuencias de recursos genéticos [[debería][podría] contribuir][contribuye] a la conservación y la utilización sostenible de la diversidad biológica [pero también puede entrañar riesgos];</w:t>
      </w:r>
    </w:p>
    <w:p w:rsidR="007523C2" w:rsidRPr="0077061B" w:rsidRDefault="007523C2">
      <w:pPr>
        <w:tabs>
          <w:tab w:val="left" w:pos="1418"/>
        </w:tabs>
        <w:spacing w:before="120" w:after="120"/>
        <w:ind w:firstLine="720"/>
        <w:textAlignment w:val="baseline"/>
        <w:rPr>
          <w:rFonts w:eastAsia="Times New Roman"/>
          <w:lang/>
        </w:rPr>
      </w:pPr>
      <w:r w:rsidRPr="0077061B">
        <w:rPr>
          <w:rFonts w:eastAsia="Times New Roman"/>
          <w:lang w:val="es-ES"/>
        </w:rPr>
        <w:t>[g)</w:t>
      </w:r>
      <w:r w:rsidRPr="0077061B">
        <w:rPr>
          <w:rFonts w:eastAsia="Times New Roman"/>
          <w:lang/>
        </w:rPr>
        <w:t xml:space="preserve"> </w:t>
      </w:r>
      <w:r w:rsidRPr="0077061B">
        <w:rPr>
          <w:rFonts w:eastAsia="Times New Roman"/>
          <w:lang/>
        </w:rPr>
        <w:tab/>
      </w:r>
      <w:r w:rsidRPr="0077061B">
        <w:rPr>
          <w:rFonts w:eastAsia="Times New Roman"/>
          <w:lang w:val="es-ES"/>
        </w:rPr>
        <w:t>Los usuarios de información digital sobre secuencias deben informar al país de origen antes de acceder a ella cuando se trate de un uso tanto comercial como no comercial para garantizar una mejor trazabilidad;] </w:t>
      </w:r>
    </w:p>
    <w:p w:rsidR="007523C2" w:rsidRPr="0077061B" w:rsidRDefault="007523C2">
      <w:pPr>
        <w:tabs>
          <w:tab w:val="left" w:pos="720"/>
        </w:tabs>
        <w:spacing w:before="120" w:after="120"/>
        <w:ind w:firstLine="720"/>
        <w:textAlignment w:val="baseline"/>
        <w:rPr>
          <w:rFonts w:eastAsia="Times New Roman"/>
          <w:lang/>
        </w:rPr>
      </w:pPr>
      <w:r w:rsidRPr="0077061B">
        <w:rPr>
          <w:rFonts w:eastAsia="Times New Roman"/>
          <w:lang w:val="es-ES"/>
        </w:rPr>
        <w:t>[h)</w:t>
      </w:r>
      <w:r w:rsidRPr="0077061B">
        <w:rPr>
          <w:rFonts w:eastAsia="Times New Roman"/>
          <w:lang/>
        </w:rPr>
        <w:tab/>
      </w:r>
      <w:r w:rsidRPr="00AA4693">
        <w:rPr>
          <w:rFonts w:eastAsia="Times New Roman"/>
          <w:spacing w:val="4"/>
          <w:lang w:val="es-ES"/>
        </w:rPr>
        <w:t>Una [solución para][Un</w:t>
      </w:r>
      <w:r w:rsidR="00AA4693" w:rsidRPr="00AA4693">
        <w:rPr>
          <w:rFonts w:eastAsia="Times New Roman"/>
          <w:spacing w:val="4"/>
          <w:lang w:val="es-ES"/>
        </w:rPr>
        <w:t>a</w:t>
      </w:r>
      <w:r w:rsidRPr="00AA4693">
        <w:rPr>
          <w:rFonts w:eastAsia="Times New Roman"/>
          <w:spacing w:val="4"/>
          <w:lang w:val="es-ES"/>
        </w:rPr>
        <w:t xml:space="preserve"> forma de avanzar hacia] [la participación justa y equitativa en los beneficios] en materia de información digital sobre secuencias de recursos genéticos debería:] /</w:t>
      </w:r>
      <w:r w:rsidR="00AA4693" w:rsidRPr="00AA4693">
        <w:rPr>
          <w:rFonts w:eastAsia="Times New Roman"/>
          <w:spacing w:val="4"/>
          <w:lang w:val="es-ES"/>
        </w:rPr>
        <w:t xml:space="preserve"> </w:t>
      </w:r>
      <w:r w:rsidRPr="00AA4693">
        <w:rPr>
          <w:rFonts w:eastAsia="Times New Roman"/>
          <w:spacing w:val="4"/>
          <w:lang w:val="es-ES"/>
        </w:rPr>
        <w:t>[5.</w:t>
      </w:r>
      <w:r w:rsidRPr="0077061B">
        <w:rPr>
          <w:rFonts w:eastAsia="Times New Roman"/>
          <w:lang w:val="es-ES"/>
        </w:rPr>
        <w:t> </w:t>
      </w:r>
      <w:r w:rsidRPr="0077061B">
        <w:rPr>
          <w:rFonts w:eastAsia="Times New Roman"/>
          <w:lang w:val="es-ES"/>
        </w:rPr>
        <w:tab/>
        <w:t>También reconoce que una solución para la participación justa y equitativa en los beneficios] en materia de información digital sobre secuencias de recursos genéticos debería:</w:t>
      </w:r>
      <w:r w:rsidRPr="0077061B">
        <w:rPr>
          <w:rFonts w:eastAsia="Times New Roman"/>
          <w:lang/>
        </w:rPr>
        <w:t xml:space="preserve"> </w:t>
      </w:r>
    </w:p>
    <w:p w:rsidR="007523C2" w:rsidRPr="0077061B" w:rsidRDefault="007523C2">
      <w:pPr>
        <w:textAlignment w:val="baseline"/>
        <w:rPr>
          <w:rFonts w:eastAsia="Times New Roman"/>
          <w:lang/>
        </w:rPr>
      </w:pPr>
      <w:r w:rsidRPr="0077061B">
        <w:rPr>
          <w:rFonts w:eastAsia="Times New Roman"/>
          <w:i/>
          <w:iCs/>
          <w:lang w:val="es-ES"/>
        </w:rPr>
        <w:t>Dos opciones:</w:t>
      </w:r>
      <w:r w:rsidRPr="0077061B">
        <w:rPr>
          <w:rFonts w:eastAsia="Times New Roman"/>
          <w:i/>
          <w:iCs/>
          <w:lang/>
        </w:rPr>
        <w:t xml:space="preserve"> </w:t>
      </w:r>
      <w:r w:rsidRPr="0077061B">
        <w:rPr>
          <w:rFonts w:eastAsia="Times New Roman"/>
          <w:i/>
          <w:iCs/>
          <w:lang w:val="es-ES"/>
        </w:rPr>
        <w:t>Los siguientes elementos serían o bien sub-subpárrafos del 4 h), en cuyo caso debería suprimirse el encabezamiento del párrafo 5; o subpárrafos del 5, en cuyo caso debería suprimirse el 4 h) y los que siguen pasarían a ser a), b), c), etc.”</w:t>
      </w:r>
    </w:p>
    <w:p w:rsidR="007523C2" w:rsidRPr="0077061B" w:rsidRDefault="007523C2">
      <w:pPr>
        <w:tabs>
          <w:tab w:val="left" w:pos="720"/>
        </w:tabs>
        <w:spacing w:before="120" w:after="120"/>
        <w:ind w:left="1701" w:hanging="850"/>
        <w:textAlignment w:val="baseline"/>
        <w:rPr>
          <w:rFonts w:eastAsia="Times New Roman"/>
          <w:lang/>
        </w:rPr>
      </w:pPr>
      <w:r w:rsidRPr="0077061B">
        <w:rPr>
          <w:rFonts w:eastAsia="Times New Roman"/>
          <w:lang w:val="es-ES"/>
        </w:rPr>
        <w:t>i)</w:t>
      </w:r>
      <w:r w:rsidRPr="0077061B">
        <w:rPr>
          <w:rFonts w:eastAsia="Times New Roman"/>
          <w:lang/>
        </w:rPr>
        <w:tab/>
      </w:r>
      <w:r w:rsidRPr="0077061B">
        <w:rPr>
          <w:rFonts w:eastAsia="Times New Roman"/>
          <w:lang w:val="es-ES"/>
        </w:rPr>
        <w:t>[Mantener el modelo de ciencia abierta y] [Apoyar [Ser responsable de]][No obstaculizar] la investigación y la innovación [, la salud pública y la seguridad alimentaria]; </w:t>
      </w:r>
    </w:p>
    <w:p w:rsidR="007523C2" w:rsidRPr="0077061B" w:rsidRDefault="007523C2">
      <w:pPr>
        <w:pStyle w:val="ListParagraph"/>
        <w:spacing w:before="120" w:after="120"/>
        <w:ind w:left="1701" w:hanging="850"/>
        <w:textAlignment w:val="baseline"/>
        <w:rPr>
          <w:rFonts w:eastAsia="Times New Roman"/>
          <w:sz w:val="22"/>
          <w:szCs w:val="22"/>
          <w:lang/>
        </w:rPr>
      </w:pPr>
      <w:r w:rsidRPr="0077061B">
        <w:rPr>
          <w:rFonts w:eastAsia="Times New Roman"/>
          <w:sz w:val="22"/>
          <w:szCs w:val="22"/>
          <w:lang w:val="es-ES"/>
        </w:rPr>
        <w:t>[ii)</w:t>
      </w:r>
      <w:r w:rsidRPr="0077061B">
        <w:rPr>
          <w:rFonts w:eastAsia="Times New Roman"/>
          <w:sz w:val="22"/>
          <w:szCs w:val="22"/>
          <w:lang/>
        </w:rPr>
        <w:t xml:space="preserve"> </w:t>
      </w:r>
      <w:r w:rsidRPr="0077061B">
        <w:rPr>
          <w:rFonts w:eastAsia="Times New Roman"/>
          <w:sz w:val="22"/>
          <w:szCs w:val="22"/>
          <w:lang/>
        </w:rPr>
        <w:tab/>
      </w:r>
      <w:r w:rsidRPr="0077061B">
        <w:rPr>
          <w:rFonts w:eastAsia="Times New Roman"/>
          <w:sz w:val="22"/>
          <w:szCs w:val="22"/>
          <w:lang w:val="es-ES"/>
        </w:rPr>
        <w:t>Reconocer que acceso abierto [no significa acceso libre y sin restricciones][no es acceso libre] y debe basarse en reglamentos, estándares [términos] y condiciones que acuerden las Partes;]</w:t>
      </w:r>
    </w:p>
    <w:p w:rsidR="007523C2" w:rsidRPr="0077061B" w:rsidRDefault="007523C2">
      <w:pPr>
        <w:spacing w:before="120" w:after="120"/>
        <w:ind w:left="1701" w:hanging="850"/>
        <w:textAlignment w:val="baseline"/>
        <w:rPr>
          <w:rFonts w:eastAsia="Times New Roman"/>
          <w:lang/>
        </w:rPr>
      </w:pPr>
      <w:r w:rsidRPr="0077061B">
        <w:rPr>
          <w:rFonts w:eastAsia="Times New Roman"/>
          <w:lang w:val="es-ES"/>
        </w:rPr>
        <w:t>iii)</w:t>
      </w:r>
      <w:r w:rsidRPr="0077061B">
        <w:rPr>
          <w:rFonts w:eastAsia="Times New Roman"/>
          <w:lang/>
        </w:rPr>
        <w:tab/>
      </w:r>
      <w:r w:rsidRPr="0077061B">
        <w:rPr>
          <w:rFonts w:eastAsia="Times New Roman"/>
          <w:lang w:val="es-ES"/>
        </w:rPr>
        <w:t>Proporcionar claridad y certidumbre jurídicas[, en particular en materia de participación justa y equitativa en los beneficios][a los proveedores y usuarios de información digital sobre secuencias de recursos genéticos];</w:t>
      </w:r>
    </w:p>
    <w:p w:rsidR="007523C2" w:rsidRPr="0077061B" w:rsidRDefault="007523C2">
      <w:pPr>
        <w:spacing w:before="120" w:after="120"/>
        <w:ind w:left="1701" w:hanging="850"/>
        <w:textAlignment w:val="baseline"/>
        <w:rPr>
          <w:rFonts w:eastAsia="Times New Roman"/>
          <w:lang/>
        </w:rPr>
      </w:pPr>
      <w:r w:rsidRPr="0077061B">
        <w:rPr>
          <w:rFonts w:eastAsia="Times New Roman"/>
          <w:lang w:val="es-ES"/>
        </w:rPr>
        <w:t>[iv)</w:t>
      </w:r>
      <w:r w:rsidRPr="0077061B">
        <w:rPr>
          <w:rFonts w:eastAsia="Times New Roman"/>
          <w:lang/>
        </w:rPr>
        <w:tab/>
      </w:r>
      <w:r w:rsidRPr="0077061B">
        <w:rPr>
          <w:rFonts w:eastAsia="Times New Roman"/>
          <w:lang w:val="es-ES"/>
        </w:rPr>
        <w:t>[Ser eficaz, viable y practicable, [con una relación costo-beneficio [favorable][positiva]][y generar más beneficios que costos];]</w:t>
      </w:r>
    </w:p>
    <w:p w:rsidR="007523C2" w:rsidRPr="0077061B" w:rsidRDefault="007523C2">
      <w:pPr>
        <w:spacing w:before="120" w:after="120"/>
        <w:ind w:left="1701" w:hanging="850"/>
        <w:textAlignment w:val="baseline"/>
        <w:rPr>
          <w:rFonts w:eastAsia="Times New Roman"/>
          <w:lang/>
        </w:rPr>
      </w:pPr>
      <w:r w:rsidRPr="0077061B">
        <w:rPr>
          <w:rFonts w:eastAsia="Times New Roman"/>
          <w:lang w:val="es-ES"/>
        </w:rPr>
        <w:t>[v)</w:t>
      </w:r>
      <w:r w:rsidRPr="0077061B">
        <w:rPr>
          <w:rFonts w:eastAsia="Times New Roman"/>
          <w:lang/>
        </w:rPr>
        <w:tab/>
      </w:r>
      <w:r w:rsidRPr="0077061B">
        <w:rPr>
          <w:rFonts w:eastAsia="Times New Roman"/>
          <w:lang w:val="es-ES"/>
        </w:rPr>
        <w:t>[Ser compatible con los derechos [humanos] y las obligaciones [internacionales] [con arreglo al derecho internacional][con arreglo a los instrumentos pertinentes existentes][asumidas en virtud del Convenio y el Protocolo de Nagoya];]</w:t>
      </w:r>
    </w:p>
    <w:p w:rsidR="007523C2" w:rsidRPr="0077061B" w:rsidRDefault="007523C2">
      <w:pPr>
        <w:spacing w:before="120" w:after="120"/>
        <w:ind w:left="1701" w:hanging="850"/>
        <w:textAlignment w:val="baseline"/>
        <w:rPr>
          <w:rFonts w:eastAsia="Times New Roman"/>
          <w:lang/>
        </w:rPr>
      </w:pPr>
      <w:r w:rsidRPr="0077061B">
        <w:rPr>
          <w:rFonts w:eastAsia="Times New Roman"/>
          <w:lang w:val="es-ES"/>
        </w:rPr>
        <w:t>[vi)</w:t>
      </w:r>
      <w:r w:rsidRPr="0077061B">
        <w:rPr>
          <w:rFonts w:eastAsia="Times New Roman"/>
          <w:lang/>
        </w:rPr>
        <w:tab/>
      </w:r>
      <w:r w:rsidRPr="0077061B">
        <w:rPr>
          <w:rFonts w:eastAsia="Times New Roman"/>
          <w:lang w:val="es-ES"/>
        </w:rPr>
        <w:t>[Apoyarse mutuamente con otros instrumentos de acceso y participación en los beneficios y poder adaptarse a ellos;] </w:t>
      </w:r>
    </w:p>
    <w:p w:rsidR="007523C2" w:rsidRPr="0077061B" w:rsidRDefault="007523C2">
      <w:pPr>
        <w:spacing w:before="120" w:after="120"/>
        <w:ind w:left="1701" w:hanging="850"/>
        <w:textAlignment w:val="baseline"/>
        <w:rPr>
          <w:rFonts w:eastAsia="Times New Roman"/>
          <w:lang/>
        </w:rPr>
      </w:pPr>
      <w:r w:rsidRPr="0077061B">
        <w:rPr>
          <w:rFonts w:eastAsia="Times New Roman"/>
          <w:lang w:val="es-ES"/>
        </w:rPr>
        <w:t>[vii)</w:t>
      </w:r>
      <w:r w:rsidRPr="0077061B">
        <w:rPr>
          <w:rFonts w:eastAsia="Times New Roman"/>
          <w:lang/>
        </w:rPr>
        <w:tab/>
      </w:r>
      <w:r w:rsidRPr="0077061B">
        <w:rPr>
          <w:rFonts w:eastAsia="Times New Roman"/>
          <w:lang w:val="es-ES"/>
        </w:rPr>
        <w:t>Ser eficaz en cuanto a garantizar una participación justa y equitativa en los beneficios;] </w:t>
      </w:r>
    </w:p>
    <w:p w:rsidR="007523C2" w:rsidRPr="0077061B" w:rsidRDefault="007523C2">
      <w:pPr>
        <w:spacing w:before="120" w:after="120"/>
        <w:ind w:left="1701" w:hanging="850"/>
        <w:textAlignment w:val="baseline"/>
        <w:rPr>
          <w:rFonts w:eastAsia="Times New Roman"/>
          <w:lang/>
        </w:rPr>
      </w:pPr>
      <w:r w:rsidRPr="0077061B">
        <w:rPr>
          <w:rFonts w:eastAsia="Times New Roman"/>
          <w:lang w:val="es-ES"/>
        </w:rPr>
        <w:t>[viii)</w:t>
      </w:r>
      <w:r w:rsidRPr="0077061B">
        <w:rPr>
          <w:rFonts w:eastAsia="Times New Roman"/>
          <w:lang/>
        </w:rPr>
        <w:tab/>
      </w:r>
      <w:r w:rsidRPr="0077061B">
        <w:rPr>
          <w:rFonts w:eastAsia="Times New Roman"/>
          <w:lang w:val="es-ES"/>
        </w:rPr>
        <w:t>Respetar los principios medioambientales y éticos.] </w:t>
      </w:r>
    </w:p>
    <w:p w:rsidR="007523C2" w:rsidRPr="0077061B" w:rsidRDefault="007523C2">
      <w:pPr>
        <w:pStyle w:val="ListParagraph"/>
        <w:spacing w:before="120" w:after="120"/>
        <w:ind w:left="0" w:firstLine="720"/>
        <w:rPr>
          <w:rFonts w:eastAsia="Times New Roman"/>
          <w:sz w:val="22"/>
          <w:szCs w:val="22"/>
          <w:lang/>
        </w:rPr>
      </w:pPr>
      <w:r w:rsidRPr="0077061B">
        <w:rPr>
          <w:rFonts w:eastAsia="Times New Roman"/>
          <w:kern w:val="22"/>
          <w:sz w:val="22"/>
          <w:szCs w:val="22"/>
          <w:lang/>
        </w:rPr>
        <w:t xml:space="preserve">6. </w:t>
      </w:r>
      <w:r w:rsidRPr="0077061B">
        <w:rPr>
          <w:rFonts w:eastAsia="Times New Roman"/>
          <w:kern w:val="22"/>
          <w:sz w:val="22"/>
          <w:szCs w:val="22"/>
          <w:lang/>
        </w:rPr>
        <w:tab/>
      </w:r>
      <w:r w:rsidRPr="0077061B">
        <w:rPr>
          <w:rFonts w:eastAsia="Times New Roman"/>
          <w:i/>
          <w:iCs/>
          <w:sz w:val="22"/>
          <w:szCs w:val="22"/>
          <w:lang w:val="es-ES"/>
        </w:rPr>
        <w:t>Reconoce</w:t>
      </w:r>
      <w:r w:rsidRPr="0077061B">
        <w:rPr>
          <w:rFonts w:eastAsia="Times New Roman"/>
          <w:sz w:val="22"/>
          <w:szCs w:val="22"/>
          <w:lang w:val="es-ES"/>
        </w:rPr>
        <w:t xml:space="preserve"> que una solución para la participación justa y equitativa en los beneficios en materia de información digital sobre secuencias de recursos genéticos debería:</w:t>
      </w:r>
    </w:p>
    <w:p w:rsidR="007523C2" w:rsidRPr="0077061B" w:rsidRDefault="007523C2">
      <w:pPr>
        <w:pStyle w:val="ListParagraph"/>
        <w:spacing w:before="120" w:after="120"/>
        <w:rPr>
          <w:rFonts w:eastAsia="Times New Roman"/>
          <w:sz w:val="22"/>
          <w:szCs w:val="22"/>
          <w:lang/>
        </w:rPr>
      </w:pPr>
      <w:r w:rsidRPr="0077061B">
        <w:rPr>
          <w:rFonts w:eastAsia="Times New Roman"/>
          <w:kern w:val="22"/>
          <w:sz w:val="22"/>
          <w:szCs w:val="22"/>
          <w:lang w:val="es-ES"/>
        </w:rPr>
        <w:t>a)</w:t>
      </w:r>
      <w:r w:rsidRPr="0077061B">
        <w:rPr>
          <w:rFonts w:eastAsia="Times New Roman"/>
          <w:kern w:val="22"/>
          <w:sz w:val="22"/>
          <w:szCs w:val="22"/>
          <w:lang/>
        </w:rPr>
        <w:t xml:space="preserve"> </w:t>
      </w:r>
      <w:r w:rsidRPr="0077061B">
        <w:rPr>
          <w:rFonts w:eastAsia="Times New Roman"/>
          <w:kern w:val="22"/>
          <w:sz w:val="22"/>
          <w:szCs w:val="22"/>
          <w:lang/>
        </w:rPr>
        <w:tab/>
      </w:r>
      <w:r w:rsidRPr="0077061B">
        <w:rPr>
          <w:rFonts w:eastAsia="Times New Roman"/>
          <w:kern w:val="22"/>
          <w:sz w:val="22"/>
          <w:szCs w:val="22"/>
          <w:lang w:val="es-ES"/>
        </w:rPr>
        <w:t>No obstaculizar la investigación y la innovación [responsables];</w:t>
      </w:r>
    </w:p>
    <w:p w:rsidR="007523C2" w:rsidRPr="0077061B" w:rsidRDefault="007523C2">
      <w:pPr>
        <w:pStyle w:val="ListParagraph"/>
        <w:spacing w:before="120" w:after="120"/>
        <w:rPr>
          <w:rFonts w:eastAsia="Times New Roman"/>
          <w:sz w:val="22"/>
          <w:szCs w:val="22"/>
          <w:lang/>
        </w:rPr>
      </w:pPr>
      <w:r w:rsidRPr="0077061B">
        <w:rPr>
          <w:rFonts w:eastAsia="Times New Roman"/>
          <w:kern w:val="22"/>
          <w:sz w:val="22"/>
          <w:szCs w:val="22"/>
          <w:lang/>
        </w:rPr>
        <w:t xml:space="preserve">7. </w:t>
      </w:r>
      <w:r w:rsidRPr="0077061B">
        <w:rPr>
          <w:rFonts w:eastAsia="Times New Roman"/>
          <w:kern w:val="22"/>
          <w:sz w:val="22"/>
          <w:szCs w:val="22"/>
          <w:lang/>
        </w:rPr>
        <w:tab/>
      </w:r>
      <w:r w:rsidRPr="0077061B">
        <w:rPr>
          <w:rFonts w:eastAsia="Times New Roman"/>
          <w:i/>
          <w:iCs/>
          <w:sz w:val="22"/>
          <w:szCs w:val="22"/>
          <w:lang w:val="es-ES"/>
        </w:rPr>
        <w:t>Conviene</w:t>
      </w:r>
      <w:r w:rsidRPr="0077061B">
        <w:rPr>
          <w:rFonts w:eastAsia="Times New Roman"/>
          <w:sz w:val="22"/>
          <w:szCs w:val="22"/>
          <w:lang w:val="es-ES"/>
        </w:rPr>
        <w:t xml:space="preserve"> </w:t>
      </w:r>
      <w:r w:rsidRPr="0077061B">
        <w:rPr>
          <w:rFonts w:eastAsia="Times New Roman"/>
          <w:i/>
          <w:iCs/>
          <w:sz w:val="22"/>
          <w:szCs w:val="22"/>
          <w:lang w:val="es-ES"/>
        </w:rPr>
        <w:t>en</w:t>
      </w:r>
      <w:r w:rsidRPr="0077061B">
        <w:rPr>
          <w:rFonts w:eastAsia="Times New Roman"/>
          <w:sz w:val="22"/>
          <w:szCs w:val="22"/>
          <w:lang w:val="es-ES"/>
        </w:rPr>
        <w:t xml:space="preserve"> que los beneficios monetarios y no monetarios deberían:</w:t>
      </w:r>
    </w:p>
    <w:p w:rsidR="007523C2" w:rsidRPr="0077061B" w:rsidRDefault="007523C2">
      <w:pPr>
        <w:pStyle w:val="ListParagraph"/>
        <w:spacing w:before="120" w:after="120"/>
        <w:ind w:left="0" w:firstLine="698"/>
        <w:rPr>
          <w:rFonts w:eastAsia="Times New Roman"/>
          <w:sz w:val="22"/>
          <w:szCs w:val="22"/>
          <w:lang/>
        </w:rPr>
      </w:pPr>
      <w:r w:rsidRPr="0077061B">
        <w:rPr>
          <w:rFonts w:eastAsia="Times New Roman"/>
          <w:kern w:val="22"/>
          <w:sz w:val="22"/>
          <w:szCs w:val="22"/>
          <w:lang w:val="es-ES"/>
        </w:rPr>
        <w:t>a)</w:t>
      </w:r>
      <w:r w:rsidRPr="0077061B">
        <w:rPr>
          <w:rFonts w:eastAsia="Times New Roman"/>
          <w:kern w:val="22"/>
          <w:sz w:val="22"/>
          <w:szCs w:val="22"/>
          <w:lang/>
        </w:rPr>
        <w:tab/>
      </w:r>
      <w:r w:rsidRPr="0077061B">
        <w:rPr>
          <w:rFonts w:eastAsia="Times New Roman"/>
          <w:kern w:val="22"/>
          <w:sz w:val="22"/>
          <w:szCs w:val="22"/>
          <w:lang w:val="es-ES"/>
        </w:rPr>
        <w:t>Beneficiar [principalmente] a los pueblos indígenas y las comunidades locales;</w:t>
      </w:r>
    </w:p>
    <w:p w:rsidR="007523C2" w:rsidRPr="0077061B" w:rsidRDefault="007523C2">
      <w:pPr>
        <w:pStyle w:val="ListParagraph"/>
        <w:spacing w:before="120" w:after="120"/>
        <w:ind w:left="0" w:firstLine="698"/>
        <w:rPr>
          <w:rFonts w:eastAsia="Times New Roman"/>
          <w:sz w:val="22"/>
          <w:szCs w:val="22"/>
          <w:lang/>
        </w:rPr>
      </w:pPr>
      <w:r w:rsidRPr="0077061B">
        <w:rPr>
          <w:rFonts w:eastAsia="Times New Roman"/>
          <w:kern w:val="22"/>
          <w:sz w:val="22"/>
          <w:szCs w:val="22"/>
          <w:lang w:val="es-ES"/>
        </w:rPr>
        <w:t>b)</w:t>
      </w:r>
      <w:r w:rsidRPr="0077061B">
        <w:rPr>
          <w:rFonts w:eastAsia="Times New Roman"/>
          <w:kern w:val="22"/>
          <w:sz w:val="22"/>
          <w:szCs w:val="22"/>
          <w:lang/>
        </w:rPr>
        <w:tab/>
      </w:r>
      <w:r w:rsidRPr="0077061B">
        <w:rPr>
          <w:rFonts w:eastAsia="Times New Roman"/>
          <w:kern w:val="22"/>
          <w:sz w:val="22"/>
          <w:szCs w:val="22"/>
          <w:lang w:val="es-ES"/>
        </w:rPr>
        <w:t>Apoyar, entre otras cosas, la transferencia de tecnología, la cooperación científica, la investigación y la innovación y la creación de capacidad para la conservación y la utilización sostenible de la diversidad biológica;</w:t>
      </w:r>
    </w:p>
    <w:p w:rsidR="007523C2" w:rsidRPr="0077061B" w:rsidRDefault="007523C2">
      <w:pPr>
        <w:pStyle w:val="ListParagraph"/>
        <w:spacing w:before="120" w:after="120"/>
        <w:ind w:left="0" w:firstLine="720"/>
        <w:rPr>
          <w:rFonts w:eastAsia="Times New Roman"/>
          <w:kern w:val="22"/>
          <w:sz w:val="22"/>
          <w:szCs w:val="22"/>
          <w:lang/>
        </w:rPr>
      </w:pPr>
      <w:r w:rsidRPr="0077061B">
        <w:rPr>
          <w:rFonts w:eastAsia="Times New Roman"/>
          <w:sz w:val="22"/>
          <w:szCs w:val="22"/>
          <w:lang/>
        </w:rPr>
        <w:lastRenderedPageBreak/>
        <w:t>[8.</w:t>
      </w:r>
      <w:r w:rsidRPr="0077061B">
        <w:rPr>
          <w:rFonts w:eastAsia="Times New Roman"/>
          <w:kern w:val="22"/>
          <w:sz w:val="22"/>
          <w:szCs w:val="22"/>
          <w:lang/>
        </w:rPr>
        <w:tab/>
      </w:r>
      <w:r w:rsidRPr="0077061B">
        <w:rPr>
          <w:rFonts w:eastAsia="Times New Roman"/>
          <w:i/>
          <w:iCs/>
          <w:kern w:val="22"/>
          <w:sz w:val="22"/>
          <w:szCs w:val="22"/>
          <w:lang w:val="es-ES"/>
        </w:rPr>
        <w:t>Reconoce también</w:t>
      </w:r>
      <w:r w:rsidRPr="0077061B">
        <w:rPr>
          <w:rFonts w:eastAsia="Times New Roman"/>
          <w:kern w:val="22"/>
          <w:sz w:val="22"/>
          <w:szCs w:val="22"/>
          <w:lang w:val="es-ES"/>
        </w:rPr>
        <w:t xml:space="preserve"> que [la solución a la][el enfoque práctico al] que se hace referencia en el párrafo 3</w:t>
      </w:r>
      <w:r w:rsidR="00CD4230">
        <w:rPr>
          <w:rFonts w:eastAsia="Times New Roman"/>
          <w:kern w:val="22"/>
          <w:sz w:val="22"/>
          <w:szCs w:val="22"/>
          <w:lang w:val="es-ES"/>
        </w:rPr>
        <w:t> </w:t>
      </w:r>
      <w:r w:rsidRPr="0077061B">
        <w:rPr>
          <w:rFonts w:eastAsia="Times New Roman"/>
          <w:kern w:val="22"/>
          <w:sz w:val="22"/>
          <w:szCs w:val="22"/>
          <w:lang w:val="es-ES"/>
        </w:rPr>
        <w:t>anterior</w:t>
      </w:r>
      <w:r w:rsidRPr="0077061B">
        <w:rPr>
          <w:rFonts w:eastAsia="Times New Roman"/>
          <w:i/>
          <w:iCs/>
          <w:kern w:val="22"/>
          <w:sz w:val="22"/>
          <w:szCs w:val="22"/>
          <w:lang w:val="es-ES"/>
        </w:rPr>
        <w:t xml:space="preserve"> </w:t>
      </w:r>
      <w:r w:rsidRPr="0077061B">
        <w:rPr>
          <w:rFonts w:eastAsia="Times New Roman"/>
          <w:kern w:val="22"/>
          <w:sz w:val="22"/>
          <w:szCs w:val="22"/>
          <w:lang w:val="es-ES"/>
        </w:rPr>
        <w:t>[podría incluir][incluirá] el establecimiento de un mecanismo multilateral de participación en los beneficios, descrito en [el apéndice de] la presente decisión[, como contribución a la movilización de recursos para la implementación del marco mundial de la diversidad biológica posterior a 2020, y, por la presente, decide establecer un mecanismo multilateral de participación en los beneficios, descrito en la decisión 15/--]</w:t>
      </w:r>
      <w:r w:rsidRPr="0077061B">
        <w:rPr>
          <w:rFonts w:eastAsia="Times New Roman"/>
          <w:sz w:val="22"/>
          <w:szCs w:val="22"/>
          <w:lang w:val="es-ES"/>
        </w:rPr>
        <w:t>;]</w:t>
      </w:r>
    </w:p>
    <w:p w:rsidR="007523C2" w:rsidRPr="0077061B" w:rsidRDefault="007523C2">
      <w:pPr>
        <w:pStyle w:val="ListParagraph"/>
        <w:spacing w:before="120" w:after="120"/>
        <w:ind w:left="0" w:firstLine="720"/>
        <w:rPr>
          <w:rFonts w:eastAsia="Times New Roman"/>
          <w:sz w:val="22"/>
          <w:szCs w:val="22"/>
          <w:lang/>
        </w:rPr>
      </w:pPr>
      <w:r w:rsidRPr="0077061B">
        <w:rPr>
          <w:rFonts w:eastAsia="Times New Roman"/>
          <w:kern w:val="22"/>
          <w:sz w:val="22"/>
          <w:szCs w:val="22"/>
          <w:lang/>
        </w:rPr>
        <w:t>[9.</w:t>
      </w:r>
      <w:r w:rsidRPr="0077061B">
        <w:rPr>
          <w:rFonts w:eastAsia="Times New Roman"/>
          <w:kern w:val="22"/>
          <w:sz w:val="22"/>
          <w:szCs w:val="22"/>
          <w:lang/>
        </w:rPr>
        <w:tab/>
      </w:r>
      <w:r w:rsidRPr="0077061B">
        <w:rPr>
          <w:rFonts w:eastAsia="Times New Roman"/>
          <w:i/>
          <w:iCs/>
          <w:kern w:val="22"/>
          <w:sz w:val="22"/>
          <w:szCs w:val="22"/>
          <w:lang w:val="es-ES"/>
        </w:rPr>
        <w:t>Decide</w:t>
      </w:r>
      <w:r w:rsidRPr="0077061B">
        <w:rPr>
          <w:rFonts w:eastAsia="Times New Roman"/>
          <w:kern w:val="22"/>
          <w:sz w:val="22"/>
          <w:szCs w:val="22"/>
          <w:lang w:val="es-ES"/>
        </w:rPr>
        <w:t xml:space="preserve"> establecer un diálogo [entre múltiples interesados</w:t>
      </w:r>
      <w:r w:rsidRPr="0077061B">
        <w:rPr>
          <w:rFonts w:eastAsia="Times New Roman"/>
          <w:sz w:val="22"/>
          <w:szCs w:val="22"/>
          <w:lang w:val="es-ES"/>
        </w:rPr>
        <w:t>][intergubernamental] para la coordinación intersectorial en cuestiones relacionadas con la información digital sobre secuencias de recursos genéticos [, invitando además a organizaciones internacionales y de múltiples interesados,] [en particular, cuestiones relacionadas con la creación de capacidad y la transferencia de tecnología para países en desarrollo] con [la cooperación de] organizaciones internacionales pertinentes [e instituciones académicas[, comunidades científicas e industrias]] relacionadas con la información digital sobre secuencias, con miras a promover la coherencia, entre otras cosas en materia de terminología, según proceda, entre órganos creados en virtud de tratados y normas jurídicas internacionales pertinentes, al tiempo que se respetan los límites de los respectivos mandatos e instrumentos de cada organización;]</w:t>
      </w:r>
    </w:p>
    <w:p w:rsidR="007523C2" w:rsidRPr="0077061B" w:rsidRDefault="007523C2">
      <w:pPr>
        <w:pStyle w:val="ListParagraph"/>
        <w:spacing w:before="120" w:after="120"/>
        <w:ind w:left="0" w:firstLine="720"/>
        <w:rPr>
          <w:rFonts w:eastAsia="Times New Roman"/>
          <w:sz w:val="22"/>
          <w:szCs w:val="22"/>
          <w:lang/>
        </w:rPr>
      </w:pPr>
      <w:r w:rsidRPr="0077061B">
        <w:rPr>
          <w:rFonts w:eastAsia="Times New Roman"/>
          <w:kern w:val="22"/>
          <w:sz w:val="22"/>
          <w:szCs w:val="22"/>
          <w:lang w:val="es-ES"/>
        </w:rPr>
        <w:t>[9.</w:t>
      </w:r>
      <w:r w:rsidRPr="0077061B">
        <w:rPr>
          <w:rFonts w:eastAsia="Times New Roman"/>
          <w:i/>
          <w:iCs/>
          <w:kern w:val="22"/>
          <w:sz w:val="22"/>
          <w:szCs w:val="22"/>
          <w:lang w:val="es-ES"/>
        </w:rPr>
        <w:t>alt</w:t>
      </w:r>
      <w:r w:rsidRPr="0077061B">
        <w:rPr>
          <w:rFonts w:eastAsia="Times New Roman"/>
          <w:kern w:val="22"/>
          <w:sz w:val="22"/>
          <w:szCs w:val="22"/>
          <w:lang/>
        </w:rPr>
        <w:t xml:space="preserve"> </w:t>
      </w:r>
      <w:r w:rsidRPr="0077061B">
        <w:rPr>
          <w:rFonts w:eastAsia="Times New Roman"/>
          <w:kern w:val="22"/>
          <w:sz w:val="22"/>
          <w:szCs w:val="22"/>
          <w:lang/>
        </w:rPr>
        <w:tab/>
      </w:r>
      <w:r w:rsidRPr="0077061B">
        <w:rPr>
          <w:rFonts w:eastAsia="Times New Roman"/>
          <w:i/>
          <w:iCs/>
          <w:kern w:val="22"/>
          <w:sz w:val="22"/>
          <w:szCs w:val="22"/>
          <w:lang w:val="es-ES"/>
        </w:rPr>
        <w:t>Pide</w:t>
      </w:r>
      <w:r w:rsidRPr="0077061B">
        <w:rPr>
          <w:rFonts w:eastAsia="Times New Roman"/>
          <w:kern w:val="22"/>
          <w:sz w:val="22"/>
          <w:szCs w:val="22"/>
          <w:lang w:val="es-ES"/>
        </w:rPr>
        <w:t xml:space="preserve"> a la Asamblea General de las Naciones Unidas que establezca un comité intergubernamental encargado de negociar un instrumento jurídicamente vinculante que rija el acceso y la participación en los beneficios en materia de información digital sobre secuencias de recursos genéticos;]</w:t>
      </w:r>
    </w:p>
    <w:p w:rsidR="007523C2" w:rsidRPr="0077061B" w:rsidRDefault="007523C2">
      <w:pPr>
        <w:pStyle w:val="ListParagraph"/>
        <w:spacing w:before="120" w:after="120"/>
        <w:ind w:left="0" w:firstLine="720"/>
        <w:rPr>
          <w:rFonts w:eastAsia="Times New Roman"/>
          <w:sz w:val="22"/>
          <w:szCs w:val="22"/>
          <w:lang/>
        </w:rPr>
      </w:pPr>
      <w:r w:rsidRPr="0077061B">
        <w:rPr>
          <w:rFonts w:eastAsia="Times New Roman"/>
          <w:kern w:val="22"/>
          <w:sz w:val="22"/>
          <w:szCs w:val="22"/>
          <w:lang/>
        </w:rPr>
        <w:t xml:space="preserve">[10. </w:t>
      </w:r>
      <w:r w:rsidRPr="0077061B">
        <w:rPr>
          <w:rFonts w:eastAsia="Times New Roman"/>
          <w:kern w:val="22"/>
          <w:sz w:val="22"/>
          <w:szCs w:val="22"/>
          <w:lang/>
        </w:rPr>
        <w:tab/>
      </w:r>
      <w:r w:rsidRPr="0077061B">
        <w:rPr>
          <w:rFonts w:eastAsia="Times New Roman"/>
          <w:i/>
          <w:iCs/>
          <w:kern w:val="22"/>
          <w:sz w:val="22"/>
          <w:szCs w:val="22"/>
          <w:lang w:val="es-ES"/>
        </w:rPr>
        <w:t>Alienta</w:t>
      </w:r>
      <w:r w:rsidRPr="0077061B">
        <w:rPr>
          <w:rFonts w:eastAsia="Times New Roman"/>
          <w:kern w:val="22"/>
          <w:sz w:val="22"/>
          <w:szCs w:val="22"/>
          <w:lang w:val="es-ES"/>
        </w:rPr>
        <w:t xml:space="preserve"> a las </w:t>
      </w:r>
      <w:r w:rsidRPr="0077061B">
        <w:rPr>
          <w:rFonts w:eastAsia="Times New Roman"/>
          <w:sz w:val="22"/>
          <w:szCs w:val="22"/>
          <w:lang w:val="es-ES"/>
        </w:rPr>
        <w:t>Partes a salvaguardar sus derechos soberanos sobre los recursos genéticos mediante la inclusión explícita de medidas para controlar el acceso a la información digital sobre secuencias en sus disposiciones jurídicas, administrativas y de políticas nacionales adoptadas de conformidad con los artículos</w:t>
      </w:r>
      <w:r w:rsidR="00CD4230">
        <w:rPr>
          <w:rFonts w:eastAsia="Times New Roman"/>
          <w:sz w:val="22"/>
          <w:szCs w:val="22"/>
          <w:lang w:val="es-ES"/>
        </w:rPr>
        <w:t> </w:t>
      </w:r>
      <w:r w:rsidRPr="0077061B">
        <w:rPr>
          <w:rFonts w:eastAsia="Times New Roman"/>
          <w:sz w:val="22"/>
          <w:szCs w:val="22"/>
          <w:lang w:val="es-ES"/>
        </w:rPr>
        <w:t>3</w:t>
      </w:r>
      <w:r w:rsidR="00CD4230">
        <w:rPr>
          <w:rFonts w:eastAsia="Times New Roman"/>
          <w:sz w:val="22"/>
          <w:szCs w:val="22"/>
          <w:lang w:val="es-ES"/>
        </w:rPr>
        <w:t> </w:t>
      </w:r>
      <w:r w:rsidRPr="0077061B">
        <w:rPr>
          <w:rFonts w:eastAsia="Times New Roman"/>
          <w:sz w:val="22"/>
          <w:szCs w:val="22"/>
          <w:lang w:val="es-ES"/>
        </w:rPr>
        <w:t>y</w:t>
      </w:r>
      <w:r w:rsidR="00CD4230">
        <w:rPr>
          <w:rFonts w:eastAsia="Times New Roman"/>
          <w:sz w:val="22"/>
          <w:szCs w:val="22"/>
          <w:lang w:val="es-ES"/>
        </w:rPr>
        <w:t> </w:t>
      </w:r>
      <w:r w:rsidRPr="0077061B">
        <w:rPr>
          <w:rFonts w:eastAsia="Times New Roman"/>
          <w:sz w:val="22"/>
          <w:szCs w:val="22"/>
          <w:lang w:val="es-ES"/>
        </w:rPr>
        <w:t>15 del Convenio sobre la Diversidad Biológica, así como con el Protocolo de Nagoya</w:t>
      </w:r>
      <w:r w:rsidRPr="0077061B">
        <w:rPr>
          <w:rFonts w:eastAsia="Times New Roman"/>
          <w:kern w:val="22"/>
          <w:sz w:val="22"/>
          <w:szCs w:val="22"/>
          <w:lang w:val="es-ES"/>
        </w:rPr>
        <w:t>;]</w:t>
      </w:r>
    </w:p>
    <w:p w:rsidR="007523C2" w:rsidRPr="0077061B" w:rsidRDefault="007523C2">
      <w:pPr>
        <w:pStyle w:val="ListParagraph"/>
        <w:spacing w:before="120" w:after="120"/>
        <w:ind w:left="0" w:firstLine="720"/>
        <w:rPr>
          <w:rFonts w:eastAsia="Times New Roman"/>
          <w:kern w:val="22"/>
          <w:sz w:val="22"/>
          <w:szCs w:val="22"/>
          <w:lang/>
        </w:rPr>
      </w:pPr>
      <w:r w:rsidRPr="0077061B">
        <w:rPr>
          <w:rFonts w:eastAsia="Times New Roman"/>
          <w:kern w:val="22"/>
          <w:sz w:val="22"/>
          <w:szCs w:val="22"/>
          <w:lang/>
        </w:rPr>
        <w:t xml:space="preserve">[11. </w:t>
      </w:r>
      <w:r w:rsidRPr="0077061B">
        <w:rPr>
          <w:rFonts w:eastAsia="Times New Roman"/>
          <w:kern w:val="22"/>
          <w:sz w:val="22"/>
          <w:szCs w:val="22"/>
          <w:lang/>
        </w:rPr>
        <w:tab/>
      </w:r>
      <w:r w:rsidRPr="0077061B">
        <w:rPr>
          <w:rFonts w:eastAsia="Times New Roman"/>
          <w:i/>
          <w:iCs/>
          <w:kern w:val="22"/>
          <w:sz w:val="22"/>
          <w:szCs w:val="22"/>
          <w:lang w:val="es-ES"/>
        </w:rPr>
        <w:t>Decide</w:t>
      </w:r>
      <w:r w:rsidRPr="0077061B">
        <w:rPr>
          <w:rFonts w:eastAsia="Times New Roman"/>
          <w:kern w:val="22"/>
          <w:sz w:val="22"/>
          <w:szCs w:val="22"/>
          <w:lang w:val="es-ES"/>
        </w:rPr>
        <w:t xml:space="preserve"> que se renueve el mandato del Grupo Especial de Expertos Técnicos ampliado, establecido por decisión 14/20, para que trate la diversidad de cuestiones relacionadas con la información digital sobre secuencias de recursos genéticos, incluidos los resultados del diálogo entre múltiples interesados, al que se hace referencia en el párrafo 9 de la presente decisión, y pide al Grupo Especial de Expertos Técnicos que presente sus recomendaciones a la Conferencia de las Partes para que las considere en su 16ª reunión;]</w:t>
      </w:r>
      <w:r w:rsidRPr="0077061B">
        <w:rPr>
          <w:rFonts w:eastAsia="Times New Roman"/>
          <w:kern w:val="22"/>
          <w:sz w:val="22"/>
          <w:szCs w:val="22"/>
          <w:lang/>
        </w:rPr>
        <w:t xml:space="preserve"> </w:t>
      </w:r>
    </w:p>
    <w:p w:rsidR="007523C2" w:rsidRPr="0077061B" w:rsidRDefault="007523C2">
      <w:pPr>
        <w:spacing w:before="120" w:after="120"/>
        <w:jc w:val="left"/>
        <w:rPr>
          <w:rFonts w:eastAsia="Times New Roman"/>
          <w:b/>
          <w:bCs/>
          <w:kern w:val="22"/>
          <w:lang/>
        </w:rPr>
      </w:pPr>
    </w:p>
    <w:p w:rsidR="007523C2" w:rsidRPr="0077061B" w:rsidRDefault="007523C2">
      <w:pPr>
        <w:keepNext/>
        <w:spacing w:before="120" w:after="120"/>
        <w:jc w:val="center"/>
        <w:rPr>
          <w:rFonts w:eastAsia="Times New Roman"/>
          <w:i/>
          <w:iCs/>
          <w:kern w:val="22"/>
          <w:lang/>
        </w:rPr>
      </w:pPr>
      <w:r w:rsidRPr="0077061B">
        <w:rPr>
          <w:rFonts w:eastAsia="Times New Roman"/>
          <w:i/>
          <w:iCs/>
          <w:kern w:val="22"/>
          <w:lang w:val="es-ES"/>
        </w:rPr>
        <w:t xml:space="preserve">[Apéndice de la </w:t>
      </w:r>
      <w:r w:rsidR="0077061B" w:rsidRPr="0077061B">
        <w:rPr>
          <w:rFonts w:eastAsia="Times New Roman"/>
          <w:i/>
          <w:iCs/>
          <w:kern w:val="22"/>
          <w:lang w:val="es-ES"/>
        </w:rPr>
        <w:t>recomenda</w:t>
      </w:r>
      <w:r w:rsidR="0077061B">
        <w:rPr>
          <w:rFonts w:eastAsia="Times New Roman"/>
          <w:i/>
          <w:iCs/>
          <w:kern w:val="22"/>
          <w:lang w:val="es-ES"/>
        </w:rPr>
        <w:t xml:space="preserve">ción de </w:t>
      </w:r>
      <w:r w:rsidRPr="0077061B">
        <w:rPr>
          <w:rFonts w:eastAsia="Times New Roman"/>
          <w:i/>
          <w:iCs/>
          <w:kern w:val="22"/>
          <w:lang w:val="es-ES"/>
        </w:rPr>
        <w:t xml:space="preserve">decisión </w:t>
      </w:r>
      <w:r w:rsidR="0077061B">
        <w:rPr>
          <w:rFonts w:eastAsia="Times New Roman"/>
          <w:i/>
          <w:iCs/>
          <w:kern w:val="22"/>
          <w:lang w:val="es-ES"/>
        </w:rPr>
        <w:t>de</w:t>
      </w:r>
      <w:r w:rsidRPr="0077061B">
        <w:rPr>
          <w:rFonts w:eastAsia="Times New Roman"/>
          <w:i/>
          <w:iCs/>
          <w:kern w:val="22"/>
          <w:lang w:val="es-ES"/>
        </w:rPr>
        <w:t xml:space="preserve"> la 15ª reunión de la Conferencia de las Partes</w:t>
      </w:r>
    </w:p>
    <w:p w:rsidR="007523C2" w:rsidRPr="0077061B" w:rsidRDefault="007523C2">
      <w:pPr>
        <w:keepNext/>
        <w:spacing w:before="120" w:after="120"/>
        <w:jc w:val="center"/>
        <w:rPr>
          <w:rFonts w:eastAsia="Times New Roman"/>
          <w:b/>
          <w:bCs/>
          <w:kern w:val="22"/>
          <w:lang/>
        </w:rPr>
      </w:pPr>
      <w:r w:rsidRPr="0077061B">
        <w:rPr>
          <w:rFonts w:eastAsia="Times New Roman"/>
          <w:b/>
          <w:bCs/>
          <w:kern w:val="22"/>
          <w:lang w:val="es-ES"/>
        </w:rPr>
        <w:t>PROPUESTA PARA EL ESTABLECIMIENTO DE UN MECANISMO MULTILATERAL DE PARTICIPACIÓN EN LOS BENEFICIOS</w:t>
      </w:r>
    </w:p>
    <w:p w:rsidR="007523C2" w:rsidRPr="0077061B" w:rsidRDefault="007523C2">
      <w:pPr>
        <w:spacing w:before="120" w:after="120"/>
        <w:rPr>
          <w:rFonts w:eastAsia="Times New Roman"/>
          <w:lang/>
        </w:rPr>
      </w:pPr>
      <w:r w:rsidRPr="0077061B">
        <w:rPr>
          <w:rFonts w:eastAsia="Times New Roman"/>
          <w:lang/>
        </w:rPr>
        <w:t xml:space="preserve">1. </w:t>
      </w:r>
      <w:r w:rsidRPr="0077061B">
        <w:rPr>
          <w:rFonts w:eastAsia="Times New Roman"/>
          <w:lang/>
        </w:rPr>
        <w:tab/>
      </w:r>
      <w:r w:rsidRPr="0077061B">
        <w:rPr>
          <w:rFonts w:eastAsia="Times New Roman"/>
          <w:lang w:val="es-ES"/>
        </w:rPr>
        <w:t>Un mecanismo multilateral de participación en los beneficios podría funcionar de la siguiente manera</w:t>
      </w:r>
      <w:r w:rsidRPr="0077061B">
        <w:rPr>
          <w:rStyle w:val="FootnoteReference"/>
          <w:rFonts w:eastAsia="Times New Roman"/>
          <w:sz w:val="22"/>
          <w:szCs w:val="22"/>
          <w:lang w:val="es-ES"/>
        </w:rPr>
        <w:footnoteReference w:id="14"/>
      </w:r>
      <w:r w:rsidRPr="0077061B">
        <w:rPr>
          <w:rFonts w:eastAsia="Times New Roman"/>
          <w:lang w:val="es-ES"/>
        </w:rPr>
        <w:t>:</w:t>
      </w:r>
    </w:p>
    <w:p w:rsidR="007523C2" w:rsidRPr="0077061B" w:rsidRDefault="007523C2">
      <w:pPr>
        <w:spacing w:before="120" w:after="120"/>
        <w:ind w:firstLine="720"/>
        <w:rPr>
          <w:rFonts w:eastAsia="Times New Roman"/>
          <w:lang/>
        </w:rPr>
      </w:pPr>
      <w:r w:rsidRPr="0077061B">
        <w:rPr>
          <w:rFonts w:eastAsia="Times New Roman"/>
          <w:color w:val="000000"/>
          <w:lang w:val="es-ES"/>
        </w:rPr>
        <w:t>a)</w:t>
      </w:r>
      <w:r w:rsidRPr="0077061B">
        <w:rPr>
          <w:rFonts w:eastAsia="Times New Roman"/>
          <w:color w:val="000000"/>
          <w:lang/>
        </w:rPr>
        <w:tab/>
      </w:r>
      <w:r w:rsidRPr="0077061B">
        <w:rPr>
          <w:rFonts w:eastAsia="Times New Roman"/>
          <w:color w:val="000000"/>
          <w:lang w:val="es-ES"/>
        </w:rPr>
        <w:t>De conformidad con los artículos 20 y 15.7 del Convenio, todas las Partes que son países desarrollados tomarán medidas legislativas, administrativas o de política, según proceda, para garantizar que un 1 % del precio minorista de todos los ingresos comerciales que resulten de la utilización de recursos genéticos, conocimientos tradicionales asociados a recursos genéticos o información digital sobre secuencias de recursos genéticos se comparta a través del mecanismo multilateral de participación en los beneficios para apoyar la conservación y la utilización sostenible de la diversidad biológica, a menos que tales beneficios sean compartidos de otra manera según condiciones mutuamente acordadas establecidas en el sistema bilateral;</w:t>
      </w:r>
    </w:p>
    <w:p w:rsidR="007523C2" w:rsidRPr="0077061B" w:rsidRDefault="007523C2">
      <w:pPr>
        <w:spacing w:before="120" w:after="120"/>
        <w:ind w:firstLine="720"/>
        <w:rPr>
          <w:rFonts w:eastAsia="Times New Roman"/>
          <w:lang/>
        </w:rPr>
      </w:pPr>
      <w:r w:rsidRPr="0077061B">
        <w:rPr>
          <w:rFonts w:eastAsia="Times New Roman"/>
          <w:color w:val="000000"/>
          <w:lang w:val="es-ES"/>
        </w:rPr>
        <w:lastRenderedPageBreak/>
        <w:t>b)</w:t>
      </w:r>
      <w:r w:rsidRPr="0077061B">
        <w:rPr>
          <w:rFonts w:eastAsia="Times New Roman"/>
          <w:color w:val="000000"/>
          <w:lang/>
        </w:rPr>
        <w:tab/>
      </w:r>
      <w:r w:rsidRPr="0077061B">
        <w:rPr>
          <w:rFonts w:eastAsia="Times New Roman"/>
          <w:color w:val="000000"/>
          <w:lang w:val="es-ES"/>
        </w:rPr>
        <w:t>Todos los beneficios monetarios compartidos en el marco del mecanismo multilateral de participación en los beneficios se depositarán en un fondo mundial de la diversidad biológica gestionado por el Fondo para el Medio Ambiente Mundial, en calidad de mecanismo financiero del Convenio, y dicho fondo mundial estará también abierto a contribuciones voluntarias de todas las fuentes;</w:t>
      </w:r>
    </w:p>
    <w:p w:rsidR="007523C2" w:rsidRPr="0077061B" w:rsidRDefault="007523C2">
      <w:pPr>
        <w:spacing w:before="120" w:after="120"/>
        <w:ind w:firstLine="720"/>
        <w:rPr>
          <w:rFonts w:eastAsia="Times New Roman"/>
          <w:lang/>
        </w:rPr>
      </w:pPr>
      <w:r w:rsidRPr="0077061B">
        <w:rPr>
          <w:rFonts w:eastAsia="Times New Roman"/>
          <w:color w:val="000000"/>
          <w:lang w:val="es-ES"/>
        </w:rPr>
        <w:t>c)</w:t>
      </w:r>
      <w:r w:rsidRPr="0077061B">
        <w:rPr>
          <w:rFonts w:eastAsia="Times New Roman"/>
          <w:color w:val="000000"/>
          <w:lang/>
        </w:rPr>
        <w:tab/>
      </w:r>
      <w:r w:rsidRPr="0077061B">
        <w:rPr>
          <w:rFonts w:eastAsia="Times New Roman"/>
          <w:color w:val="000000"/>
          <w:lang w:val="es-ES"/>
        </w:rPr>
        <w:t xml:space="preserve">El </w:t>
      </w:r>
      <w:r w:rsidRPr="0077061B">
        <w:rPr>
          <w:rFonts w:eastAsia="Times New Roman"/>
          <w:color w:val="000000"/>
          <w:kern w:val="22"/>
          <w:lang w:val="es-ES"/>
        </w:rPr>
        <w:t xml:space="preserve">fondo mundial de la diversidad biológica se utilizará, de manera abierta, competitiva y sobre la base de proyectos, para apoyar actividades sobre el terreno dirigidas a la conservación de la diversidad biológica y la utilización sostenible de sus componentes, en consonancia con el enfoque </w:t>
      </w:r>
      <w:r w:rsidR="001A0FE8">
        <w:rPr>
          <w:rFonts w:eastAsia="Times New Roman"/>
          <w:color w:val="000000"/>
          <w:kern w:val="22"/>
          <w:lang w:val="es-ES"/>
        </w:rPr>
        <w:t>por</w:t>
      </w:r>
      <w:r w:rsidRPr="0077061B">
        <w:rPr>
          <w:rFonts w:eastAsia="Times New Roman"/>
          <w:color w:val="000000"/>
          <w:kern w:val="22"/>
          <w:lang w:val="es-ES"/>
        </w:rPr>
        <w:t xml:space="preserve"> ecosistemas, llevadas a cabo por pueblos indígenas, comunidades locales y otros, atendiendo las prioridades de gastos que determine periódicamente la Plataforma Intergubernamental Científico-Normativa sobre Diversidad Biológica y Servicios de los Ecosistemas a través de evaluaciones científicas</w:t>
      </w:r>
      <w:r w:rsidRPr="0077061B">
        <w:rPr>
          <w:rFonts w:eastAsia="Times New Roman"/>
          <w:color w:val="000000"/>
          <w:lang w:val="es-ES"/>
        </w:rPr>
        <w:t>.</w:t>
      </w:r>
    </w:p>
    <w:p w:rsidR="007523C2" w:rsidRPr="0077061B" w:rsidRDefault="007523C2">
      <w:pPr>
        <w:spacing w:before="120" w:after="120"/>
        <w:rPr>
          <w:rFonts w:eastAsia="Times New Roman"/>
          <w:kern w:val="22"/>
          <w:lang/>
        </w:rPr>
      </w:pPr>
      <w:r w:rsidRPr="0077061B">
        <w:rPr>
          <w:rFonts w:eastAsia="Times New Roman"/>
          <w:color w:val="000000"/>
          <w:lang/>
        </w:rPr>
        <w:t>2.</w:t>
      </w:r>
      <w:r w:rsidRPr="0077061B">
        <w:rPr>
          <w:rFonts w:eastAsia="Times New Roman"/>
          <w:color w:val="000000"/>
          <w:lang/>
        </w:rPr>
        <w:tab/>
      </w:r>
      <w:r w:rsidRPr="0077061B">
        <w:rPr>
          <w:rFonts w:eastAsia="Times New Roman"/>
          <w:color w:val="000000"/>
          <w:lang w:val="es-ES"/>
        </w:rPr>
        <w:t xml:space="preserve">Se pediría a la Secretaria Ejecutiva </w:t>
      </w:r>
      <w:r w:rsidRPr="0077061B">
        <w:rPr>
          <w:rFonts w:eastAsia="Times New Roman"/>
          <w:color w:val="000000"/>
          <w:kern w:val="22"/>
          <w:lang w:val="es-ES"/>
        </w:rPr>
        <w:t>que, en consulta con todas las Partes y el Fondo para el Medio Ambiente Mundial, prepare opciones de medidas legislativas, administrativas o de política nacionales para implementar un sistema multilateral de participación en los beneficios y que informe al respecto a la Conferencia de las</w:t>
      </w:r>
      <w:r w:rsidRPr="0077061B">
        <w:rPr>
          <w:rFonts w:eastAsia="Times New Roman"/>
          <w:lang w:val="es-ES"/>
        </w:rPr>
        <w:t xml:space="preserve"> </w:t>
      </w:r>
      <w:r w:rsidRPr="0077061B">
        <w:rPr>
          <w:rFonts w:eastAsia="Times New Roman"/>
          <w:color w:val="000000"/>
          <w:kern w:val="22"/>
          <w:lang w:val="es-ES"/>
        </w:rPr>
        <w:t>Partes en su 16ª reunión</w:t>
      </w:r>
      <w:r w:rsidRPr="0077061B">
        <w:rPr>
          <w:rFonts w:eastAsia="Times New Roman"/>
          <w:kern w:val="22"/>
          <w:lang w:val="es-ES"/>
        </w:rPr>
        <w:t>;]</w:t>
      </w:r>
    </w:p>
    <w:p w:rsidR="007523C2" w:rsidRPr="0077061B" w:rsidRDefault="007523C2">
      <w:pPr>
        <w:pStyle w:val="ListParagraph"/>
        <w:spacing w:before="120" w:after="120"/>
        <w:ind w:left="1440"/>
        <w:rPr>
          <w:rFonts w:eastAsia="Times New Roman"/>
          <w:kern w:val="22"/>
          <w:sz w:val="22"/>
          <w:szCs w:val="22"/>
          <w:lang/>
        </w:rPr>
      </w:pPr>
      <w:r w:rsidRPr="0077061B">
        <w:rPr>
          <w:rFonts w:eastAsia="Times New Roman"/>
          <w:kern w:val="22"/>
          <w:sz w:val="22"/>
          <w:szCs w:val="22"/>
          <w:lang/>
        </w:rPr>
        <w:t>]</w:t>
      </w:r>
    </w:p>
    <w:p w:rsidR="007523C2" w:rsidRPr="0077061B" w:rsidRDefault="007523C2">
      <w:pPr>
        <w:rPr>
          <w:rFonts w:eastAsia="Times New Roman"/>
          <w:lang/>
        </w:rPr>
      </w:pPr>
    </w:p>
    <w:p w:rsidR="007523C2" w:rsidRPr="0077061B" w:rsidRDefault="007523C2">
      <w:pPr>
        <w:jc w:val="center"/>
        <w:rPr>
          <w:rFonts w:eastAsia="Times New Roman"/>
          <w:lang/>
        </w:rPr>
      </w:pPr>
      <w:r w:rsidRPr="0077061B">
        <w:rPr>
          <w:rFonts w:eastAsia="Times New Roman"/>
          <w:lang/>
        </w:rPr>
        <w:t>__________</w:t>
      </w:r>
    </w:p>
    <w:sectPr w:rsidR="007523C2" w:rsidRPr="0077061B">
      <w:headerReference w:type="even" r:id="rId10"/>
      <w:headerReference w:type="default" r:id="rId11"/>
      <w:pgSz w:w="12240" w:h="15840"/>
      <w:pgMar w:top="1134" w:right="1440" w:bottom="1134"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59AA" w:rsidRDefault="006E59AA">
      <w:pPr>
        <w:rPr>
          <w:rFonts w:eastAsia="Times New Roman"/>
        </w:rPr>
      </w:pPr>
      <w:r>
        <w:rPr>
          <w:rFonts w:eastAsia="Times New Roman"/>
        </w:rPr>
        <w:separator/>
      </w:r>
    </w:p>
  </w:endnote>
  <w:endnote w:type="continuationSeparator" w:id="1">
    <w:p w:rsidR="006E59AA" w:rsidRDefault="006E59AA">
      <w:pPr>
        <w:rPr>
          <w:rFonts w:eastAsia="Times New Roman"/>
        </w:rPr>
      </w:pPr>
      <w:r>
        <w:rPr>
          <w:rFonts w:eastAsia="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等?">
    <w:altName w:val="MS Mincho"/>
    <w:panose1 w:val="00000000000000000000"/>
    <w:charset w:val="80"/>
    <w:family w:val="roman"/>
    <w:notTrueType/>
    <w:pitch w:val="default"/>
    <w:sig w:usb0="00000001" w:usb1="08070000" w:usb2="00000010" w:usb3="00000000" w:csb0="00020000"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59AA" w:rsidRDefault="006E59AA">
      <w:pPr>
        <w:rPr>
          <w:rFonts w:eastAsia="Times New Roman"/>
        </w:rPr>
      </w:pPr>
      <w:r>
        <w:rPr>
          <w:rFonts w:eastAsia="Times New Roman"/>
        </w:rPr>
        <w:separator/>
      </w:r>
    </w:p>
  </w:footnote>
  <w:footnote w:type="continuationSeparator" w:id="1">
    <w:p w:rsidR="006E59AA" w:rsidRDefault="006E59AA">
      <w:pPr>
        <w:rPr>
          <w:rFonts w:eastAsia="Times New Roman"/>
        </w:rPr>
      </w:pPr>
      <w:r>
        <w:rPr>
          <w:rFonts w:eastAsia="Times New Roman"/>
        </w:rPr>
        <w:continuationSeparator/>
      </w:r>
    </w:p>
  </w:footnote>
  <w:footnote w:id="2">
    <w:p w:rsidR="007523C2" w:rsidRPr="0077061B" w:rsidRDefault="007523C2" w:rsidP="0077061B">
      <w:pPr>
        <w:pStyle w:val="FootnoteText"/>
        <w:spacing w:after="0"/>
        <w:ind w:firstLine="0"/>
        <w:jc w:val="left"/>
        <w:rPr>
          <w:rFonts w:eastAsia="Times New Roman"/>
        </w:rPr>
      </w:pPr>
      <w:r w:rsidRPr="0077061B">
        <w:rPr>
          <w:rStyle w:val="FootnoteReference"/>
          <w:rFonts w:eastAsia="Times New Roman"/>
          <w:kern w:val="18"/>
          <w:sz w:val="18"/>
          <w:szCs w:val="18"/>
          <w:lang/>
        </w:rPr>
        <w:footnoteRef/>
      </w:r>
      <w:r w:rsidRPr="0077061B">
        <w:rPr>
          <w:rFonts w:eastAsia="Times New Roman"/>
          <w:kern w:val="18"/>
          <w:lang/>
        </w:rPr>
        <w:t xml:space="preserve"> </w:t>
      </w:r>
      <w:r w:rsidRPr="0077061B">
        <w:rPr>
          <w:rFonts w:eastAsia="Times New Roman"/>
          <w:kern w:val="18"/>
          <w:lang w:val="es-ES"/>
        </w:rPr>
        <w:t>CBD/DSI/AHTEG/2020/1/7.</w:t>
      </w:r>
    </w:p>
  </w:footnote>
  <w:footnote w:id="3">
    <w:p w:rsidR="007523C2" w:rsidRPr="0077061B" w:rsidRDefault="007523C2" w:rsidP="0077061B">
      <w:pPr>
        <w:pStyle w:val="FootnoteText"/>
        <w:spacing w:after="0"/>
        <w:ind w:firstLine="0"/>
        <w:rPr>
          <w:rFonts w:eastAsia="Times New Roman"/>
        </w:rPr>
      </w:pPr>
      <w:r w:rsidRPr="0077061B">
        <w:rPr>
          <w:rStyle w:val="FootnoteReference"/>
          <w:rFonts w:eastAsia="Times New Roman"/>
          <w:sz w:val="18"/>
          <w:szCs w:val="18"/>
          <w:lang/>
        </w:rPr>
        <w:footnoteRef/>
      </w:r>
      <w:r w:rsidRPr="0077061B">
        <w:rPr>
          <w:rFonts w:eastAsia="Times New Roman"/>
          <w:lang/>
        </w:rPr>
        <w:t xml:space="preserve"> </w:t>
      </w:r>
      <w:r w:rsidRPr="0077061B">
        <w:rPr>
          <w:rFonts w:eastAsia="Times New Roman"/>
          <w:lang w:val="es-ES"/>
        </w:rPr>
        <w:t>Sección V del documento CBD/WG2020/3/INF/8.</w:t>
      </w:r>
    </w:p>
  </w:footnote>
  <w:footnote w:id="4">
    <w:p w:rsidR="007523C2" w:rsidRPr="0077061B" w:rsidRDefault="007523C2" w:rsidP="0077061B">
      <w:pPr>
        <w:pStyle w:val="FootnoteText"/>
        <w:spacing w:after="0"/>
        <w:ind w:firstLine="0"/>
        <w:jc w:val="left"/>
        <w:rPr>
          <w:rFonts w:eastAsia="Times New Roman"/>
        </w:rPr>
      </w:pPr>
      <w:r w:rsidRPr="0077061B">
        <w:rPr>
          <w:rStyle w:val="FootnoteReference"/>
          <w:rFonts w:eastAsia="Times New Roman"/>
          <w:kern w:val="18"/>
          <w:sz w:val="18"/>
          <w:szCs w:val="18"/>
          <w:lang/>
        </w:rPr>
        <w:footnoteRef/>
      </w:r>
      <w:r w:rsidRPr="0077061B">
        <w:rPr>
          <w:rFonts w:eastAsia="Times New Roman"/>
          <w:kern w:val="18"/>
          <w:lang/>
        </w:rPr>
        <w:t xml:space="preserve"> </w:t>
      </w:r>
      <w:hyperlink r:id="rId1" w:history="1">
        <w:r w:rsidRPr="0077061B">
          <w:rPr>
            <w:rStyle w:val="Hyperlink"/>
            <w:rFonts w:eastAsia="Times New Roman"/>
            <w:kern w:val="18"/>
            <w:lang/>
          </w:rPr>
          <w:t>https://www.cbd.int/dsi-gr/forum.shtml</w:t>
        </w:r>
      </w:hyperlink>
      <w:r w:rsidRPr="0077061B">
        <w:rPr>
          <w:rFonts w:eastAsia="Times New Roman"/>
          <w:kern w:val="18"/>
          <w:lang w:val="es-ES"/>
        </w:rPr>
        <w:t>.</w:t>
      </w:r>
    </w:p>
  </w:footnote>
  <w:footnote w:id="5">
    <w:p w:rsidR="007523C2" w:rsidRPr="0077061B" w:rsidRDefault="007523C2" w:rsidP="0077061B">
      <w:pPr>
        <w:pStyle w:val="FootnoteText"/>
        <w:spacing w:after="0"/>
        <w:ind w:firstLine="0"/>
        <w:rPr>
          <w:rFonts w:eastAsia="Times New Roman"/>
        </w:rPr>
      </w:pPr>
      <w:r w:rsidRPr="0077061B">
        <w:rPr>
          <w:rStyle w:val="FootnoteReference"/>
          <w:rFonts w:eastAsia="Times New Roman"/>
          <w:sz w:val="18"/>
          <w:szCs w:val="18"/>
          <w:lang/>
        </w:rPr>
        <w:footnoteRef/>
      </w:r>
      <w:r w:rsidRPr="0077061B">
        <w:rPr>
          <w:rFonts w:eastAsia="Times New Roman"/>
          <w:lang/>
        </w:rPr>
        <w:t xml:space="preserve"> </w:t>
      </w:r>
      <w:r w:rsidRPr="0077061B">
        <w:rPr>
          <w:rFonts w:eastAsia="Times New Roman"/>
          <w:lang w:val="es-ES"/>
        </w:rPr>
        <w:t>https://www.cbd.int/notifications/2021-063</w:t>
      </w:r>
    </w:p>
  </w:footnote>
  <w:footnote w:id="6">
    <w:p w:rsidR="007523C2" w:rsidRPr="0077061B" w:rsidRDefault="007523C2" w:rsidP="0077061B">
      <w:pPr>
        <w:pStyle w:val="FootnoteText"/>
        <w:spacing w:after="0"/>
        <w:ind w:firstLine="0"/>
        <w:jc w:val="left"/>
        <w:rPr>
          <w:rFonts w:eastAsia="Times New Roman"/>
        </w:rPr>
      </w:pPr>
      <w:r w:rsidRPr="0077061B">
        <w:rPr>
          <w:rStyle w:val="FootnoteReference"/>
          <w:rFonts w:eastAsia="Times New Roman"/>
          <w:kern w:val="18"/>
          <w:sz w:val="18"/>
          <w:szCs w:val="18"/>
          <w:lang/>
        </w:rPr>
        <w:footnoteRef/>
      </w:r>
      <w:r w:rsidRPr="0077061B">
        <w:rPr>
          <w:rFonts w:eastAsia="Times New Roman"/>
          <w:kern w:val="18"/>
          <w:lang/>
        </w:rPr>
        <w:t xml:space="preserve"> </w:t>
      </w:r>
      <w:r w:rsidRPr="0077061B">
        <w:rPr>
          <w:rFonts w:eastAsia="Times New Roman"/>
          <w:kern w:val="18"/>
          <w:lang w:val="es-ES"/>
        </w:rPr>
        <w:t>CBD/WG2020/4/3/Add.1</w:t>
      </w:r>
    </w:p>
  </w:footnote>
  <w:footnote w:id="7">
    <w:p w:rsidR="007523C2" w:rsidRPr="0077061B" w:rsidRDefault="007523C2" w:rsidP="0077061B">
      <w:pPr>
        <w:pStyle w:val="FootnoteText"/>
        <w:spacing w:after="0"/>
        <w:ind w:firstLine="0"/>
        <w:jc w:val="left"/>
        <w:rPr>
          <w:rFonts w:eastAsia="Times New Roman"/>
        </w:rPr>
      </w:pPr>
      <w:r w:rsidRPr="0077061B">
        <w:rPr>
          <w:rStyle w:val="FootnoteReference"/>
          <w:rFonts w:eastAsia="Times New Roman"/>
          <w:kern w:val="18"/>
          <w:sz w:val="18"/>
          <w:szCs w:val="18"/>
          <w:lang/>
        </w:rPr>
        <w:footnoteRef/>
      </w:r>
      <w:r w:rsidRPr="0077061B">
        <w:rPr>
          <w:rFonts w:eastAsia="Times New Roman"/>
          <w:kern w:val="18"/>
          <w:lang/>
        </w:rPr>
        <w:t xml:space="preserve"> </w:t>
      </w:r>
      <w:r w:rsidRPr="0077061B">
        <w:rPr>
          <w:rFonts w:eastAsia="Times New Roman"/>
          <w:kern w:val="18"/>
          <w:lang w:val="es-ES"/>
        </w:rPr>
        <w:t>Ibíd.</w:t>
      </w:r>
    </w:p>
  </w:footnote>
  <w:footnote w:id="8">
    <w:p w:rsidR="007523C2" w:rsidRPr="0077061B" w:rsidRDefault="007523C2" w:rsidP="0077061B">
      <w:pPr>
        <w:pStyle w:val="FootnoteText"/>
        <w:spacing w:after="0"/>
        <w:ind w:firstLine="0"/>
        <w:rPr>
          <w:rFonts w:eastAsia="Times New Roman"/>
        </w:rPr>
      </w:pPr>
      <w:r w:rsidRPr="0077061B">
        <w:rPr>
          <w:rStyle w:val="FootnoteReference"/>
          <w:rFonts w:eastAsia="Times New Roman"/>
          <w:sz w:val="18"/>
          <w:szCs w:val="18"/>
          <w:lang/>
        </w:rPr>
        <w:footnoteRef/>
      </w:r>
      <w:r w:rsidRPr="0077061B">
        <w:rPr>
          <w:rFonts w:eastAsia="Times New Roman"/>
          <w:lang/>
        </w:rPr>
        <w:t xml:space="preserve"> </w:t>
      </w:r>
      <w:r w:rsidRPr="0077061B">
        <w:rPr>
          <w:rFonts w:eastAsia="Times New Roman"/>
          <w:lang w:val="es-ES"/>
        </w:rPr>
        <w:t>Esta lista no es exhaustiva.</w:t>
      </w:r>
      <w:r w:rsidRPr="0077061B">
        <w:rPr>
          <w:rFonts w:eastAsia="Times New Roman"/>
        </w:rPr>
        <w:t xml:space="preserve"> </w:t>
      </w:r>
      <w:r w:rsidRPr="0077061B">
        <w:rPr>
          <w:rFonts w:eastAsia="Times New Roman"/>
          <w:lang w:val="es-ES"/>
        </w:rPr>
        <w:t>En la propuesta de decisión de la Conferencia de las Partes se brinda una lista más extensa para s</w:t>
      </w:r>
      <w:r w:rsidR="0077061B">
        <w:rPr>
          <w:rFonts w:eastAsia="Times New Roman"/>
          <w:lang w:val="es-ES"/>
        </w:rPr>
        <w:t>u posterior</w:t>
      </w:r>
      <w:r w:rsidRPr="0077061B">
        <w:rPr>
          <w:rFonts w:eastAsia="Times New Roman"/>
          <w:lang w:val="es-ES"/>
        </w:rPr>
        <w:t xml:space="preserve"> debat</w:t>
      </w:r>
      <w:r w:rsidR="0077061B">
        <w:rPr>
          <w:rFonts w:eastAsia="Times New Roman"/>
          <w:lang w:val="es-ES"/>
        </w:rPr>
        <w:t>e</w:t>
      </w:r>
      <w:r w:rsidRPr="0077061B">
        <w:rPr>
          <w:rFonts w:eastAsia="Times New Roman"/>
          <w:lang w:val="es-ES"/>
        </w:rPr>
        <w:t>.</w:t>
      </w:r>
    </w:p>
  </w:footnote>
  <w:footnote w:id="9">
    <w:p w:rsidR="007523C2" w:rsidRPr="0077061B" w:rsidRDefault="007523C2" w:rsidP="0077061B">
      <w:pPr>
        <w:pStyle w:val="FootnoteText"/>
        <w:spacing w:after="0"/>
        <w:ind w:firstLine="0"/>
        <w:rPr>
          <w:rFonts w:eastAsia="Times New Roman"/>
        </w:rPr>
      </w:pPr>
      <w:r w:rsidRPr="0077061B">
        <w:rPr>
          <w:rStyle w:val="FootnoteReference"/>
          <w:rFonts w:eastAsia="Times New Roman"/>
          <w:sz w:val="18"/>
          <w:szCs w:val="18"/>
          <w:lang/>
        </w:rPr>
        <w:footnoteRef/>
      </w:r>
      <w:r w:rsidRPr="0077061B">
        <w:rPr>
          <w:rFonts w:eastAsia="Times New Roman"/>
          <w:lang/>
        </w:rPr>
        <w:t xml:space="preserve"> </w:t>
      </w:r>
      <w:r w:rsidRPr="0077061B">
        <w:rPr>
          <w:rFonts w:eastAsia="Times New Roman"/>
          <w:lang w:val="es-ES"/>
        </w:rPr>
        <w:t>CBD/WG2020/3/INF/8, sección III.C. b)</w:t>
      </w:r>
    </w:p>
  </w:footnote>
  <w:footnote w:id="10">
    <w:p w:rsidR="007523C2" w:rsidRPr="0077061B" w:rsidRDefault="007523C2" w:rsidP="0077061B">
      <w:pPr>
        <w:pStyle w:val="FootnoteText"/>
        <w:spacing w:after="0"/>
        <w:ind w:firstLine="0"/>
        <w:rPr>
          <w:rFonts w:eastAsia="Times New Roman"/>
        </w:rPr>
      </w:pPr>
      <w:r w:rsidRPr="0077061B">
        <w:rPr>
          <w:rStyle w:val="FootnoteReference"/>
          <w:rFonts w:eastAsia="Times New Roman"/>
          <w:sz w:val="18"/>
          <w:szCs w:val="18"/>
          <w:lang/>
        </w:rPr>
        <w:footnoteRef/>
      </w:r>
      <w:r w:rsidRPr="0077061B">
        <w:rPr>
          <w:rFonts w:eastAsia="Times New Roman"/>
          <w:lang/>
        </w:rPr>
        <w:t xml:space="preserve"> </w:t>
      </w:r>
      <w:r w:rsidRPr="0077061B">
        <w:rPr>
          <w:rFonts w:eastAsia="Times New Roman"/>
          <w:lang w:val="es-ES"/>
        </w:rPr>
        <w:t>Mandato del Grupo Oficioso de Asesoramiento en materia de información digital sobre secuencias de recursos genéticos, CBD/WG2020/3/5, págs. 193-194.</w:t>
      </w:r>
    </w:p>
  </w:footnote>
  <w:footnote w:id="11">
    <w:p w:rsidR="007523C2" w:rsidRPr="0077061B" w:rsidRDefault="007523C2" w:rsidP="0077061B">
      <w:pPr>
        <w:pStyle w:val="FootnoteText"/>
        <w:spacing w:after="0"/>
        <w:ind w:firstLine="0"/>
        <w:rPr>
          <w:rFonts w:eastAsia="Times New Roman"/>
        </w:rPr>
      </w:pPr>
      <w:r w:rsidRPr="0077061B">
        <w:rPr>
          <w:rStyle w:val="FootnoteReference"/>
          <w:rFonts w:eastAsia="Times New Roman"/>
          <w:sz w:val="18"/>
          <w:szCs w:val="18"/>
          <w:lang/>
        </w:rPr>
        <w:footnoteRef/>
      </w:r>
      <w:r w:rsidRPr="0077061B">
        <w:rPr>
          <w:rFonts w:eastAsia="Times New Roman"/>
          <w:lang/>
        </w:rPr>
        <w:t xml:space="preserve"> </w:t>
      </w:r>
      <w:r w:rsidRPr="0077061B">
        <w:rPr>
          <w:rFonts w:eastAsia="Times New Roman"/>
          <w:lang w:val="es-ES"/>
        </w:rPr>
        <w:t xml:space="preserve">Declaración precisa </w:t>
      </w:r>
      <w:r w:rsidR="005A422F">
        <w:rPr>
          <w:rFonts w:eastAsia="Times New Roman"/>
          <w:lang w:val="es-ES"/>
        </w:rPr>
        <w:t>sobr</w:t>
      </w:r>
      <w:r w:rsidRPr="0077061B">
        <w:rPr>
          <w:rFonts w:eastAsia="Times New Roman"/>
          <w:lang w:val="es-ES"/>
        </w:rPr>
        <w:t>e la naturaleza, el alcance o la descripción.</w:t>
      </w:r>
      <w:r w:rsidRPr="0077061B">
        <w:rPr>
          <w:rFonts w:eastAsia="Times New Roman"/>
        </w:rPr>
        <w:t xml:space="preserve"> </w:t>
      </w:r>
    </w:p>
  </w:footnote>
  <w:footnote w:id="12">
    <w:p w:rsidR="007523C2" w:rsidRPr="0077061B" w:rsidRDefault="007523C2" w:rsidP="0077061B">
      <w:pPr>
        <w:pStyle w:val="FootnoteText"/>
        <w:spacing w:after="0"/>
        <w:ind w:firstLine="0"/>
        <w:rPr>
          <w:rFonts w:eastAsia="Times New Roman"/>
        </w:rPr>
      </w:pPr>
      <w:r w:rsidRPr="0077061B">
        <w:rPr>
          <w:rStyle w:val="FootnoteReference"/>
          <w:rFonts w:eastAsia="Times New Roman"/>
          <w:sz w:val="18"/>
          <w:szCs w:val="18"/>
          <w:lang/>
        </w:rPr>
        <w:footnoteRef/>
      </w:r>
      <w:r w:rsidRPr="0077061B">
        <w:rPr>
          <w:rFonts w:eastAsia="Times New Roman"/>
          <w:lang/>
        </w:rPr>
        <w:t xml:space="preserve"> </w:t>
      </w:r>
      <w:r w:rsidRPr="0077061B">
        <w:rPr>
          <w:rFonts w:eastAsia="Times New Roman"/>
          <w:lang w:val="es-ES"/>
        </w:rPr>
        <w:t>A/HRC/RES/48/13</w:t>
      </w:r>
    </w:p>
  </w:footnote>
  <w:footnote w:id="13">
    <w:p w:rsidR="007523C2" w:rsidRPr="0077061B" w:rsidRDefault="007523C2" w:rsidP="0077061B">
      <w:pPr>
        <w:pStyle w:val="FootnoteText"/>
        <w:spacing w:after="0"/>
        <w:ind w:firstLine="0"/>
        <w:rPr>
          <w:rFonts w:eastAsia="Times New Roman"/>
        </w:rPr>
      </w:pPr>
      <w:r w:rsidRPr="0077061B">
        <w:rPr>
          <w:rStyle w:val="FootnoteReference"/>
          <w:rFonts w:eastAsia="Times New Roman"/>
          <w:sz w:val="18"/>
          <w:szCs w:val="18"/>
          <w:lang/>
        </w:rPr>
        <w:footnoteRef/>
      </w:r>
      <w:r w:rsidRPr="0077061B">
        <w:rPr>
          <w:rFonts w:eastAsia="Times New Roman"/>
          <w:lang/>
        </w:rPr>
        <w:t xml:space="preserve"> </w:t>
      </w:r>
      <w:r w:rsidRPr="0077061B">
        <w:rPr>
          <w:rFonts w:eastAsia="Times New Roman"/>
          <w:lang w:val="es-ES"/>
        </w:rPr>
        <w:t>CBD/DSI/AHTEG/2020/1/3, sección 2.3.3</w:t>
      </w:r>
    </w:p>
  </w:footnote>
  <w:footnote w:id="14">
    <w:p w:rsidR="007523C2" w:rsidRPr="0077061B" w:rsidRDefault="007523C2" w:rsidP="0077061B">
      <w:pPr>
        <w:pStyle w:val="FootnoteText"/>
        <w:spacing w:after="0"/>
        <w:ind w:firstLine="0"/>
        <w:rPr>
          <w:rFonts w:eastAsia="Times New Roman"/>
        </w:rPr>
      </w:pPr>
      <w:r w:rsidRPr="0077061B">
        <w:rPr>
          <w:rStyle w:val="FootnoteReference"/>
          <w:rFonts w:eastAsia="Times New Roman"/>
          <w:sz w:val="18"/>
          <w:szCs w:val="18"/>
          <w:lang/>
        </w:rPr>
        <w:footnoteRef/>
      </w:r>
      <w:r w:rsidRPr="0077061B">
        <w:rPr>
          <w:rFonts w:eastAsia="Times New Roman"/>
          <w:lang/>
        </w:rPr>
        <w:t xml:space="preserve"> </w:t>
      </w:r>
      <w:r w:rsidRPr="0077061B">
        <w:rPr>
          <w:rFonts w:eastAsia="Times New Roman"/>
          <w:lang w:val="es-ES"/>
        </w:rPr>
        <w:t>La inclusión de esta opción sugerida se entiende sin perjuicio de las deliberaciones de la Conferencia de las Partes y no tiene por objeto indicar preferencia alguna entre las posibles opciones/soluciones.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3C2" w:rsidRDefault="007523C2">
    <w:pPr>
      <w:pStyle w:val="Header"/>
      <w:kinsoku w:val="0"/>
      <w:overflowPunct w:val="0"/>
      <w:autoSpaceDE w:val="0"/>
      <w:autoSpaceDN w:val="0"/>
      <w:adjustRightInd w:val="0"/>
      <w:jc w:val="left"/>
      <w:rPr>
        <w:rFonts w:eastAsia="Times New Roman"/>
        <w:lang/>
      </w:rPr>
    </w:pPr>
    <w:fldSimple w:instr=" SUBJECT   \* MERGEFORMAT ">
      <w:r>
        <w:rPr>
          <w:rFonts w:eastAsia="Times New Roman"/>
          <w:lang/>
        </w:rPr>
        <w:t>CBD/WG2020/REC/3/2</w:t>
      </w:r>
    </w:fldSimple>
  </w:p>
  <w:p w:rsidR="007523C2" w:rsidRDefault="007523C2">
    <w:pPr>
      <w:pStyle w:val="Header"/>
      <w:kinsoku w:val="0"/>
      <w:overflowPunct w:val="0"/>
      <w:autoSpaceDE w:val="0"/>
      <w:autoSpaceDN w:val="0"/>
      <w:adjustRightInd w:val="0"/>
      <w:jc w:val="left"/>
      <w:rPr>
        <w:rFonts w:eastAsia="Times New Roman"/>
        <w:lang/>
      </w:rPr>
    </w:pPr>
    <w:r>
      <w:rPr>
        <w:rFonts w:eastAsia="Times New Roman"/>
        <w:lang/>
      </w:rPr>
      <w:t xml:space="preserve">Página </w:t>
    </w:r>
    <w:r>
      <w:rPr>
        <w:rFonts w:eastAsia="Times New Roman"/>
        <w:lang/>
      </w:rPr>
      <w:fldChar w:fldCharType="begin"/>
    </w:r>
    <w:r>
      <w:rPr>
        <w:rFonts w:eastAsia="Times New Roman"/>
        <w:lang/>
      </w:rPr>
      <w:instrText xml:space="preserve"> PAGE   \* MERGEFORMAT </w:instrText>
    </w:r>
    <w:r>
      <w:rPr>
        <w:rFonts w:eastAsia="Times New Roman"/>
        <w:lang/>
      </w:rPr>
      <w:fldChar w:fldCharType="separate"/>
    </w:r>
    <w:r w:rsidR="002F15CE" w:rsidRPr="002F15CE">
      <w:rPr>
        <w:rFonts w:eastAsia="Times New Roman"/>
        <w:noProof/>
      </w:rPr>
      <w:t>8</w:t>
    </w:r>
    <w:r>
      <w:rPr>
        <w:rFonts w:eastAsia="Times New Roman"/>
        <w:lang/>
      </w:rPr>
      <w:fldChar w:fldCharType="end"/>
    </w:r>
  </w:p>
  <w:p w:rsidR="007523C2" w:rsidRDefault="007523C2">
    <w:pPr>
      <w:pStyle w:val="Header"/>
      <w:kinsoku w:val="0"/>
      <w:overflowPunct w:val="0"/>
      <w:autoSpaceDE w:val="0"/>
      <w:autoSpaceDN w:val="0"/>
      <w:adjustRightInd w:val="0"/>
      <w:jc w:val="left"/>
      <w:rPr>
        <w:rFonts w:eastAsia="Times New Roman"/>
        <w:lang/>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3C2" w:rsidRDefault="007523C2">
    <w:pPr>
      <w:pStyle w:val="Header"/>
      <w:kinsoku w:val="0"/>
      <w:overflowPunct w:val="0"/>
      <w:autoSpaceDE w:val="0"/>
      <w:autoSpaceDN w:val="0"/>
      <w:adjustRightInd w:val="0"/>
      <w:jc w:val="right"/>
      <w:rPr>
        <w:rFonts w:eastAsia="Times New Roman"/>
        <w:lang/>
      </w:rPr>
    </w:pPr>
    <w:fldSimple w:instr=" SUBJECT   \* MERGEFORMAT ">
      <w:r>
        <w:rPr>
          <w:rFonts w:eastAsia="Times New Roman"/>
          <w:lang/>
        </w:rPr>
        <w:t>CBD/WG2020/REC/3/2</w:t>
      </w:r>
    </w:fldSimple>
  </w:p>
  <w:p w:rsidR="007523C2" w:rsidRDefault="007523C2">
    <w:pPr>
      <w:pStyle w:val="Header"/>
      <w:kinsoku w:val="0"/>
      <w:overflowPunct w:val="0"/>
      <w:autoSpaceDE w:val="0"/>
      <w:autoSpaceDN w:val="0"/>
      <w:adjustRightInd w:val="0"/>
      <w:jc w:val="right"/>
      <w:rPr>
        <w:rFonts w:eastAsia="Times New Roman"/>
        <w:lang/>
      </w:rPr>
    </w:pPr>
    <w:r>
      <w:rPr>
        <w:rFonts w:eastAsia="Times New Roman"/>
        <w:lang/>
      </w:rPr>
      <w:t xml:space="preserve">Página </w:t>
    </w:r>
    <w:r>
      <w:rPr>
        <w:rFonts w:eastAsia="Times New Roman"/>
        <w:lang/>
      </w:rPr>
      <w:fldChar w:fldCharType="begin"/>
    </w:r>
    <w:r>
      <w:rPr>
        <w:rFonts w:eastAsia="Times New Roman"/>
        <w:lang/>
      </w:rPr>
      <w:instrText xml:space="preserve"> PAGE   \* MERGEFORMAT </w:instrText>
    </w:r>
    <w:r>
      <w:rPr>
        <w:rFonts w:eastAsia="Times New Roman"/>
        <w:lang/>
      </w:rPr>
      <w:fldChar w:fldCharType="separate"/>
    </w:r>
    <w:r w:rsidR="002F15CE" w:rsidRPr="002F15CE">
      <w:rPr>
        <w:rFonts w:eastAsia="Times New Roman"/>
        <w:noProof/>
      </w:rPr>
      <w:t>7</w:t>
    </w:r>
    <w:r>
      <w:rPr>
        <w:rFonts w:eastAsia="Times New Roman"/>
        <w:lang/>
      </w:rPr>
      <w:fldChar w:fldCharType="end"/>
    </w:r>
  </w:p>
  <w:p w:rsidR="007523C2" w:rsidRDefault="007523C2">
    <w:pPr>
      <w:pStyle w:val="Header"/>
      <w:kinsoku w:val="0"/>
      <w:overflowPunct w:val="0"/>
      <w:autoSpaceDE w:val="0"/>
      <w:autoSpaceDN w:val="0"/>
      <w:jc w:val="right"/>
      <w:rPr>
        <w:rFonts w:eastAsia="Times New Roman"/>
        <w:lang/>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06A8B"/>
    <w:multiLevelType w:val="multilevel"/>
    <w:tmpl w:val="4A423B56"/>
    <w:lvl w:ilvl="0">
      <w:start w:val="1"/>
      <w:numFmt w:val="lowerRoman"/>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lvl>
    <w:lvl w:ilvl="2">
      <w:start w:val="1"/>
      <w:numFmt w:val="lowerRoman"/>
      <w:lvlText w:val="%3."/>
      <w:lvlJc w:val="right"/>
      <w:pPr>
        <w:tabs>
          <w:tab w:val="num" w:pos="2160"/>
        </w:tabs>
        <w:ind w:left="2160" w:hanging="360"/>
      </w:pPr>
    </w:lvl>
    <w:lvl w:ilvl="3">
      <w:start w:val="1"/>
      <w:numFmt w:val="lowerRoman"/>
      <w:lvlText w:val="%4."/>
      <w:lvlJc w:val="right"/>
      <w:pPr>
        <w:tabs>
          <w:tab w:val="num" w:pos="2880"/>
        </w:tabs>
        <w:ind w:left="2880" w:hanging="360"/>
      </w:pPr>
    </w:lvl>
    <w:lvl w:ilvl="4">
      <w:start w:val="1"/>
      <w:numFmt w:val="lowerRoman"/>
      <w:lvlText w:val="%5."/>
      <w:lvlJc w:val="right"/>
      <w:pPr>
        <w:tabs>
          <w:tab w:val="num" w:pos="3600"/>
        </w:tabs>
        <w:ind w:left="3600" w:hanging="360"/>
      </w:pPr>
    </w:lvl>
    <w:lvl w:ilvl="5">
      <w:start w:val="1"/>
      <w:numFmt w:val="lowerRoman"/>
      <w:lvlText w:val="%6."/>
      <w:lvlJc w:val="right"/>
      <w:pPr>
        <w:tabs>
          <w:tab w:val="num" w:pos="4320"/>
        </w:tabs>
        <w:ind w:left="4320" w:hanging="360"/>
      </w:pPr>
    </w:lvl>
    <w:lvl w:ilvl="6">
      <w:start w:val="1"/>
      <w:numFmt w:val="lowerRoman"/>
      <w:lvlText w:val="%7."/>
      <w:lvlJc w:val="right"/>
      <w:pPr>
        <w:tabs>
          <w:tab w:val="num" w:pos="5040"/>
        </w:tabs>
        <w:ind w:left="5040" w:hanging="360"/>
      </w:pPr>
    </w:lvl>
    <w:lvl w:ilvl="7">
      <w:start w:val="1"/>
      <w:numFmt w:val="lowerRoman"/>
      <w:lvlText w:val="%8."/>
      <w:lvlJc w:val="right"/>
      <w:pPr>
        <w:tabs>
          <w:tab w:val="num" w:pos="5760"/>
        </w:tabs>
        <w:ind w:left="5760" w:hanging="360"/>
      </w:pPr>
    </w:lvl>
    <w:lvl w:ilvl="8">
      <w:start w:val="1"/>
      <w:numFmt w:val="lowerRoman"/>
      <w:lvlText w:val="%9."/>
      <w:lvlJc w:val="right"/>
      <w:pPr>
        <w:tabs>
          <w:tab w:val="num" w:pos="6480"/>
        </w:tabs>
        <w:ind w:left="6480" w:hanging="360"/>
      </w:pPr>
    </w:lvl>
  </w:abstractNum>
  <w:abstractNum w:abstractNumId="1">
    <w:nsid w:val="18825CA9"/>
    <w:multiLevelType w:val="hybridMultilevel"/>
    <w:tmpl w:val="0F92C076"/>
    <w:lvl w:ilvl="0" w:tplc="C358B9DC">
      <w:start w:val="1"/>
      <w:numFmt w:val="lowerLetter"/>
      <w:lvlText w:val="%1)"/>
      <w:lvlJc w:val="left"/>
      <w:pPr>
        <w:tabs>
          <w:tab w:val="num" w:pos="360"/>
        </w:tabs>
        <w:ind w:left="1080" w:hanging="36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2">
    <w:nsid w:val="240170E1"/>
    <w:multiLevelType w:val="multilevel"/>
    <w:tmpl w:val="554A4894"/>
    <w:lvl w:ilvl="0">
      <w:start w:val="1"/>
      <w:numFmt w:val="lowerLetter"/>
      <w:lvlText w:val="(%1)"/>
      <w:lvlJc w:val="left"/>
      <w:pPr>
        <w:ind w:left="720" w:hanging="360"/>
      </w:pPr>
      <w:rPr>
        <w:rFonts w:ascii="Times New Roman" w:eastAsia="Times New Roman" w:hAnsi="Times New Roman"/>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24045BC6"/>
    <w:multiLevelType w:val="multilevel"/>
    <w:tmpl w:val="928EE77E"/>
    <w:lvl w:ilvl="0">
      <w:start w:val="1"/>
      <w:numFmt w:val="lowerLetter"/>
      <w:lvlText w:val="%1)"/>
      <w:lvlJc w:val="left"/>
      <w:pPr>
        <w:tabs>
          <w:tab w:val="num" w:pos="360"/>
        </w:tabs>
        <w:ind w:left="1080" w:hanging="360"/>
      </w:pPr>
      <w:rPr>
        <w:rFonts w:hint="default"/>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4">
    <w:nsid w:val="241732C4"/>
    <w:multiLevelType w:val="hybridMultilevel"/>
    <w:tmpl w:val="928EE77E"/>
    <w:lvl w:ilvl="0" w:tplc="C358B9DC">
      <w:start w:val="1"/>
      <w:numFmt w:val="lowerLetter"/>
      <w:lvlText w:val="%1)"/>
      <w:lvlJc w:val="left"/>
      <w:pPr>
        <w:tabs>
          <w:tab w:val="num" w:pos="360"/>
        </w:tabs>
        <w:ind w:left="1080" w:hanging="36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5">
    <w:nsid w:val="286E354C"/>
    <w:multiLevelType w:val="multilevel"/>
    <w:tmpl w:val="12F46110"/>
    <w:lvl w:ilvl="0">
      <w:start w:val="5"/>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6">
    <w:nsid w:val="2B8014CF"/>
    <w:multiLevelType w:val="multilevel"/>
    <w:tmpl w:val="0F92C076"/>
    <w:lvl w:ilvl="0">
      <w:start w:val="1"/>
      <w:numFmt w:val="lowerLetter"/>
      <w:lvlText w:val="%1)"/>
      <w:lvlJc w:val="left"/>
      <w:pPr>
        <w:tabs>
          <w:tab w:val="num" w:pos="360"/>
        </w:tabs>
        <w:ind w:left="1080" w:hanging="360"/>
      </w:pPr>
      <w:rPr>
        <w:rFonts w:hint="default"/>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7">
    <w:nsid w:val="2F0336B8"/>
    <w:multiLevelType w:val="multilevel"/>
    <w:tmpl w:val="99BA12E0"/>
    <w:lvl w:ilvl="0">
      <w:start w:val="1"/>
      <w:numFmt w:val="upperRoman"/>
      <w:lvlText w:val="%1."/>
      <w:lvlJc w:val="left"/>
      <w:pPr>
        <w:tabs>
          <w:tab w:val="num" w:pos="720"/>
        </w:tabs>
      </w:pPr>
      <w:rPr>
        <w:rFonts w:hint="default"/>
      </w:rPr>
    </w:lvl>
    <w:lvl w:ilvl="1">
      <w:start w:val="1"/>
      <w:numFmt w:val="upperLetter"/>
      <w:lvlText w:val="%2."/>
      <w:lvlJc w:val="left"/>
      <w:pPr>
        <w:tabs>
          <w:tab w:val="num" w:pos="360"/>
        </w:tabs>
      </w:pPr>
      <w:rPr>
        <w:rFonts w:hint="default"/>
      </w:rPr>
    </w:lvl>
    <w:lvl w:ilvl="2">
      <w:start w:val="1"/>
      <w:numFmt w:val="decimal"/>
      <w:lvlText w:val="%3."/>
      <w:lvlJc w:val="left"/>
      <w:pPr>
        <w:tabs>
          <w:tab w:val="num" w:pos="360"/>
        </w:tabs>
      </w:pPr>
      <w:rPr>
        <w:rFonts w:hint="default"/>
      </w:rPr>
    </w:lvl>
    <w:lvl w:ilvl="3">
      <w:start w:val="1"/>
      <w:numFmt w:val="decimal"/>
      <w:lvlText w:val="1.%4"/>
      <w:lvlJc w:val="left"/>
      <w:pPr>
        <w:tabs>
          <w:tab w:val="num" w:pos="360"/>
        </w:tabs>
      </w:pPr>
      <w:rPr>
        <w:rFonts w:hint="default"/>
      </w:rPr>
    </w:lvl>
    <w:lvl w:ilvl="4">
      <w:start w:val="1"/>
      <w:numFmt w:val="lowerRoman"/>
      <w:pStyle w:val="Heading5"/>
      <w:lvlText w:val="(%5)"/>
      <w:lvlJc w:val="left"/>
      <w:pPr>
        <w:tabs>
          <w:tab w:val="num" w:pos="720"/>
        </w:tabs>
      </w:pPr>
      <w:rPr>
        <w:rFonts w:hint="default"/>
      </w:rPr>
    </w:lvl>
    <w:lvl w:ilvl="5">
      <w:start w:val="1"/>
      <w:numFmt w:val="lowerLetter"/>
      <w:lvlText w:val="(%6)"/>
      <w:lvlJc w:val="left"/>
      <w:pPr>
        <w:tabs>
          <w:tab w:val="num" w:pos="1080"/>
        </w:tabs>
        <w:ind w:left="72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360"/>
        </w:tabs>
        <w:ind w:left="-720"/>
      </w:pPr>
      <w:rPr>
        <w:rFonts w:hint="default"/>
      </w:rPr>
    </w:lvl>
    <w:lvl w:ilvl="8">
      <w:start w:val="1"/>
      <w:numFmt w:val="lowerRoman"/>
      <w:lvlText w:val="(%9)"/>
      <w:lvlJc w:val="left"/>
      <w:pPr>
        <w:tabs>
          <w:tab w:val="num" w:pos="6120"/>
        </w:tabs>
        <w:ind w:left="5760"/>
      </w:pPr>
      <w:rPr>
        <w:rFonts w:hint="default"/>
      </w:rPr>
    </w:lvl>
  </w:abstractNum>
  <w:abstractNum w:abstractNumId="8">
    <w:nsid w:val="304206D9"/>
    <w:multiLevelType w:val="multilevel"/>
    <w:tmpl w:val="D8C205F8"/>
    <w:lvl w:ilvl="0">
      <w:start w:val="6"/>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9">
    <w:nsid w:val="33423874"/>
    <w:multiLevelType w:val="hybridMultilevel"/>
    <w:tmpl w:val="CCC651B2"/>
    <w:lvl w:ilvl="0" w:tplc="E3E464E0">
      <w:start w:val="1"/>
      <w:numFmt w:val="lowerLetter"/>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0">
    <w:nsid w:val="41285CA3"/>
    <w:multiLevelType w:val="multilevel"/>
    <w:tmpl w:val="75FEFE4A"/>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416C0CB5"/>
    <w:multiLevelType w:val="multilevel"/>
    <w:tmpl w:val="6C8222BE"/>
    <w:lvl w:ilvl="0">
      <w:start w:val="2"/>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2">
    <w:nsid w:val="48E4287B"/>
    <w:multiLevelType w:val="multilevel"/>
    <w:tmpl w:val="2E6A1D38"/>
    <w:lvl w:ilvl="0">
      <w:start w:val="1"/>
      <w:numFmt w:val="decimal"/>
      <w:lvlText w:val="%1."/>
      <w:lvlJc w:val="left"/>
      <w:pPr>
        <w:tabs>
          <w:tab w:val="num" w:pos="360"/>
        </w:tabs>
      </w:pPr>
    </w:lvl>
    <w:lvl w:ilvl="1">
      <w:start w:val="1"/>
      <w:numFmt w:val="lowerLetter"/>
      <w:lvlText w:val="(%2)"/>
      <w:lvlJc w:val="left"/>
      <w:pPr>
        <w:tabs>
          <w:tab w:val="num" w:pos="1440"/>
        </w:tabs>
        <w:ind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cs="Symbol" w:hint="default"/>
        <w:sz w:val="28"/>
        <w:szCs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4C92369D"/>
    <w:multiLevelType w:val="hybridMultilevel"/>
    <w:tmpl w:val="8C5E6ADE"/>
    <w:lvl w:ilvl="0" w:tplc="A8462C1C">
      <w:start w:val="1"/>
      <w:numFmt w:val="lowerLetter"/>
      <w:lvlText w:val="(%1)"/>
      <w:lvlJc w:val="left"/>
      <w:pPr>
        <w:tabs>
          <w:tab w:val="num" w:pos="2125"/>
        </w:tabs>
        <w:ind w:left="2125" w:hanging="1416"/>
      </w:pPr>
      <w:rPr>
        <w:rFonts w:hint="default"/>
      </w:rPr>
    </w:lvl>
    <w:lvl w:ilvl="1" w:tplc="04090019">
      <w:start w:val="1"/>
      <w:numFmt w:val="lowerLetter"/>
      <w:lvlText w:val="%2."/>
      <w:lvlJc w:val="left"/>
      <w:pPr>
        <w:tabs>
          <w:tab w:val="num" w:pos="1789"/>
        </w:tabs>
        <w:ind w:left="1789" w:hanging="360"/>
      </w:pPr>
    </w:lvl>
    <w:lvl w:ilvl="2" w:tplc="0409001B">
      <w:start w:val="1"/>
      <w:numFmt w:val="lowerRoman"/>
      <w:lvlText w:val="%3."/>
      <w:lvlJc w:val="right"/>
      <w:pPr>
        <w:tabs>
          <w:tab w:val="num" w:pos="2509"/>
        </w:tabs>
        <w:ind w:left="2509" w:hanging="180"/>
      </w:pPr>
    </w:lvl>
    <w:lvl w:ilvl="3" w:tplc="0409000F">
      <w:start w:val="1"/>
      <w:numFmt w:val="decimal"/>
      <w:lvlText w:val="%4."/>
      <w:lvlJc w:val="left"/>
      <w:pPr>
        <w:tabs>
          <w:tab w:val="num" w:pos="3229"/>
        </w:tabs>
        <w:ind w:left="3229" w:hanging="360"/>
      </w:pPr>
    </w:lvl>
    <w:lvl w:ilvl="4" w:tplc="04090019">
      <w:start w:val="1"/>
      <w:numFmt w:val="lowerLetter"/>
      <w:lvlText w:val="%5."/>
      <w:lvlJc w:val="left"/>
      <w:pPr>
        <w:tabs>
          <w:tab w:val="num" w:pos="3949"/>
        </w:tabs>
        <w:ind w:left="3949" w:hanging="360"/>
      </w:pPr>
    </w:lvl>
    <w:lvl w:ilvl="5" w:tplc="0409001B">
      <w:start w:val="1"/>
      <w:numFmt w:val="lowerRoman"/>
      <w:lvlText w:val="%6."/>
      <w:lvlJc w:val="right"/>
      <w:pPr>
        <w:tabs>
          <w:tab w:val="num" w:pos="4669"/>
        </w:tabs>
        <w:ind w:left="4669" w:hanging="180"/>
      </w:pPr>
    </w:lvl>
    <w:lvl w:ilvl="6" w:tplc="0409000F">
      <w:start w:val="1"/>
      <w:numFmt w:val="decimal"/>
      <w:lvlText w:val="%7."/>
      <w:lvlJc w:val="left"/>
      <w:pPr>
        <w:tabs>
          <w:tab w:val="num" w:pos="5389"/>
        </w:tabs>
        <w:ind w:left="5389" w:hanging="360"/>
      </w:pPr>
    </w:lvl>
    <w:lvl w:ilvl="7" w:tplc="04090019">
      <w:start w:val="1"/>
      <w:numFmt w:val="lowerLetter"/>
      <w:lvlText w:val="%8."/>
      <w:lvlJc w:val="left"/>
      <w:pPr>
        <w:tabs>
          <w:tab w:val="num" w:pos="6109"/>
        </w:tabs>
        <w:ind w:left="6109" w:hanging="360"/>
      </w:pPr>
    </w:lvl>
    <w:lvl w:ilvl="8" w:tplc="0409001B">
      <w:start w:val="1"/>
      <w:numFmt w:val="lowerRoman"/>
      <w:lvlText w:val="%9."/>
      <w:lvlJc w:val="right"/>
      <w:pPr>
        <w:tabs>
          <w:tab w:val="num" w:pos="6829"/>
        </w:tabs>
        <w:ind w:left="6829" w:hanging="180"/>
      </w:pPr>
    </w:lvl>
  </w:abstractNum>
  <w:abstractNum w:abstractNumId="14">
    <w:nsid w:val="4D296717"/>
    <w:multiLevelType w:val="hybridMultilevel"/>
    <w:tmpl w:val="22A46BD0"/>
    <w:lvl w:ilvl="0" w:tplc="C358B9DC">
      <w:start w:val="1"/>
      <w:numFmt w:val="lowerLetter"/>
      <w:lvlText w:val="%1)"/>
      <w:lvlJc w:val="left"/>
      <w:pPr>
        <w:tabs>
          <w:tab w:val="num" w:pos="349"/>
        </w:tabs>
        <w:ind w:left="1069" w:hanging="360"/>
      </w:pPr>
      <w:rPr>
        <w:rFonts w:hint="default"/>
      </w:rPr>
    </w:lvl>
    <w:lvl w:ilvl="1" w:tplc="A0E620C2">
      <w:start w:val="1"/>
      <w:numFmt w:val="lowerLetter"/>
      <w:lvlText w:val="(%2)"/>
      <w:lvlJc w:val="left"/>
      <w:pPr>
        <w:tabs>
          <w:tab w:val="num" w:pos="2485"/>
        </w:tabs>
        <w:ind w:left="2485" w:hanging="696"/>
      </w:pPr>
      <w:rPr>
        <w:rFonts w:hint="default"/>
      </w:rPr>
    </w:lvl>
    <w:lvl w:ilvl="2" w:tplc="0409001B">
      <w:start w:val="1"/>
      <w:numFmt w:val="lowerRoman"/>
      <w:lvlText w:val="%3."/>
      <w:lvlJc w:val="right"/>
      <w:pPr>
        <w:tabs>
          <w:tab w:val="num" w:pos="2869"/>
        </w:tabs>
        <w:ind w:left="2869" w:hanging="180"/>
      </w:pPr>
    </w:lvl>
    <w:lvl w:ilvl="3" w:tplc="0409000F">
      <w:start w:val="1"/>
      <w:numFmt w:val="decimal"/>
      <w:lvlText w:val="%4."/>
      <w:lvlJc w:val="left"/>
      <w:pPr>
        <w:tabs>
          <w:tab w:val="num" w:pos="3589"/>
        </w:tabs>
        <w:ind w:left="3589" w:hanging="360"/>
      </w:pPr>
    </w:lvl>
    <w:lvl w:ilvl="4" w:tplc="04090019">
      <w:start w:val="1"/>
      <w:numFmt w:val="lowerLetter"/>
      <w:lvlText w:val="%5."/>
      <w:lvlJc w:val="left"/>
      <w:pPr>
        <w:tabs>
          <w:tab w:val="num" w:pos="4309"/>
        </w:tabs>
        <w:ind w:left="4309" w:hanging="360"/>
      </w:pPr>
    </w:lvl>
    <w:lvl w:ilvl="5" w:tplc="0409001B">
      <w:start w:val="1"/>
      <w:numFmt w:val="lowerRoman"/>
      <w:lvlText w:val="%6."/>
      <w:lvlJc w:val="right"/>
      <w:pPr>
        <w:tabs>
          <w:tab w:val="num" w:pos="5029"/>
        </w:tabs>
        <w:ind w:left="5029" w:hanging="180"/>
      </w:pPr>
    </w:lvl>
    <w:lvl w:ilvl="6" w:tplc="0409000F">
      <w:start w:val="1"/>
      <w:numFmt w:val="decimal"/>
      <w:lvlText w:val="%7."/>
      <w:lvlJc w:val="left"/>
      <w:pPr>
        <w:tabs>
          <w:tab w:val="num" w:pos="5749"/>
        </w:tabs>
        <w:ind w:left="5749" w:hanging="360"/>
      </w:pPr>
    </w:lvl>
    <w:lvl w:ilvl="7" w:tplc="04090019">
      <w:start w:val="1"/>
      <w:numFmt w:val="lowerLetter"/>
      <w:lvlText w:val="%8."/>
      <w:lvlJc w:val="left"/>
      <w:pPr>
        <w:tabs>
          <w:tab w:val="num" w:pos="6469"/>
        </w:tabs>
        <w:ind w:left="6469" w:hanging="360"/>
      </w:pPr>
    </w:lvl>
    <w:lvl w:ilvl="8" w:tplc="0409001B">
      <w:start w:val="1"/>
      <w:numFmt w:val="lowerRoman"/>
      <w:lvlText w:val="%9."/>
      <w:lvlJc w:val="right"/>
      <w:pPr>
        <w:tabs>
          <w:tab w:val="num" w:pos="7189"/>
        </w:tabs>
        <w:ind w:left="7189" w:hanging="180"/>
      </w:pPr>
    </w:lvl>
  </w:abstractNum>
  <w:abstractNum w:abstractNumId="15">
    <w:nsid w:val="4E0442B4"/>
    <w:multiLevelType w:val="multilevel"/>
    <w:tmpl w:val="4FF01174"/>
    <w:lvl w:ilvl="0">
      <w:start w:val="1"/>
      <w:numFmt w:val="decimal"/>
      <w:pStyle w:val="Para1"/>
      <w:lvlText w:val="%1."/>
      <w:lvlJc w:val="left"/>
      <w:pPr>
        <w:tabs>
          <w:tab w:val="num" w:pos="360"/>
        </w:tabs>
      </w:pPr>
      <w:rPr>
        <w:rFonts w:ascii="Times New Roman" w:hAnsi="Times New Roman" w:cs="Times New Roman" w:hint="default"/>
        <w:b w:val="0"/>
        <w:bCs w:val="0"/>
        <w:i w:val="0"/>
        <w:iCs w:val="0"/>
        <w:sz w:val="22"/>
        <w:szCs w:val="22"/>
      </w:rPr>
    </w:lvl>
    <w:lvl w:ilvl="1">
      <w:start w:val="1"/>
      <w:numFmt w:val="lowerLetter"/>
      <w:lvlText w:val="(%2)"/>
      <w:lvlJc w:val="left"/>
      <w:pPr>
        <w:tabs>
          <w:tab w:val="num" w:pos="1440"/>
        </w:tabs>
        <w:ind w:firstLine="720"/>
      </w:pPr>
      <w:rPr>
        <w:rFonts w:hint="default"/>
        <w:b w:val="0"/>
        <w:bCs w:val="0"/>
        <w:i w:val="0"/>
        <w:iCs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cs="Symbol" w:hint="default"/>
        <w:color w:val="auto"/>
        <w:sz w:val="28"/>
        <w:szCs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nsid w:val="58BA2176"/>
    <w:multiLevelType w:val="multilevel"/>
    <w:tmpl w:val="F2626314"/>
    <w:lvl w:ilvl="0">
      <w:start w:val="3"/>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7">
    <w:nsid w:val="5C5045C0"/>
    <w:multiLevelType w:val="multilevel"/>
    <w:tmpl w:val="F502D8F2"/>
    <w:lvl w:ilvl="0">
      <w:start w:val="4"/>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8">
    <w:nsid w:val="62593F42"/>
    <w:multiLevelType w:val="multilevel"/>
    <w:tmpl w:val="010697D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694D0D65"/>
    <w:multiLevelType w:val="hybridMultilevel"/>
    <w:tmpl w:val="8A22ADDE"/>
    <w:lvl w:ilvl="0" w:tplc="97482F58">
      <w:start w:val="1"/>
      <w:numFmt w:val="decimal"/>
      <w:lvlText w:val="%1."/>
      <w:lvlJc w:val="left"/>
      <w:pPr>
        <w:ind w:left="1440" w:hanging="360"/>
      </w:pPr>
      <w:rPr>
        <w:sz w:val="22"/>
        <w:szCs w:val="22"/>
      </w:rPr>
    </w:lvl>
    <w:lvl w:ilvl="1" w:tplc="FFFFFFFF">
      <w:start w:val="1"/>
      <w:numFmt w:val="lowerLetter"/>
      <w:lvlText w:val="(%2)"/>
      <w:lvlJc w:val="left"/>
      <w:pPr>
        <w:ind w:left="2160" w:hanging="360"/>
      </w:pPr>
    </w:lvl>
    <w:lvl w:ilvl="2" w:tplc="0409001B">
      <w:start w:val="1"/>
      <w:numFmt w:val="lowerRoman"/>
      <w:lvlText w:val="%3."/>
      <w:lvlJc w:val="right"/>
      <w:pPr>
        <w:ind w:left="2880" w:hanging="180"/>
      </w:pPr>
    </w:lvl>
    <w:lvl w:ilvl="3" w:tplc="F1DE69E0">
      <w:start w:val="1"/>
      <w:numFmt w:val="decimal"/>
      <w:lvlText w:val="%4."/>
      <w:lvlJc w:val="left"/>
      <w:pPr>
        <w:ind w:left="3600" w:hanging="360"/>
      </w:pPr>
      <w:rPr>
        <w:rFonts w:ascii="Times New Roman" w:eastAsia="Times New Roman" w:hAnsi="Times New Roman"/>
        <w:i w:val="0"/>
        <w:iCs w:val="0"/>
      </w:rPr>
    </w:lvl>
    <w:lvl w:ilvl="4" w:tplc="FFFFFFFF">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cs="Symbol" w:hint="default"/>
      </w:rPr>
    </w:lvl>
    <w:lvl w:ilvl="1" w:tplc="E3FE1308">
      <w:start w:val="1"/>
      <w:numFmt w:val="bullet"/>
      <w:lvlText w:val="o"/>
      <w:lvlJc w:val="left"/>
      <w:pPr>
        <w:tabs>
          <w:tab w:val="num" w:pos="1440"/>
        </w:tabs>
        <w:ind w:left="1440" w:hanging="360"/>
      </w:pPr>
      <w:rPr>
        <w:rFonts w:ascii="Courier New" w:hAnsi="Courier New" w:cs="Courier New" w:hint="default"/>
      </w:rPr>
    </w:lvl>
    <w:lvl w:ilvl="2" w:tplc="12162BAC">
      <w:start w:val="1"/>
      <w:numFmt w:val="bullet"/>
      <w:lvlText w:val=""/>
      <w:lvlJc w:val="left"/>
      <w:pPr>
        <w:tabs>
          <w:tab w:val="num" w:pos="2160"/>
        </w:tabs>
        <w:ind w:left="2160" w:hanging="360"/>
      </w:pPr>
      <w:rPr>
        <w:rFonts w:ascii="Wingdings" w:hAnsi="Wingdings" w:cs="Wingdings" w:hint="default"/>
      </w:rPr>
    </w:lvl>
    <w:lvl w:ilvl="3" w:tplc="0409000F">
      <w:start w:val="1"/>
      <w:numFmt w:val="bullet"/>
      <w:lvlText w:val=""/>
      <w:lvlJc w:val="left"/>
      <w:pPr>
        <w:tabs>
          <w:tab w:val="num" w:pos="2880"/>
        </w:tabs>
        <w:ind w:left="2880" w:hanging="360"/>
      </w:pPr>
      <w:rPr>
        <w:rFonts w:ascii="Symbol" w:hAnsi="Symbol" w:cs="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cs="Wingdings" w:hint="default"/>
      </w:rPr>
    </w:lvl>
    <w:lvl w:ilvl="6" w:tplc="0409000F">
      <w:start w:val="1"/>
      <w:numFmt w:val="bullet"/>
      <w:lvlText w:val=""/>
      <w:lvlJc w:val="left"/>
      <w:pPr>
        <w:tabs>
          <w:tab w:val="num" w:pos="5040"/>
        </w:tabs>
        <w:ind w:left="5040" w:hanging="360"/>
      </w:pPr>
      <w:rPr>
        <w:rFonts w:ascii="Symbol" w:hAnsi="Symbol" w:cs="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cs="Wingdings" w:hint="default"/>
      </w:rPr>
    </w:lvl>
  </w:abstractNum>
  <w:abstractNum w:abstractNumId="21">
    <w:nsid w:val="7147055F"/>
    <w:multiLevelType w:val="hybridMultilevel"/>
    <w:tmpl w:val="740C673E"/>
    <w:lvl w:ilvl="0" w:tplc="C358B9DC">
      <w:start w:val="1"/>
      <w:numFmt w:val="lowerLetter"/>
      <w:lvlText w:val="%1)"/>
      <w:lvlJc w:val="left"/>
      <w:pPr>
        <w:tabs>
          <w:tab w:val="num" w:pos="349"/>
        </w:tabs>
        <w:ind w:left="1069" w:hanging="360"/>
      </w:pPr>
      <w:rPr>
        <w:rFonts w:hint="default"/>
      </w:rPr>
    </w:lvl>
    <w:lvl w:ilvl="1" w:tplc="04090019">
      <w:start w:val="1"/>
      <w:numFmt w:val="lowerLetter"/>
      <w:lvlText w:val="%2."/>
      <w:lvlJc w:val="left"/>
      <w:pPr>
        <w:tabs>
          <w:tab w:val="num" w:pos="2149"/>
        </w:tabs>
        <w:ind w:left="2149" w:hanging="360"/>
      </w:pPr>
    </w:lvl>
    <w:lvl w:ilvl="2" w:tplc="0409001B">
      <w:start w:val="1"/>
      <w:numFmt w:val="lowerRoman"/>
      <w:lvlText w:val="%3."/>
      <w:lvlJc w:val="right"/>
      <w:pPr>
        <w:tabs>
          <w:tab w:val="num" w:pos="2869"/>
        </w:tabs>
        <w:ind w:left="2869" w:hanging="180"/>
      </w:pPr>
    </w:lvl>
    <w:lvl w:ilvl="3" w:tplc="0409000F">
      <w:start w:val="1"/>
      <w:numFmt w:val="decimal"/>
      <w:lvlText w:val="%4."/>
      <w:lvlJc w:val="left"/>
      <w:pPr>
        <w:tabs>
          <w:tab w:val="num" w:pos="3589"/>
        </w:tabs>
        <w:ind w:left="3589" w:hanging="360"/>
      </w:pPr>
    </w:lvl>
    <w:lvl w:ilvl="4" w:tplc="04090019">
      <w:start w:val="1"/>
      <w:numFmt w:val="lowerLetter"/>
      <w:lvlText w:val="%5."/>
      <w:lvlJc w:val="left"/>
      <w:pPr>
        <w:tabs>
          <w:tab w:val="num" w:pos="4309"/>
        </w:tabs>
        <w:ind w:left="4309" w:hanging="360"/>
      </w:pPr>
    </w:lvl>
    <w:lvl w:ilvl="5" w:tplc="0409001B">
      <w:start w:val="1"/>
      <w:numFmt w:val="lowerRoman"/>
      <w:lvlText w:val="%6."/>
      <w:lvlJc w:val="right"/>
      <w:pPr>
        <w:tabs>
          <w:tab w:val="num" w:pos="5029"/>
        </w:tabs>
        <w:ind w:left="5029" w:hanging="180"/>
      </w:pPr>
    </w:lvl>
    <w:lvl w:ilvl="6" w:tplc="0409000F">
      <w:start w:val="1"/>
      <w:numFmt w:val="decimal"/>
      <w:lvlText w:val="%7."/>
      <w:lvlJc w:val="left"/>
      <w:pPr>
        <w:tabs>
          <w:tab w:val="num" w:pos="5749"/>
        </w:tabs>
        <w:ind w:left="5749" w:hanging="360"/>
      </w:pPr>
    </w:lvl>
    <w:lvl w:ilvl="7" w:tplc="04090019">
      <w:start w:val="1"/>
      <w:numFmt w:val="lowerLetter"/>
      <w:lvlText w:val="%8."/>
      <w:lvlJc w:val="left"/>
      <w:pPr>
        <w:tabs>
          <w:tab w:val="num" w:pos="6469"/>
        </w:tabs>
        <w:ind w:left="6469" w:hanging="360"/>
      </w:pPr>
    </w:lvl>
    <w:lvl w:ilvl="8" w:tplc="0409001B">
      <w:start w:val="1"/>
      <w:numFmt w:val="lowerRoman"/>
      <w:lvlText w:val="%9."/>
      <w:lvlJc w:val="right"/>
      <w:pPr>
        <w:tabs>
          <w:tab w:val="num" w:pos="7189"/>
        </w:tabs>
        <w:ind w:left="7189" w:hanging="180"/>
      </w:pPr>
    </w:lvl>
  </w:abstractNum>
  <w:abstractNum w:abstractNumId="22">
    <w:nsid w:val="7482653F"/>
    <w:multiLevelType w:val="multilevel"/>
    <w:tmpl w:val="027E1BFC"/>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75174CDC"/>
    <w:multiLevelType w:val="hybridMultilevel"/>
    <w:tmpl w:val="C59A535A"/>
    <w:lvl w:ilvl="0" w:tplc="C358B9DC">
      <w:start w:val="1"/>
      <w:numFmt w:val="lowerLetter"/>
      <w:lvlText w:val="%1)"/>
      <w:lvlJc w:val="left"/>
      <w:pPr>
        <w:tabs>
          <w:tab w:val="num" w:pos="349"/>
        </w:tabs>
        <w:ind w:left="1069" w:hanging="360"/>
      </w:pPr>
      <w:rPr>
        <w:rFonts w:hint="default"/>
      </w:rPr>
    </w:lvl>
    <w:lvl w:ilvl="1" w:tplc="04090019">
      <w:start w:val="1"/>
      <w:numFmt w:val="lowerLetter"/>
      <w:lvlText w:val="%2."/>
      <w:lvlJc w:val="left"/>
      <w:pPr>
        <w:tabs>
          <w:tab w:val="num" w:pos="2149"/>
        </w:tabs>
        <w:ind w:left="2149" w:hanging="360"/>
      </w:pPr>
    </w:lvl>
    <w:lvl w:ilvl="2" w:tplc="0409001B">
      <w:start w:val="1"/>
      <w:numFmt w:val="lowerRoman"/>
      <w:lvlText w:val="%3."/>
      <w:lvlJc w:val="right"/>
      <w:pPr>
        <w:tabs>
          <w:tab w:val="num" w:pos="2869"/>
        </w:tabs>
        <w:ind w:left="2869" w:hanging="180"/>
      </w:pPr>
    </w:lvl>
    <w:lvl w:ilvl="3" w:tplc="0409000F">
      <w:start w:val="1"/>
      <w:numFmt w:val="decimal"/>
      <w:lvlText w:val="%4."/>
      <w:lvlJc w:val="left"/>
      <w:pPr>
        <w:tabs>
          <w:tab w:val="num" w:pos="3589"/>
        </w:tabs>
        <w:ind w:left="3589" w:hanging="360"/>
      </w:pPr>
    </w:lvl>
    <w:lvl w:ilvl="4" w:tplc="04090019">
      <w:start w:val="1"/>
      <w:numFmt w:val="lowerLetter"/>
      <w:lvlText w:val="%5."/>
      <w:lvlJc w:val="left"/>
      <w:pPr>
        <w:tabs>
          <w:tab w:val="num" w:pos="4309"/>
        </w:tabs>
        <w:ind w:left="4309" w:hanging="360"/>
      </w:pPr>
    </w:lvl>
    <w:lvl w:ilvl="5" w:tplc="0409001B">
      <w:start w:val="1"/>
      <w:numFmt w:val="lowerRoman"/>
      <w:lvlText w:val="%6."/>
      <w:lvlJc w:val="right"/>
      <w:pPr>
        <w:tabs>
          <w:tab w:val="num" w:pos="5029"/>
        </w:tabs>
        <w:ind w:left="5029" w:hanging="180"/>
      </w:pPr>
    </w:lvl>
    <w:lvl w:ilvl="6" w:tplc="0409000F">
      <w:start w:val="1"/>
      <w:numFmt w:val="decimal"/>
      <w:lvlText w:val="%7."/>
      <w:lvlJc w:val="left"/>
      <w:pPr>
        <w:tabs>
          <w:tab w:val="num" w:pos="5749"/>
        </w:tabs>
        <w:ind w:left="5749" w:hanging="360"/>
      </w:pPr>
    </w:lvl>
    <w:lvl w:ilvl="7" w:tplc="04090019">
      <w:start w:val="1"/>
      <w:numFmt w:val="lowerLetter"/>
      <w:lvlText w:val="%8."/>
      <w:lvlJc w:val="left"/>
      <w:pPr>
        <w:tabs>
          <w:tab w:val="num" w:pos="6469"/>
        </w:tabs>
        <w:ind w:left="6469" w:hanging="360"/>
      </w:pPr>
    </w:lvl>
    <w:lvl w:ilvl="8" w:tplc="0409001B">
      <w:start w:val="1"/>
      <w:numFmt w:val="lowerRoman"/>
      <w:lvlText w:val="%9."/>
      <w:lvlJc w:val="right"/>
      <w:pPr>
        <w:tabs>
          <w:tab w:val="num" w:pos="7189"/>
        </w:tabs>
        <w:ind w:left="7189" w:hanging="180"/>
      </w:pPr>
    </w:lvl>
  </w:abstractNum>
  <w:abstractNum w:abstractNumId="24">
    <w:nsid w:val="7BA25244"/>
    <w:multiLevelType w:val="hybridMultilevel"/>
    <w:tmpl w:val="5DF63494"/>
    <w:lvl w:ilvl="0" w:tplc="C3C02392">
      <w:start w:val="2"/>
      <w:numFmt w:val="decimal"/>
      <w:lvlText w:val="%1."/>
      <w:lvlJc w:val="left"/>
      <w:pPr>
        <w:ind w:left="1440" w:hanging="360"/>
      </w:pPr>
      <w:rPr>
        <w:rFonts w:hint="default"/>
        <w:sz w:val="22"/>
        <w:szCs w:val="22"/>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5">
    <w:nsid w:val="7CB32D6A"/>
    <w:multiLevelType w:val="hybridMultilevel"/>
    <w:tmpl w:val="0B88C218"/>
    <w:lvl w:ilvl="0" w:tplc="B6CAFE10">
      <w:start w:val="1"/>
      <w:numFmt w:val="lowerLetter"/>
      <w:lvlText w:val="(%1)"/>
      <w:lvlJc w:val="left"/>
      <w:pPr>
        <w:ind w:left="720" w:hanging="360"/>
      </w:pPr>
      <w:rPr>
        <w:rFonts w:ascii="Times New Roman" w:hAnsi="Times New Roman" w:cs="Times New Roman" w:hint="default"/>
        <w:sz w:val="22"/>
        <w:szCs w:val="22"/>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num w:numId="1">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0"/>
  </w:num>
  <w:num w:numId="5">
    <w:abstractNumId w:val="22"/>
  </w:num>
  <w:num w:numId="6">
    <w:abstractNumId w:val="20"/>
  </w:num>
  <w:num w:numId="7">
    <w:abstractNumId w:val="7"/>
  </w:num>
  <w:num w:numId="8">
    <w:abstractNumId w:val="15"/>
  </w:num>
  <w:num w:numId="9">
    <w:abstractNumId w:val="12"/>
  </w:num>
  <w:num w:numId="10">
    <w:abstractNumId w:val="19"/>
  </w:num>
  <w:num w:numId="11">
    <w:abstractNumId w:val="2"/>
  </w:num>
  <w:num w:numId="12">
    <w:abstractNumId w:val="11"/>
  </w:num>
  <w:num w:numId="13">
    <w:abstractNumId w:val="16"/>
  </w:num>
  <w:num w:numId="14">
    <w:abstractNumId w:val="17"/>
  </w:num>
  <w:num w:numId="15">
    <w:abstractNumId w:val="5"/>
  </w:num>
  <w:num w:numId="16">
    <w:abstractNumId w:val="8"/>
  </w:num>
  <w:num w:numId="17">
    <w:abstractNumId w:val="0"/>
  </w:num>
  <w:num w:numId="18">
    <w:abstractNumId w:val="24"/>
  </w:num>
  <w:num w:numId="19">
    <w:abstractNumId w:val="14"/>
  </w:num>
  <w:num w:numId="20">
    <w:abstractNumId w:val="13"/>
  </w:num>
  <w:num w:numId="21">
    <w:abstractNumId w:val="1"/>
  </w:num>
  <w:num w:numId="22">
    <w:abstractNumId w:val="6"/>
  </w:num>
  <w:num w:numId="23">
    <w:abstractNumId w:val="21"/>
  </w:num>
  <w:num w:numId="24">
    <w:abstractNumId w:val="4"/>
  </w:num>
  <w:num w:numId="25">
    <w:abstractNumId w:val="3"/>
  </w:num>
  <w:num w:numId="26">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06"/>
  <w:hyphenationZone w:val="425"/>
  <w:doNotHyphenateCaps/>
  <w:evenAndOddHeaders/>
  <w:characterSpacingControl w:val="doNotCompress"/>
  <w:doNotValidateAgainstSchema/>
  <w:doNotDemarcateInvalidXml/>
  <w:footnotePr>
    <w:footnote w:id="0"/>
    <w:footnote w:id="1"/>
  </w:footnotePr>
  <w:endnotePr>
    <w:endnote w:id="0"/>
    <w:endnote w:id="1"/>
  </w:endnotePr>
  <w:compat/>
  <w:rsids>
    <w:rsidRoot w:val="002051EE"/>
    <w:rsid w:val="0000135C"/>
    <w:rsid w:val="000056B6"/>
    <w:rsid w:val="000072B9"/>
    <w:rsid w:val="00012CD8"/>
    <w:rsid w:val="00024EF4"/>
    <w:rsid w:val="00025227"/>
    <w:rsid w:val="000277C6"/>
    <w:rsid w:val="00031D1C"/>
    <w:rsid w:val="000442D7"/>
    <w:rsid w:val="00044617"/>
    <w:rsid w:val="00057B27"/>
    <w:rsid w:val="00061978"/>
    <w:rsid w:val="00067AA5"/>
    <w:rsid w:val="00071083"/>
    <w:rsid w:val="00076196"/>
    <w:rsid w:val="00077570"/>
    <w:rsid w:val="00090B7D"/>
    <w:rsid w:val="000A0BD1"/>
    <w:rsid w:val="000B074E"/>
    <w:rsid w:val="000B71C9"/>
    <w:rsid w:val="000C2544"/>
    <w:rsid w:val="000C37B0"/>
    <w:rsid w:val="000C590A"/>
    <w:rsid w:val="000C59D6"/>
    <w:rsid w:val="000E5FB9"/>
    <w:rsid w:val="000F6BA8"/>
    <w:rsid w:val="000F7C9C"/>
    <w:rsid w:val="00101221"/>
    <w:rsid w:val="00101831"/>
    <w:rsid w:val="00103B58"/>
    <w:rsid w:val="0011218B"/>
    <w:rsid w:val="00123AB2"/>
    <w:rsid w:val="00124DD4"/>
    <w:rsid w:val="00134718"/>
    <w:rsid w:val="00134AE0"/>
    <w:rsid w:val="001355F5"/>
    <w:rsid w:val="0014038C"/>
    <w:rsid w:val="00142069"/>
    <w:rsid w:val="00163154"/>
    <w:rsid w:val="00166C1F"/>
    <w:rsid w:val="00166E08"/>
    <w:rsid w:val="00173A17"/>
    <w:rsid w:val="00176305"/>
    <w:rsid w:val="001778F6"/>
    <w:rsid w:val="00182122"/>
    <w:rsid w:val="00182DF0"/>
    <w:rsid w:val="00187A39"/>
    <w:rsid w:val="00192E4D"/>
    <w:rsid w:val="00195372"/>
    <w:rsid w:val="00195595"/>
    <w:rsid w:val="001A0FE8"/>
    <w:rsid w:val="001A5E6B"/>
    <w:rsid w:val="001A6895"/>
    <w:rsid w:val="001E390C"/>
    <w:rsid w:val="001F0FA0"/>
    <w:rsid w:val="001F354B"/>
    <w:rsid w:val="001F672B"/>
    <w:rsid w:val="00201F9A"/>
    <w:rsid w:val="002030BF"/>
    <w:rsid w:val="002051EE"/>
    <w:rsid w:val="00215ACF"/>
    <w:rsid w:val="00215F2E"/>
    <w:rsid w:val="00235146"/>
    <w:rsid w:val="00235DE6"/>
    <w:rsid w:val="00235E3C"/>
    <w:rsid w:val="002417EB"/>
    <w:rsid w:val="00257B53"/>
    <w:rsid w:val="002606CF"/>
    <w:rsid w:val="0027360A"/>
    <w:rsid w:val="00273860"/>
    <w:rsid w:val="00275836"/>
    <w:rsid w:val="002841AF"/>
    <w:rsid w:val="00285E2A"/>
    <w:rsid w:val="002A26E2"/>
    <w:rsid w:val="002A68E5"/>
    <w:rsid w:val="002B2364"/>
    <w:rsid w:val="002B73E8"/>
    <w:rsid w:val="002C048E"/>
    <w:rsid w:val="002D7653"/>
    <w:rsid w:val="002F15CE"/>
    <w:rsid w:val="002F74A9"/>
    <w:rsid w:val="00302129"/>
    <w:rsid w:val="00302D6A"/>
    <w:rsid w:val="003041A8"/>
    <w:rsid w:val="00307D7C"/>
    <w:rsid w:val="003144C6"/>
    <w:rsid w:val="003218D5"/>
    <w:rsid w:val="00325B5E"/>
    <w:rsid w:val="00332A5A"/>
    <w:rsid w:val="00335974"/>
    <w:rsid w:val="00340E9C"/>
    <w:rsid w:val="003676D6"/>
    <w:rsid w:val="00375C5D"/>
    <w:rsid w:val="00376CA7"/>
    <w:rsid w:val="0039216C"/>
    <w:rsid w:val="00395258"/>
    <w:rsid w:val="003A074F"/>
    <w:rsid w:val="003A549F"/>
    <w:rsid w:val="003B1008"/>
    <w:rsid w:val="003C07B3"/>
    <w:rsid w:val="003C1FA9"/>
    <w:rsid w:val="003C2C14"/>
    <w:rsid w:val="003D376C"/>
    <w:rsid w:val="003D4C2D"/>
    <w:rsid w:val="003E564C"/>
    <w:rsid w:val="003E77E1"/>
    <w:rsid w:val="003F51B7"/>
    <w:rsid w:val="003F5D28"/>
    <w:rsid w:val="0041496A"/>
    <w:rsid w:val="00423BBA"/>
    <w:rsid w:val="00426F82"/>
    <w:rsid w:val="00430175"/>
    <w:rsid w:val="00430944"/>
    <w:rsid w:val="00432655"/>
    <w:rsid w:val="0044239E"/>
    <w:rsid w:val="0044311D"/>
    <w:rsid w:val="00447B19"/>
    <w:rsid w:val="00456101"/>
    <w:rsid w:val="00474843"/>
    <w:rsid w:val="00476E3D"/>
    <w:rsid w:val="004846C9"/>
    <w:rsid w:val="00485427"/>
    <w:rsid w:val="0049635E"/>
    <w:rsid w:val="004C10F3"/>
    <w:rsid w:val="004D13D3"/>
    <w:rsid w:val="004D524A"/>
    <w:rsid w:val="004E0147"/>
    <w:rsid w:val="004E13A3"/>
    <w:rsid w:val="004E509C"/>
    <w:rsid w:val="004F3880"/>
    <w:rsid w:val="004F5E04"/>
    <w:rsid w:val="005133A5"/>
    <w:rsid w:val="00515DD8"/>
    <w:rsid w:val="00516403"/>
    <w:rsid w:val="005310BB"/>
    <w:rsid w:val="005379AB"/>
    <w:rsid w:val="00541F57"/>
    <w:rsid w:val="0054526A"/>
    <w:rsid w:val="005617F7"/>
    <w:rsid w:val="005700D3"/>
    <w:rsid w:val="00590007"/>
    <w:rsid w:val="00591A5F"/>
    <w:rsid w:val="005A267A"/>
    <w:rsid w:val="005A422F"/>
    <w:rsid w:val="005A6B6E"/>
    <w:rsid w:val="005B4255"/>
    <w:rsid w:val="005B5CA9"/>
    <w:rsid w:val="005D5C19"/>
    <w:rsid w:val="005D7574"/>
    <w:rsid w:val="005D7DF1"/>
    <w:rsid w:val="005E0779"/>
    <w:rsid w:val="005E07C8"/>
    <w:rsid w:val="005E27AB"/>
    <w:rsid w:val="005F3955"/>
    <w:rsid w:val="00611C91"/>
    <w:rsid w:val="0061336B"/>
    <w:rsid w:val="0062024D"/>
    <w:rsid w:val="00632F74"/>
    <w:rsid w:val="006336D6"/>
    <w:rsid w:val="00640B10"/>
    <w:rsid w:val="006622EE"/>
    <w:rsid w:val="00681EEE"/>
    <w:rsid w:val="00681F3B"/>
    <w:rsid w:val="00687F83"/>
    <w:rsid w:val="00691ADD"/>
    <w:rsid w:val="006A760C"/>
    <w:rsid w:val="006B0FE5"/>
    <w:rsid w:val="006B73A7"/>
    <w:rsid w:val="006C2948"/>
    <w:rsid w:val="006C385E"/>
    <w:rsid w:val="006D575B"/>
    <w:rsid w:val="006E0799"/>
    <w:rsid w:val="006E59AA"/>
    <w:rsid w:val="006F53E2"/>
    <w:rsid w:val="00712B1F"/>
    <w:rsid w:val="007212BA"/>
    <w:rsid w:val="00741229"/>
    <w:rsid w:val="007421BA"/>
    <w:rsid w:val="007444DB"/>
    <w:rsid w:val="0074636B"/>
    <w:rsid w:val="0074653E"/>
    <w:rsid w:val="007523C2"/>
    <w:rsid w:val="007541BA"/>
    <w:rsid w:val="00757892"/>
    <w:rsid w:val="0077061B"/>
    <w:rsid w:val="00775AE2"/>
    <w:rsid w:val="00781304"/>
    <w:rsid w:val="00783619"/>
    <w:rsid w:val="007838D6"/>
    <w:rsid w:val="00793AC6"/>
    <w:rsid w:val="007976F5"/>
    <w:rsid w:val="007A0C49"/>
    <w:rsid w:val="007B7981"/>
    <w:rsid w:val="007C1D78"/>
    <w:rsid w:val="007C3461"/>
    <w:rsid w:val="007D2577"/>
    <w:rsid w:val="007D2E2E"/>
    <w:rsid w:val="007E17F1"/>
    <w:rsid w:val="007E6236"/>
    <w:rsid w:val="007F0258"/>
    <w:rsid w:val="0080699B"/>
    <w:rsid w:val="00826ACE"/>
    <w:rsid w:val="00836FEA"/>
    <w:rsid w:val="00866921"/>
    <w:rsid w:val="008701BC"/>
    <w:rsid w:val="008754BE"/>
    <w:rsid w:val="00876EF9"/>
    <w:rsid w:val="00877864"/>
    <w:rsid w:val="0088165C"/>
    <w:rsid w:val="00886C18"/>
    <w:rsid w:val="00892552"/>
    <w:rsid w:val="00893EEB"/>
    <w:rsid w:val="008A4B8B"/>
    <w:rsid w:val="008A5C0D"/>
    <w:rsid w:val="008B25F9"/>
    <w:rsid w:val="008B4F7E"/>
    <w:rsid w:val="008B7E9B"/>
    <w:rsid w:val="008E0992"/>
    <w:rsid w:val="008E40C9"/>
    <w:rsid w:val="008E78DD"/>
    <w:rsid w:val="008F5A9F"/>
    <w:rsid w:val="00907ADD"/>
    <w:rsid w:val="009148CE"/>
    <w:rsid w:val="0091590D"/>
    <w:rsid w:val="009177D4"/>
    <w:rsid w:val="009235FA"/>
    <w:rsid w:val="009255E6"/>
    <w:rsid w:val="009331A7"/>
    <w:rsid w:val="00933ADF"/>
    <w:rsid w:val="00934B87"/>
    <w:rsid w:val="009425E4"/>
    <w:rsid w:val="00952E1D"/>
    <w:rsid w:val="00954B1B"/>
    <w:rsid w:val="00955508"/>
    <w:rsid w:val="009621CC"/>
    <w:rsid w:val="00964293"/>
    <w:rsid w:val="0096606C"/>
    <w:rsid w:val="009732B9"/>
    <w:rsid w:val="00974E40"/>
    <w:rsid w:val="00975B05"/>
    <w:rsid w:val="00977A5F"/>
    <w:rsid w:val="00977D78"/>
    <w:rsid w:val="0098017C"/>
    <w:rsid w:val="00981E31"/>
    <w:rsid w:val="009825DC"/>
    <w:rsid w:val="00986ECC"/>
    <w:rsid w:val="00992AF1"/>
    <w:rsid w:val="009A12C0"/>
    <w:rsid w:val="009A2049"/>
    <w:rsid w:val="009A47AC"/>
    <w:rsid w:val="009B089B"/>
    <w:rsid w:val="009B09DA"/>
    <w:rsid w:val="009B5ABE"/>
    <w:rsid w:val="009B7A7A"/>
    <w:rsid w:val="009C4ADD"/>
    <w:rsid w:val="009C5EE2"/>
    <w:rsid w:val="009C684D"/>
    <w:rsid w:val="009D2626"/>
    <w:rsid w:val="009F0B17"/>
    <w:rsid w:val="00A01987"/>
    <w:rsid w:val="00A152FF"/>
    <w:rsid w:val="00A15BF6"/>
    <w:rsid w:val="00A33EF6"/>
    <w:rsid w:val="00A34B7B"/>
    <w:rsid w:val="00A35645"/>
    <w:rsid w:val="00A44BF4"/>
    <w:rsid w:val="00A44FDA"/>
    <w:rsid w:val="00A61E23"/>
    <w:rsid w:val="00A667EA"/>
    <w:rsid w:val="00A71799"/>
    <w:rsid w:val="00A72170"/>
    <w:rsid w:val="00A85E63"/>
    <w:rsid w:val="00A91217"/>
    <w:rsid w:val="00AA4693"/>
    <w:rsid w:val="00AB2C64"/>
    <w:rsid w:val="00AB5C4A"/>
    <w:rsid w:val="00AC3929"/>
    <w:rsid w:val="00AD0113"/>
    <w:rsid w:val="00AD0122"/>
    <w:rsid w:val="00AD7D02"/>
    <w:rsid w:val="00AF228B"/>
    <w:rsid w:val="00AF5963"/>
    <w:rsid w:val="00B0151B"/>
    <w:rsid w:val="00B034F7"/>
    <w:rsid w:val="00B03758"/>
    <w:rsid w:val="00B05A67"/>
    <w:rsid w:val="00B11A67"/>
    <w:rsid w:val="00B126BB"/>
    <w:rsid w:val="00B14605"/>
    <w:rsid w:val="00B27B26"/>
    <w:rsid w:val="00B3200D"/>
    <w:rsid w:val="00B366CA"/>
    <w:rsid w:val="00B37FA7"/>
    <w:rsid w:val="00B4458A"/>
    <w:rsid w:val="00B60D15"/>
    <w:rsid w:val="00B66477"/>
    <w:rsid w:val="00B779ED"/>
    <w:rsid w:val="00B77D41"/>
    <w:rsid w:val="00B833EC"/>
    <w:rsid w:val="00B8490F"/>
    <w:rsid w:val="00BA431A"/>
    <w:rsid w:val="00BA58FF"/>
    <w:rsid w:val="00BB1ED3"/>
    <w:rsid w:val="00BB1F46"/>
    <w:rsid w:val="00BB4645"/>
    <w:rsid w:val="00BB5D0A"/>
    <w:rsid w:val="00BC32BA"/>
    <w:rsid w:val="00BC6D04"/>
    <w:rsid w:val="00BD136B"/>
    <w:rsid w:val="00BD2B21"/>
    <w:rsid w:val="00BD3EF9"/>
    <w:rsid w:val="00BD6098"/>
    <w:rsid w:val="00BE530F"/>
    <w:rsid w:val="00BE5555"/>
    <w:rsid w:val="00BE5F0B"/>
    <w:rsid w:val="00C15CB1"/>
    <w:rsid w:val="00C202C7"/>
    <w:rsid w:val="00C22049"/>
    <w:rsid w:val="00C25352"/>
    <w:rsid w:val="00C45059"/>
    <w:rsid w:val="00C51BBE"/>
    <w:rsid w:val="00C526D7"/>
    <w:rsid w:val="00C63D67"/>
    <w:rsid w:val="00C66788"/>
    <w:rsid w:val="00C73F4F"/>
    <w:rsid w:val="00C7544D"/>
    <w:rsid w:val="00C83416"/>
    <w:rsid w:val="00CB3C36"/>
    <w:rsid w:val="00CC2C65"/>
    <w:rsid w:val="00CC6776"/>
    <w:rsid w:val="00CD4230"/>
    <w:rsid w:val="00CD67F8"/>
    <w:rsid w:val="00CD6F19"/>
    <w:rsid w:val="00CE15CA"/>
    <w:rsid w:val="00CE7335"/>
    <w:rsid w:val="00CF6828"/>
    <w:rsid w:val="00D063C1"/>
    <w:rsid w:val="00D10482"/>
    <w:rsid w:val="00D246F0"/>
    <w:rsid w:val="00D24BA6"/>
    <w:rsid w:val="00D26988"/>
    <w:rsid w:val="00D31C98"/>
    <w:rsid w:val="00D33359"/>
    <w:rsid w:val="00D400E7"/>
    <w:rsid w:val="00D4410D"/>
    <w:rsid w:val="00D5210C"/>
    <w:rsid w:val="00D53ADE"/>
    <w:rsid w:val="00D66EA0"/>
    <w:rsid w:val="00D76D74"/>
    <w:rsid w:val="00D82AAF"/>
    <w:rsid w:val="00DA1B05"/>
    <w:rsid w:val="00DA636B"/>
    <w:rsid w:val="00DA6699"/>
    <w:rsid w:val="00DB4E98"/>
    <w:rsid w:val="00DC0711"/>
    <w:rsid w:val="00DF1D9F"/>
    <w:rsid w:val="00DF6C59"/>
    <w:rsid w:val="00E011F8"/>
    <w:rsid w:val="00E06EB6"/>
    <w:rsid w:val="00E137EE"/>
    <w:rsid w:val="00E161A4"/>
    <w:rsid w:val="00E17945"/>
    <w:rsid w:val="00E21815"/>
    <w:rsid w:val="00E23D3E"/>
    <w:rsid w:val="00E37162"/>
    <w:rsid w:val="00E37839"/>
    <w:rsid w:val="00E5186A"/>
    <w:rsid w:val="00E52E72"/>
    <w:rsid w:val="00E54B3D"/>
    <w:rsid w:val="00E66B72"/>
    <w:rsid w:val="00E70C08"/>
    <w:rsid w:val="00E736E3"/>
    <w:rsid w:val="00E73A20"/>
    <w:rsid w:val="00E82F2E"/>
    <w:rsid w:val="00E84032"/>
    <w:rsid w:val="00E843D5"/>
    <w:rsid w:val="00E858D2"/>
    <w:rsid w:val="00E94447"/>
    <w:rsid w:val="00EB3538"/>
    <w:rsid w:val="00EB41DA"/>
    <w:rsid w:val="00EC24F6"/>
    <w:rsid w:val="00ED0C98"/>
    <w:rsid w:val="00EE5EC8"/>
    <w:rsid w:val="00EF359E"/>
    <w:rsid w:val="00EF7123"/>
    <w:rsid w:val="00F0037D"/>
    <w:rsid w:val="00F1350F"/>
    <w:rsid w:val="00F154F5"/>
    <w:rsid w:val="00F21387"/>
    <w:rsid w:val="00F21EE9"/>
    <w:rsid w:val="00F23A7C"/>
    <w:rsid w:val="00F253FA"/>
    <w:rsid w:val="00F27524"/>
    <w:rsid w:val="00F36024"/>
    <w:rsid w:val="00F41040"/>
    <w:rsid w:val="00F42356"/>
    <w:rsid w:val="00F51FCC"/>
    <w:rsid w:val="00F533BA"/>
    <w:rsid w:val="00F54003"/>
    <w:rsid w:val="00F60E6A"/>
    <w:rsid w:val="00F75123"/>
    <w:rsid w:val="00FE4477"/>
    <w:rsid w:val="00FF3B08"/>
    <w:rsid w:val="483A1F68"/>
    <w:rsid w:val="63D90E7F"/>
    <w:rsid w:val="717B2E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Courier New"/>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annotation text" w:locked="1"/>
    <w:lsdException w:name="header" w:locked="1"/>
    <w:lsdException w:name="footer" w:locked="1"/>
    <w:lsdException w:name="caption" w:locked="1" w:qFormat="1"/>
    <w:lsdException w:name="footnote reference" w:locked="1"/>
    <w:lsdException w:name="annotation reference" w:locked="1"/>
    <w:lsdException w:name="page number" w:locked="1"/>
    <w:lsdException w:name="endnote reference" w:locked="1"/>
    <w:lsdException w:name="endnote text" w:locked="1"/>
    <w:lsdException w:name="toa heading" w:locked="1"/>
    <w:lsdException w:name="Title" w:locked="1" w:qFormat="1"/>
    <w:lsdException w:name="Default Paragraph Font" w:locked="1"/>
    <w:lsdException w:name="Body Text" w:locked="1"/>
    <w:lsdException w:name="Body Text Indent" w:locked="1"/>
    <w:lsdException w:name="Subtitle" w:locked="1" w:qFormat="1"/>
    <w:lsdException w:name="Hyperlink" w:locked="1"/>
    <w:lsdException w:name="FollowedHyperlink" w:locked="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link w:val="Heading8Char"/>
    <w:qFormat/>
    <w:pPr>
      <w:jc w:val="both"/>
    </w:pPr>
    <w:rPr>
      <w:rFonts w:eastAsia="等?" w:cs="Times New Roman"/>
      <w:snapToGrid w:val="0"/>
      <w:sz w:val="22"/>
      <w:szCs w:val="22"/>
      <w:lang w:val="en-GB" w:eastAsia="ko-KR"/>
    </w:rPr>
  </w:style>
  <w:style w:type="paragraph" w:styleId="Heading1">
    <w:name w:val="heading 1"/>
    <w:basedOn w:val="Normal"/>
    <w:next w:val="Heading2"/>
    <w:qFormat/>
    <w:pPr>
      <w:keepNext/>
      <w:tabs>
        <w:tab w:val="left" w:pos="720"/>
      </w:tabs>
      <w:spacing w:before="240" w:after="120"/>
      <w:jc w:val="center"/>
      <w:outlineLvl w:val="0"/>
    </w:pPr>
    <w:rPr>
      <w:b/>
      <w:bCs/>
      <w:caps/>
    </w:rPr>
  </w:style>
  <w:style w:type="paragraph" w:styleId="Heading2">
    <w:name w:val="heading 2"/>
    <w:basedOn w:val="Normal"/>
    <w:next w:val="Normal"/>
    <w:qFormat/>
    <w:pPr>
      <w:keepNext/>
      <w:tabs>
        <w:tab w:val="left" w:pos="720"/>
      </w:tabs>
      <w:spacing w:before="120" w:after="120"/>
      <w:jc w:val="center"/>
      <w:outlineLvl w:val="1"/>
    </w:pPr>
    <w:rPr>
      <w:b/>
      <w:bCs/>
    </w:rPr>
  </w:style>
  <w:style w:type="paragraph" w:styleId="Heading3">
    <w:name w:val="heading 3"/>
    <w:basedOn w:val="Normal"/>
    <w:next w:val="Normal"/>
    <w:qFormat/>
    <w:pPr>
      <w:keepNext/>
      <w:tabs>
        <w:tab w:val="left" w:pos="567"/>
      </w:tabs>
      <w:spacing w:before="120" w:after="120"/>
      <w:jc w:val="center"/>
      <w:outlineLvl w:val="2"/>
    </w:pPr>
    <w:rPr>
      <w:i/>
      <w:iCs/>
    </w:rPr>
  </w:style>
  <w:style w:type="paragraph" w:styleId="Heading4">
    <w:name w:val="heading 4"/>
    <w:basedOn w:val="Normal"/>
    <w:qFormat/>
    <w:pPr>
      <w:keepNext/>
      <w:spacing w:before="120" w:after="120"/>
      <w:outlineLvl w:val="3"/>
    </w:pPr>
    <w:rPr>
      <w:rFonts w:eastAsia="Times New Roman"/>
      <w:b/>
      <w:bCs/>
      <w:i/>
      <w:iCs/>
    </w:rPr>
  </w:style>
  <w:style w:type="paragraph" w:styleId="Heading5">
    <w:name w:val="heading 5"/>
    <w:basedOn w:val="Normal"/>
    <w:next w:val="Normal"/>
    <w:qFormat/>
    <w:pPr>
      <w:keepNext/>
      <w:numPr>
        <w:ilvl w:val="4"/>
        <w:numId w:val="7"/>
      </w:numPr>
      <w:spacing w:before="120" w:after="120"/>
      <w:jc w:val="left"/>
      <w:outlineLvl w:val="4"/>
    </w:pPr>
    <w:rPr>
      <w:i/>
      <w:iCs/>
      <w:lang w:val="en-CA"/>
    </w:rPr>
  </w:style>
  <w:style w:type="paragraph" w:styleId="Heading6">
    <w:name w:val="heading 6"/>
    <w:basedOn w:val="Normal"/>
    <w:next w:val="Normal"/>
    <w:link w:val="Heading6Char1"/>
    <w:qFormat/>
    <w:pPr>
      <w:keepNext/>
      <w:spacing w:after="240" w:line="240" w:lineRule="exact"/>
      <w:ind w:left="720"/>
      <w:outlineLvl w:val="5"/>
    </w:pPr>
    <w:rPr>
      <w:u w:val="single"/>
    </w:rPr>
  </w:style>
  <w:style w:type="paragraph" w:styleId="Heading7">
    <w:name w:val="heading 7"/>
    <w:basedOn w:val="Normal"/>
    <w:next w:val="Normal"/>
    <w:link w:val="Heading7Char1"/>
    <w:qFormat/>
    <w:pPr>
      <w:keepNext/>
      <w:jc w:val="right"/>
      <w:outlineLvl w:val="6"/>
    </w:pPr>
    <w:rPr>
      <w:rFonts w:ascii="Univers" w:hAnsi="Univers" w:cs="Univers"/>
      <w:b/>
      <w:bCs/>
      <w:sz w:val="28"/>
      <w:szCs w:val="28"/>
    </w:rPr>
  </w:style>
  <w:style w:type="paragraph" w:styleId="Heading8">
    <w:name w:val="heading 8"/>
    <w:basedOn w:val="Normal"/>
    <w:next w:val="Normal"/>
    <w:qFormat/>
    <w:pPr>
      <w:keepNext/>
      <w:jc w:val="right"/>
      <w:outlineLvl w:val="7"/>
    </w:pPr>
    <w:rPr>
      <w:rFonts w:ascii="Univers" w:hAnsi="Univers" w:cs="Univers"/>
      <w:b/>
      <w:bCs/>
      <w:sz w:val="32"/>
      <w:szCs w:val="32"/>
    </w:rPr>
  </w:style>
  <w:style w:type="paragraph" w:styleId="Heading9">
    <w:name w:val="heading 9"/>
    <w:basedOn w:val="Normal"/>
    <w:next w:val="Normal"/>
    <w:qFormat/>
    <w:pPr>
      <w:keepNext/>
      <w:spacing w:before="100" w:beforeAutospacing="1" w:after="120"/>
      <w:outlineLvl w:val="8"/>
    </w:pPr>
    <w:rPr>
      <w:i/>
      <w:i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Paragraph">
    <w:name w:val="List Paragraph"/>
    <w:basedOn w:val="Normal"/>
    <w:qFormat/>
    <w:pPr>
      <w:ind w:left="720"/>
    </w:pPr>
    <w:rPr>
      <w:sz w:val="20"/>
      <w:szCs w:val="20"/>
    </w:rPr>
  </w:style>
  <w:style w:type="character" w:customStyle="1" w:styleId="normaltextrun">
    <w:name w:val="normaltextrun"/>
    <w:basedOn w:val="DefaultParagraphFont"/>
  </w:style>
  <w:style w:type="paragraph" w:customStyle="1" w:styleId="paragraph">
    <w:name w:val="paragraph"/>
    <w:basedOn w:val="Normal"/>
    <w:pPr>
      <w:spacing w:before="100" w:beforeAutospacing="1" w:after="100" w:afterAutospacing="1"/>
      <w:jc w:val="left"/>
    </w:pPr>
    <w:rPr>
      <w:sz w:val="24"/>
      <w:szCs w:val="24"/>
      <w:lang w:val="en-CA"/>
    </w:rPr>
  </w:style>
  <w:style w:type="character" w:customStyle="1" w:styleId="tabchar">
    <w:name w:val="tabchar"/>
    <w:basedOn w:val="DefaultParagraphFont"/>
  </w:style>
  <w:style w:type="character" w:customStyle="1" w:styleId="eop">
    <w:name w:val="eop"/>
    <w:basedOn w:val="DefaultParagraphFont"/>
  </w:style>
  <w:style w:type="character" w:styleId="PlaceholderText">
    <w:name w:val="Placeholder Text"/>
    <w:basedOn w:val="DefaultParagraphFont"/>
    <w:rPr>
      <w:color w:val="808080"/>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
    <w:basedOn w:val="DefaultParagraphFont"/>
    <w:locked/>
    <w:rPr>
      <w:rFonts w:ascii="Times New Roman" w:hAnsi="Times New Roman" w:cs="Times New Roman"/>
      <w:sz w:val="24"/>
      <w:szCs w:val="24"/>
      <w:lang w:val="en-GB"/>
    </w:rPr>
  </w:style>
  <w:style w:type="paragraph" w:styleId="FootnoteText">
    <w:name w:val="footnote text"/>
    <w:aliases w:val="Geneva 9,Font: Geneva 9,Boston 10,f,ft,Fotnotstext Char,ft Char,single space,FOOTNOTES,ADB,single space1,footnote text1,FOOTNOTES1,fn1,ADB1,single space2,footnote text2,FOOTNOTES2,fn2,ADB2,single space3,footnote text3,fn3,fn"/>
    <w:basedOn w:val="Normal"/>
    <w:semiHidden/>
    <w:pPr>
      <w:keepLines/>
      <w:spacing w:after="60"/>
      <w:ind w:firstLine="720"/>
    </w:pPr>
    <w:rPr>
      <w:sz w:val="18"/>
      <w:szCs w:val="18"/>
    </w:rPr>
  </w:style>
  <w:style w:type="character" w:customStyle="1" w:styleId="FootnoteTextChar1">
    <w:name w:val="Footnote Text Char1"/>
    <w:basedOn w:val="DefaultParagraphFont"/>
    <w:semiHidden/>
    <w:rPr>
      <w:rFonts w:ascii="Times New Roman" w:hAnsi="Times New Roman" w:cs="Times New Roman"/>
      <w:sz w:val="20"/>
      <w:szCs w:val="20"/>
      <w:lang w:val="en-GB"/>
    </w:rPr>
  </w:style>
  <w:style w:type="paragraph" w:customStyle="1" w:styleId="meetingname">
    <w:name w:val="meeting name"/>
    <w:basedOn w:val="Normal"/>
    <w:pPr>
      <w:ind w:left="142" w:right="4218" w:hanging="142"/>
    </w:pPr>
    <w:rPr>
      <w:caps/>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
    <w:basedOn w:val="DefaultParagraphFont"/>
    <w:semiHidden/>
    <w:locked/>
    <w:rPr>
      <w:sz w:val="24"/>
      <w:szCs w:val="24"/>
      <w:vertAlign w:val="superscript"/>
      <w:lang w:val="fr-CA"/>
    </w:rPr>
  </w:style>
  <w:style w:type="paragraph" w:customStyle="1" w:styleId="BVIfnrChar">
    <w:name w:val="BVI fnr Char"/>
    <w:aliases w:val="BVI fnr Car Car Char,BVI fnr Car Char,BVI fnr Car Car Car Car Char Char,BVI fnr Car Car Car Car Char,BVI fnr Car Car Car Char,BVI fnr Car Car Car Car Car Char"/>
    <w:basedOn w:val="Normal"/>
    <w:pPr>
      <w:spacing w:after="160" w:line="240" w:lineRule="exact"/>
      <w:jc w:val="left"/>
    </w:pPr>
    <w:rPr>
      <w:sz w:val="20"/>
      <w:szCs w:val="20"/>
      <w:vertAlign w:val="superscript"/>
      <w:lang w:val="fr-CA"/>
    </w:rPr>
  </w:style>
  <w:style w:type="character" w:customStyle="1" w:styleId="Heading1Char">
    <w:name w:val="Heading 1 Char"/>
    <w:basedOn w:val="DefaultParagraphFont"/>
    <w:locked/>
    <w:rPr>
      <w:rFonts w:ascii="Times New Roman" w:hAnsi="Times New Roman" w:cs="Times New Roman"/>
      <w:b/>
      <w:bCs/>
      <w:caps/>
      <w:sz w:val="24"/>
      <w:szCs w:val="24"/>
      <w:lang w:val="en-GB"/>
    </w:rPr>
  </w:style>
  <w:style w:type="character" w:customStyle="1" w:styleId="Heading2Char">
    <w:name w:val="Heading 2 Char"/>
    <w:basedOn w:val="DefaultParagraphFont"/>
    <w:locked/>
    <w:rPr>
      <w:rFonts w:ascii="Times New Roman" w:hAnsi="Times New Roman" w:cs="Times New Roman"/>
      <w:b/>
      <w:bCs/>
      <w:sz w:val="24"/>
      <w:szCs w:val="24"/>
      <w:lang w:val="en-GB"/>
    </w:rPr>
  </w:style>
  <w:style w:type="character" w:styleId="Hyperlink">
    <w:name w:val="Hyperlink"/>
    <w:basedOn w:val="DefaultParagraphFont"/>
    <w:rPr>
      <w:color w:val="0000FF"/>
      <w:sz w:val="18"/>
      <w:szCs w:val="18"/>
      <w:u w:val="single"/>
    </w:rPr>
  </w:style>
  <w:style w:type="character" w:customStyle="1" w:styleId="CommentTextChar1">
    <w:name w:val="Comment Text Char1"/>
    <w:basedOn w:val="DefaultParagraphFont"/>
    <w:link w:val="CommentText"/>
    <w:semiHidden/>
    <w:rPr>
      <w:color w:val="auto"/>
      <w:shd w:val="clear" w:color="auto" w:fill="auto"/>
    </w:rPr>
  </w:style>
  <w:style w:type="paragraph" w:styleId="BalloonText">
    <w:name w:val="Balloon Text"/>
    <w:basedOn w:val="Normal"/>
    <w:semiHidden/>
    <w:rPr>
      <w:sz w:val="18"/>
      <w:szCs w:val="18"/>
    </w:rPr>
  </w:style>
  <w:style w:type="character" w:customStyle="1" w:styleId="Heading7Char1">
    <w:name w:val="Heading 7 Char1"/>
    <w:basedOn w:val="DefaultParagraphFont"/>
    <w:link w:val="Heading7"/>
    <w:semiHidden/>
    <w:locked/>
    <w:rPr>
      <w:rFonts w:ascii="Times New Roman" w:hAnsi="Times New Roman" w:cs="Times New Roman"/>
      <w:sz w:val="18"/>
      <w:szCs w:val="18"/>
      <w:lang w:val="en-GB"/>
    </w:rPr>
  </w:style>
  <w:style w:type="paragraph" w:styleId="Header">
    <w:name w:val="header"/>
    <w:basedOn w:val="Normal"/>
    <w:link w:val="HeaderChar"/>
    <w:pPr>
      <w:tabs>
        <w:tab w:val="center" w:pos="4320"/>
        <w:tab w:val="right" w:pos="8640"/>
      </w:tabs>
    </w:pPr>
  </w:style>
  <w:style w:type="character" w:customStyle="1" w:styleId="HeaderChar">
    <w:name w:val="Header Char"/>
    <w:basedOn w:val="DefaultParagraphFont"/>
    <w:link w:val="Header"/>
    <w:locked/>
    <w:rPr>
      <w:rFonts w:ascii="Times New Roman" w:hAnsi="Times New Roman" w:cs="Times New Roman"/>
      <w:sz w:val="24"/>
      <w:szCs w:val="24"/>
      <w:lang w:val="en-GB"/>
    </w:rPr>
  </w:style>
  <w:style w:type="paragraph" w:styleId="Footer">
    <w:name w:val="footer"/>
    <w:basedOn w:val="Normal"/>
    <w:link w:val="FooterChar"/>
    <w:pPr>
      <w:tabs>
        <w:tab w:val="center" w:pos="4320"/>
        <w:tab w:val="right" w:pos="8640"/>
      </w:tabs>
      <w:ind w:firstLine="720"/>
      <w:jc w:val="right"/>
    </w:pPr>
  </w:style>
  <w:style w:type="character" w:customStyle="1" w:styleId="FooterChar">
    <w:name w:val="Footer Char"/>
    <w:basedOn w:val="DefaultParagraphFont"/>
    <w:link w:val="Footer"/>
    <w:locked/>
    <w:rPr>
      <w:rFonts w:ascii="Times New Roman" w:hAnsi="Times New Roman" w:cs="Times New Roman"/>
      <w:sz w:val="24"/>
      <w:szCs w:val="24"/>
      <w:lang w:val="en-GB"/>
    </w:rPr>
  </w:style>
  <w:style w:type="paragraph" w:styleId="BodyText">
    <w:name w:val="Body Text"/>
    <w:basedOn w:val="Normal"/>
    <w:pPr>
      <w:spacing w:before="120" w:after="120"/>
      <w:ind w:firstLine="720"/>
    </w:pPr>
  </w:style>
  <w:style w:type="character" w:customStyle="1" w:styleId="BodyTextChar">
    <w:name w:val="Body Text Char"/>
    <w:basedOn w:val="DefaultParagraphFont"/>
    <w:locked/>
    <w:rPr>
      <w:rFonts w:ascii="Times New Roman" w:hAnsi="Times New Roman" w:cs="Times New Roman"/>
      <w:sz w:val="24"/>
      <w:szCs w:val="24"/>
      <w:lang w:val="en-GB"/>
    </w:rPr>
  </w:style>
  <w:style w:type="paragraph" w:styleId="BodyTextIndent">
    <w:name w:val="Body Text Indent"/>
    <w:basedOn w:val="Normal"/>
    <w:link w:val="BodyTextIndentChar1"/>
    <w:pPr>
      <w:spacing w:before="120" w:after="120"/>
      <w:ind w:left="1440" w:hanging="720"/>
      <w:jc w:val="left"/>
    </w:pPr>
  </w:style>
  <w:style w:type="character" w:customStyle="1" w:styleId="BodyTextIndentChar">
    <w:name w:val="Body Text Indent Char"/>
    <w:basedOn w:val="DefaultParagraphFont"/>
    <w:locked/>
    <w:rPr>
      <w:rFonts w:ascii="Times New Roman" w:hAnsi="Times New Roman" w:cs="Times New Roman"/>
      <w:sz w:val="24"/>
      <w:szCs w:val="24"/>
      <w:lang w:val="en-GB"/>
    </w:rPr>
  </w:style>
  <w:style w:type="paragraph" w:styleId="Caption">
    <w:name w:val="caption"/>
    <w:basedOn w:val="Normal"/>
    <w:next w:val="Normal"/>
    <w:qFormat/>
    <w:pPr>
      <w:keepNext/>
      <w:keepLines/>
      <w:spacing w:after="200"/>
    </w:pPr>
    <w:rPr>
      <w:b/>
      <w:bCs/>
    </w:rPr>
  </w:style>
  <w:style w:type="paragraph" w:customStyle="1" w:styleId="CBD-Doc">
    <w:name w:val="CBD-Doc"/>
    <w:basedOn w:val="Normal"/>
    <w:pPr>
      <w:keepLines/>
      <w:numPr>
        <w:numId w:val="6"/>
      </w:numPr>
      <w:spacing w:after="120"/>
    </w:pPr>
  </w:style>
  <w:style w:type="paragraph" w:customStyle="1" w:styleId="CBD-Doc-Type">
    <w:name w:val="CBD-Doc-Type"/>
    <w:basedOn w:val="Normal"/>
    <w:pPr>
      <w:keepLines/>
      <w:spacing w:before="240" w:after="120"/>
    </w:pPr>
    <w:rPr>
      <w:b/>
      <w:bCs/>
      <w:i/>
      <w:iCs/>
      <w:sz w:val="24"/>
      <w:szCs w:val="24"/>
    </w:r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1"/>
    <w:semiHidden/>
    <w:pPr>
      <w:spacing w:after="120" w:line="240" w:lineRule="exact"/>
    </w:pPr>
  </w:style>
  <w:style w:type="character" w:customStyle="1" w:styleId="BodyTextIndentChar1">
    <w:name w:val="Body Text Indent Char1"/>
    <w:basedOn w:val="DefaultParagraphFont"/>
    <w:link w:val="BodyTextIndent"/>
    <w:semiHidden/>
    <w:locked/>
    <w:rPr>
      <w:rFonts w:ascii="Times New Roman" w:hAnsi="Times New Roman" w:cs="Times New Roman"/>
      <w:sz w:val="24"/>
      <w:szCs w:val="24"/>
      <w:lang w:val="en-GB"/>
    </w:rPr>
  </w:style>
  <w:style w:type="paragraph" w:customStyle="1" w:styleId="Cornernotation">
    <w:name w:val="Corner notation"/>
    <w:basedOn w:val="Normal"/>
    <w:pPr>
      <w:ind w:left="170" w:right="3119" w:hanging="170"/>
      <w:jc w:val="left"/>
    </w:pPr>
  </w:style>
  <w:style w:type="character" w:styleId="EndnoteReference">
    <w:name w:val="endnote reference"/>
    <w:basedOn w:val="DefaultParagraphFont"/>
    <w:semiHidden/>
    <w:rPr>
      <w:vertAlign w:val="superscript"/>
    </w:rPr>
  </w:style>
  <w:style w:type="paragraph" w:styleId="EndnoteText">
    <w:name w:val="endnote text"/>
    <w:basedOn w:val="Normal"/>
    <w:semiHidden/>
    <w:pPr>
      <w:widowControl w:val="0"/>
      <w:tabs>
        <w:tab w:val="left" w:pos="-720"/>
      </w:tabs>
      <w:suppressAutoHyphens/>
    </w:pPr>
    <w:rPr>
      <w:rFonts w:ascii="Courier New" w:hAnsi="Courier New" w:cs="Courier New"/>
    </w:rPr>
  </w:style>
  <w:style w:type="character" w:customStyle="1" w:styleId="EndnoteTextChar">
    <w:name w:val="Endnote Text Char"/>
    <w:basedOn w:val="DefaultParagraphFont"/>
    <w:semiHidden/>
    <w:locked/>
    <w:rPr>
      <w:rFonts w:ascii="Courier New" w:hAnsi="Courier New" w:cs="Courier New"/>
      <w:sz w:val="24"/>
      <w:szCs w:val="24"/>
      <w:lang w:val="en-GB"/>
    </w:rPr>
  </w:style>
  <w:style w:type="character" w:styleId="FollowedHyperlink">
    <w:name w:val="FollowedHyperlink"/>
    <w:basedOn w:val="DefaultParagraphFont"/>
    <w:rPr>
      <w:color w:val="800080"/>
      <w:u w:val="single"/>
    </w:rPr>
  </w:style>
  <w:style w:type="paragraph" w:customStyle="1" w:styleId="HEADING">
    <w:name w:val="HEADING"/>
    <w:basedOn w:val="Normal"/>
    <w:pPr>
      <w:keepNext/>
      <w:spacing w:before="240" w:after="120"/>
      <w:jc w:val="center"/>
    </w:pPr>
    <w:rPr>
      <w:b/>
      <w:bCs/>
      <w:caps/>
    </w:rPr>
  </w:style>
  <w:style w:type="paragraph" w:customStyle="1" w:styleId="HEADINGNOTFORTOC">
    <w:name w:val="HEADING (NOT FOR TOC)"/>
    <w:basedOn w:val="Heading1"/>
    <w:next w:val="Heading2"/>
  </w:style>
  <w:style w:type="paragraph" w:customStyle="1" w:styleId="Heading1longmultiline">
    <w:name w:val="Heading 1 (long multiline)"/>
    <w:basedOn w:val="Heading1"/>
    <w:pPr>
      <w:ind w:left="1843" w:hanging="1134"/>
      <w:jc w:val="left"/>
    </w:pPr>
  </w:style>
  <w:style w:type="paragraph" w:customStyle="1" w:styleId="Heading1multiline">
    <w:name w:val="Heading 1 (multiline)"/>
    <w:basedOn w:val="Heading1"/>
    <w:pPr>
      <w:ind w:left="1843" w:right="996" w:hanging="567"/>
      <w:jc w:val="left"/>
    </w:pPr>
  </w:style>
  <w:style w:type="paragraph" w:customStyle="1" w:styleId="Heading2multiline">
    <w:name w:val="Heading 2 (multiline)"/>
    <w:basedOn w:val="Heading1"/>
    <w:next w:val="Normal"/>
    <w:pPr>
      <w:spacing w:before="120"/>
      <w:ind w:left="1843" w:right="998" w:hanging="567"/>
      <w:jc w:val="left"/>
    </w:pPr>
    <w:rPr>
      <w:i/>
      <w:iCs/>
      <w:caps w:val="0"/>
    </w:rPr>
  </w:style>
  <w:style w:type="paragraph" w:customStyle="1" w:styleId="Heading2longmultiline">
    <w:name w:val="Heading 2 (long multiline)"/>
    <w:basedOn w:val="Heading2multiline"/>
    <w:pPr>
      <w:ind w:left="2127" w:hanging="1276"/>
    </w:pPr>
  </w:style>
  <w:style w:type="character" w:customStyle="1" w:styleId="Heading3Char">
    <w:name w:val="Heading 3 Char"/>
    <w:basedOn w:val="DefaultParagraphFont"/>
    <w:locked/>
    <w:rPr>
      <w:rFonts w:ascii="Times New Roman" w:hAnsi="Times New Roman" w:cs="Times New Roman"/>
      <w:i/>
      <w:iCs/>
      <w:sz w:val="24"/>
      <w:szCs w:val="24"/>
      <w:lang w:val="en-GB"/>
    </w:rPr>
  </w:style>
  <w:style w:type="paragraph" w:customStyle="1" w:styleId="heading2notforTOC">
    <w:name w:val="heading 2 not for TOC"/>
    <w:basedOn w:val="Heading3"/>
  </w:style>
  <w:style w:type="paragraph" w:customStyle="1" w:styleId="Heading3multiline">
    <w:name w:val="Heading 3 (multiline)"/>
    <w:basedOn w:val="Heading3"/>
    <w:next w:val="Normal"/>
    <w:pPr>
      <w:ind w:left="1418" w:hanging="425"/>
      <w:jc w:val="left"/>
    </w:pPr>
  </w:style>
  <w:style w:type="character" w:customStyle="1" w:styleId="Heading4Char">
    <w:name w:val="Heading 4 Char"/>
    <w:basedOn w:val="DefaultParagraphFont"/>
    <w:locked/>
    <w:rPr>
      <w:rFonts w:ascii="Times New Roman" w:eastAsia="Times New Roman" w:hAnsi="Times New Roman" w:cs="Times New Roman"/>
      <w:b/>
      <w:bCs/>
      <w:i/>
      <w:iCs/>
      <w:sz w:val="24"/>
      <w:szCs w:val="24"/>
      <w:lang w:val="en-GB"/>
    </w:rPr>
  </w:style>
  <w:style w:type="paragraph" w:customStyle="1" w:styleId="Heading4indent">
    <w:name w:val="Heading 4 indent"/>
    <w:basedOn w:val="Heading4"/>
    <w:pPr>
      <w:ind w:left="720"/>
      <w:outlineLvl w:val="9"/>
    </w:pPr>
  </w:style>
  <w:style w:type="character" w:customStyle="1" w:styleId="Heading5Char">
    <w:name w:val="Heading 5 Char"/>
    <w:basedOn w:val="DefaultParagraphFont"/>
    <w:locked/>
    <w:rPr>
      <w:rFonts w:ascii="Times New Roman" w:hAnsi="Times New Roman" w:cs="Times New Roman"/>
      <w:i/>
      <w:iCs/>
      <w:sz w:val="26"/>
      <w:szCs w:val="26"/>
      <w:lang w:val="en-CA"/>
    </w:rPr>
  </w:style>
  <w:style w:type="character" w:customStyle="1" w:styleId="Heading6Char">
    <w:name w:val="Heading 6 Char"/>
    <w:basedOn w:val="DefaultParagraphFont"/>
    <w:locked/>
    <w:rPr>
      <w:rFonts w:ascii="Times New Roman" w:hAnsi="Times New Roman" w:cs="Times New Roman"/>
      <w:sz w:val="24"/>
      <w:szCs w:val="24"/>
      <w:u w:val="single"/>
      <w:lang w:val="en-GB"/>
    </w:rPr>
  </w:style>
  <w:style w:type="character" w:customStyle="1" w:styleId="Heading7Char">
    <w:name w:val="Heading 7 Char"/>
    <w:basedOn w:val="DefaultParagraphFont"/>
    <w:locked/>
    <w:rPr>
      <w:rFonts w:ascii="Univers" w:hAnsi="Univers" w:cs="Univers"/>
      <w:b/>
      <w:bCs/>
      <w:sz w:val="24"/>
      <w:szCs w:val="24"/>
      <w:lang w:val="en-GB"/>
    </w:rPr>
  </w:style>
  <w:style w:type="character" w:customStyle="1" w:styleId="Heading8Char">
    <w:name w:val="Heading 8 Char"/>
    <w:basedOn w:val="DefaultParagraphFont"/>
    <w:locked/>
    <w:rPr>
      <w:rFonts w:ascii="Univers" w:hAnsi="Univers" w:cs="Univers"/>
      <w:b/>
      <w:bCs/>
      <w:sz w:val="24"/>
      <w:szCs w:val="24"/>
      <w:lang w:val="en-GB"/>
    </w:rPr>
  </w:style>
  <w:style w:type="character" w:customStyle="1" w:styleId="Heading9Char">
    <w:name w:val="Heading 9 Char"/>
    <w:basedOn w:val="DefaultParagraphFont"/>
    <w:locked/>
    <w:rPr>
      <w:rFonts w:ascii="Times New Roman" w:hAnsi="Times New Roman" w:cs="Times New Roman"/>
      <w:i/>
      <w:iCs/>
      <w:sz w:val="24"/>
      <w:szCs w:val="24"/>
      <w:lang w:val="en-GB"/>
    </w:rPr>
  </w:style>
  <w:style w:type="character" w:styleId="PageNumber">
    <w:name w:val="page number"/>
    <w:basedOn w:val="DefaultParagraphFont"/>
    <w:rPr>
      <w:rFonts w:ascii="Times New Roman" w:hAnsi="Times New Roman" w:cs="Times New Roman"/>
      <w:sz w:val="22"/>
      <w:szCs w:val="22"/>
    </w:rPr>
  </w:style>
  <w:style w:type="paragraph" w:customStyle="1" w:styleId="Para1">
    <w:name w:val="Para1"/>
    <w:basedOn w:val="Normal"/>
    <w:pPr>
      <w:numPr>
        <w:numId w:val="8"/>
      </w:numPr>
      <w:tabs>
        <w:tab w:val="clear" w:pos="360"/>
      </w:tabs>
      <w:spacing w:before="120" w:after="120"/>
    </w:pPr>
    <w:rPr>
      <w:sz w:val="20"/>
      <w:szCs w:val="20"/>
    </w:rPr>
  </w:style>
  <w:style w:type="character" w:customStyle="1" w:styleId="Para1Char">
    <w:name w:val="Para1 Char"/>
    <w:locked/>
    <w:rPr>
      <w:rFonts w:ascii="Times New Roman" w:hAnsi="Times New Roman" w:cs="Times New Roman"/>
      <w:snapToGrid w:val="0"/>
      <w:sz w:val="18"/>
      <w:szCs w:val="18"/>
      <w:lang w:val="en-GB"/>
    </w:rPr>
  </w:style>
  <w:style w:type="paragraph" w:customStyle="1" w:styleId="Para2">
    <w:name w:val="Para2"/>
    <w:basedOn w:val="Para1"/>
    <w:pPr>
      <w:numPr>
        <w:numId w:val="0"/>
      </w:numPr>
      <w:autoSpaceDE w:val="0"/>
      <w:autoSpaceDN w:val="0"/>
    </w:pPr>
  </w:style>
  <w:style w:type="paragraph" w:customStyle="1" w:styleId="Para3">
    <w:name w:val="Para3"/>
    <w:basedOn w:val="Normal"/>
    <w:pPr>
      <w:numPr>
        <w:ilvl w:val="3"/>
        <w:numId w:val="9"/>
      </w:numPr>
      <w:tabs>
        <w:tab w:val="left" w:pos="1980"/>
      </w:tabs>
      <w:spacing w:before="80" w:after="80"/>
    </w:pPr>
  </w:style>
  <w:style w:type="paragraph" w:customStyle="1" w:styleId="para4">
    <w:name w:val="para4"/>
    <w:basedOn w:val="Normal"/>
    <w:pPr>
      <w:overflowPunct w:val="0"/>
      <w:autoSpaceDE w:val="0"/>
      <w:autoSpaceDN w:val="0"/>
      <w:adjustRightInd w:val="0"/>
      <w:spacing w:after="120" w:line="240" w:lineRule="atLeast"/>
      <w:textAlignment w:val="baseline"/>
    </w:pPr>
    <w:rPr>
      <w:color w:val="000000"/>
      <w:sz w:val="20"/>
      <w:szCs w:val="20"/>
    </w:rPr>
  </w:style>
  <w:style w:type="paragraph" w:customStyle="1" w:styleId="Para-decision">
    <w:name w:val="Para-decision"/>
    <w:basedOn w:val="Normal"/>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pPr>
      <w:spacing w:before="120" w:after="120"/>
      <w:ind w:left="720" w:right="720"/>
    </w:pPr>
  </w:style>
  <w:style w:type="paragraph" w:customStyle="1" w:styleId="recommendationheader">
    <w:name w:val="recommendation header"/>
    <w:basedOn w:val="Heading2"/>
  </w:style>
  <w:style w:type="paragraph" w:customStyle="1" w:styleId="recommendationheaderlong">
    <w:name w:val="recommendation header long"/>
    <w:basedOn w:val="Heading2longmultiline"/>
  </w:style>
  <w:style w:type="paragraph" w:customStyle="1" w:styleId="reference">
    <w:name w:val="reference"/>
    <w:basedOn w:val="Heading9"/>
    <w:rPr>
      <w:i w:val="0"/>
      <w:iCs w:val="0"/>
      <w:sz w:val="18"/>
      <w:szCs w:val="18"/>
    </w:rPr>
  </w:style>
  <w:style w:type="character" w:customStyle="1" w:styleId="StyleFootnoteReferenceNounderline">
    <w:name w:val="Style Footnote Reference + No underline"/>
    <w:rPr>
      <w:sz w:val="18"/>
      <w:szCs w:val="18"/>
      <w:u w:val="none"/>
      <w:vertAlign w:val="baseline"/>
    </w:rPr>
  </w:style>
  <w:style w:type="paragraph" w:customStyle="1" w:styleId="Style1">
    <w:name w:val="Style1"/>
    <w:basedOn w:val="Heading2"/>
    <w:rPr>
      <w:i/>
      <w:iCs/>
    </w:rPr>
  </w:style>
  <w:style w:type="paragraph" w:styleId="Subtitle">
    <w:name w:val="Subtitle"/>
    <w:basedOn w:val="Normal"/>
    <w:next w:val="Normal"/>
    <w:qFormat/>
    <w:pPr>
      <w:numPr>
        <w:ilvl w:val="1"/>
      </w:numPr>
    </w:pPr>
    <w:rPr>
      <w:rFonts w:eastAsia="Times New Roman"/>
      <w:i/>
      <w:iCs/>
      <w:color w:val="4472C4"/>
      <w:spacing w:val="15"/>
      <w:sz w:val="24"/>
      <w:szCs w:val="24"/>
    </w:rPr>
  </w:style>
  <w:style w:type="character" w:customStyle="1" w:styleId="SubtitleChar">
    <w:name w:val="Subtitle Char"/>
    <w:basedOn w:val="DefaultParagraphFont"/>
    <w:locked/>
    <w:rPr>
      <w:rFonts w:ascii="Times New Roman" w:eastAsia="Times New Roman" w:hAnsi="Times New Roman" w:cs="Times New Roman"/>
      <w:i/>
      <w:iCs/>
      <w:color w:val="4472C4"/>
      <w:spacing w:val="15"/>
      <w:sz w:val="24"/>
      <w:szCs w:val="24"/>
      <w:lang w:val="en-GB"/>
    </w:rPr>
  </w:style>
  <w:style w:type="table" w:styleId="TableGrid">
    <w:name w:val="Table Grid"/>
    <w:basedOn w:val="TableNormal"/>
    <w:rPr>
      <w:rFonts w:eastAsia="等?" w:cs="Times New Roman"/>
      <w:snapToGrid w:val="0"/>
      <w:sz w:val="24"/>
      <w:szCs w:val="24"/>
      <w:lang w:val="fr-CA"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itle">
    <w:name w:val="table title"/>
    <w:basedOn w:val="Heading2"/>
    <w:pPr>
      <w:jc w:val="left"/>
      <w:outlineLvl w:val="9"/>
    </w:pPr>
    <w:rPr>
      <w:i/>
      <w:iCs/>
    </w:rPr>
  </w:style>
  <w:style w:type="paragraph" w:styleId="Title">
    <w:name w:val="Title"/>
    <w:basedOn w:val="Normal"/>
    <w:next w:val="Normal"/>
    <w:qFormat/>
    <w:pPr>
      <w:pBdr>
        <w:bottom w:val="single" w:sz="8" w:space="4" w:color="4472C4"/>
      </w:pBdr>
      <w:spacing w:after="300"/>
    </w:pPr>
    <w:rPr>
      <w:rFonts w:eastAsia="Times New Roman"/>
      <w:color w:val="323E4F"/>
      <w:spacing w:val="5"/>
      <w:kern w:val="28"/>
      <w:sz w:val="52"/>
      <w:szCs w:val="52"/>
    </w:rPr>
  </w:style>
  <w:style w:type="character" w:customStyle="1" w:styleId="TitleChar">
    <w:name w:val="Title Char"/>
    <w:basedOn w:val="DefaultParagraphFont"/>
    <w:locked/>
    <w:rPr>
      <w:rFonts w:ascii="Times New Roman" w:eastAsia="Times New Roman" w:hAnsi="Times New Roman" w:cs="Times New Roman"/>
      <w:color w:val="323E4F"/>
      <w:spacing w:val="5"/>
      <w:kern w:val="28"/>
      <w:sz w:val="52"/>
      <w:szCs w:val="52"/>
      <w:lang w:val="en-GB"/>
    </w:rPr>
  </w:style>
  <w:style w:type="paragraph" w:styleId="TOAHeading">
    <w:name w:val="toa heading"/>
    <w:basedOn w:val="Normal"/>
    <w:next w:val="Normal"/>
    <w:semiHidden/>
    <w:pPr>
      <w:spacing w:before="120"/>
    </w:pPr>
    <w:rPr>
      <w:b/>
      <w:bCs/>
      <w:sz w:val="24"/>
      <w:szCs w:val="24"/>
    </w:rPr>
  </w:style>
  <w:style w:type="paragraph" w:styleId="TOC1">
    <w:name w:val="toc 1"/>
    <w:basedOn w:val="Normal"/>
    <w:next w:val="Normal"/>
    <w:autoRedefine/>
    <w:semiHidden/>
    <w:pPr>
      <w:ind w:left="720" w:hanging="720"/>
    </w:pPr>
    <w:rPr>
      <w:caps/>
    </w:rPr>
  </w:style>
  <w:style w:type="paragraph" w:styleId="TOC2">
    <w:name w:val="toc 2"/>
    <w:basedOn w:val="Normal"/>
    <w:next w:val="Normal"/>
    <w:autoRedefine/>
    <w:semiHidden/>
    <w:pPr>
      <w:tabs>
        <w:tab w:val="right" w:leader="dot" w:pos="9356"/>
      </w:tabs>
      <w:ind w:left="1440" w:hanging="720"/>
    </w:pPr>
    <w:rPr>
      <w:noProof/>
      <w:lang w:val="en-US"/>
    </w:rPr>
  </w:style>
  <w:style w:type="paragraph" w:styleId="TOC3">
    <w:name w:val="toc 3"/>
    <w:basedOn w:val="Normal"/>
    <w:next w:val="Normal"/>
    <w:autoRedefine/>
    <w:semiHidden/>
    <w:pPr>
      <w:ind w:left="2160" w:hanging="720"/>
    </w:pPr>
  </w:style>
  <w:style w:type="paragraph" w:styleId="TOC4">
    <w:name w:val="toc 4"/>
    <w:basedOn w:val="Normal"/>
    <w:next w:val="Normal"/>
    <w:autoRedefine/>
    <w:semiHidden/>
    <w:pPr>
      <w:spacing w:before="120" w:after="120"/>
      <w:ind w:left="660"/>
      <w:jc w:val="left"/>
    </w:pPr>
  </w:style>
  <w:style w:type="paragraph" w:styleId="TOC5">
    <w:name w:val="toc 5"/>
    <w:basedOn w:val="Normal"/>
    <w:next w:val="Normal"/>
    <w:autoRedefine/>
    <w:semiHidden/>
    <w:pPr>
      <w:spacing w:before="120" w:after="120"/>
      <w:ind w:left="880"/>
      <w:jc w:val="left"/>
    </w:pPr>
  </w:style>
  <w:style w:type="paragraph" w:styleId="TOC6">
    <w:name w:val="toc 6"/>
    <w:basedOn w:val="Normal"/>
    <w:next w:val="Normal"/>
    <w:autoRedefine/>
    <w:semiHidden/>
    <w:pPr>
      <w:spacing w:before="120" w:after="120"/>
      <w:ind w:left="1100"/>
      <w:jc w:val="left"/>
    </w:pPr>
  </w:style>
  <w:style w:type="paragraph" w:styleId="TOC7">
    <w:name w:val="toc 7"/>
    <w:basedOn w:val="Normal"/>
    <w:next w:val="Normal"/>
    <w:autoRedefine/>
    <w:semiHidden/>
    <w:pPr>
      <w:spacing w:before="120" w:after="120"/>
      <w:ind w:left="1320"/>
      <w:jc w:val="left"/>
    </w:pPr>
  </w:style>
  <w:style w:type="paragraph" w:styleId="TOC8">
    <w:name w:val="toc 8"/>
    <w:basedOn w:val="Normal"/>
    <w:next w:val="Normal"/>
    <w:autoRedefine/>
    <w:semiHidden/>
    <w:pPr>
      <w:spacing w:before="120" w:after="120"/>
      <w:ind w:left="1540"/>
      <w:jc w:val="left"/>
    </w:pPr>
  </w:style>
  <w:style w:type="paragraph" w:styleId="TOC9">
    <w:name w:val="toc 9"/>
    <w:basedOn w:val="Normal"/>
    <w:next w:val="Normal"/>
    <w:autoRedefine/>
    <w:semiHidden/>
    <w:pPr>
      <w:spacing w:before="120" w:after="120"/>
      <w:ind w:left="1760"/>
      <w:jc w:val="left"/>
    </w:pPr>
  </w:style>
  <w:style w:type="character" w:customStyle="1" w:styleId="ListParagraphChar">
    <w:name w:val="List Paragraph Char"/>
    <w:locked/>
    <w:rPr>
      <w:rFonts w:ascii="Times New Roman" w:hAnsi="Times New Roman" w:cs="Times New Roman"/>
      <w:sz w:val="24"/>
      <w:szCs w:val="24"/>
      <w:lang w:val="en-GB"/>
    </w:rPr>
  </w:style>
  <w:style w:type="paragraph" w:styleId="CommentSubject">
    <w:name w:val="annotation subject"/>
    <w:basedOn w:val="CommentText"/>
    <w:next w:val="CommentText"/>
    <w:semiHidden/>
    <w:pPr>
      <w:spacing w:after="0" w:line="240" w:lineRule="auto"/>
    </w:pPr>
    <w:rPr>
      <w:b/>
      <w:bCs/>
      <w:sz w:val="20"/>
      <w:szCs w:val="20"/>
    </w:rPr>
  </w:style>
  <w:style w:type="character" w:customStyle="1" w:styleId="Heading6Char1">
    <w:name w:val="Heading 6 Char1"/>
    <w:basedOn w:val="BodyTextIndentChar1"/>
    <w:link w:val="Heading6"/>
    <w:semiHidden/>
    <w:locked/>
    <w:rPr>
      <w:b/>
      <w:bCs/>
      <w:sz w:val="20"/>
      <w:szCs w:val="20"/>
    </w:rPr>
  </w:style>
  <w:style w:type="table" w:customStyle="1" w:styleId="TableGrid1">
    <w:name w:val="Table Grid1"/>
    <w:rPr>
      <w:rFonts w:eastAsia="等?" w:cs="Times New Roman"/>
      <w:snapToGrid w:val="0"/>
      <w:sz w:val="24"/>
      <w:szCs w:val="24"/>
      <w:lang w:val="fr-CA"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semiHidden/>
    <w:rPr>
      <w:rFonts w:eastAsia="等?" w:cs="Times New Roman"/>
      <w:snapToGrid w:val="0"/>
      <w:sz w:val="22"/>
      <w:szCs w:val="22"/>
      <w:lang w:val="en-GB" w:eastAsia="ko-KR"/>
    </w:rPr>
  </w:style>
  <w:style w:type="character" w:customStyle="1" w:styleId="tw4winMark">
    <w:name w:val="tw4winMark"/>
    <w:rPr>
      <w:rFonts w:ascii="Courier New" w:hAnsi="Courier New" w:cs="Courier New"/>
      <w:vanish/>
      <w:color w:val="800080"/>
      <w:sz w:val="24"/>
      <w:szCs w:val="24"/>
      <w:vertAlign w:val="subscript"/>
    </w:rPr>
  </w:style>
  <w:style w:type="character" w:customStyle="1" w:styleId="tw4winError">
    <w:name w:val="tw4winError"/>
    <w:rPr>
      <w:rFonts w:ascii="Courier New" w:hAnsi="Courier New" w:cs="Courier New"/>
      <w:color w:val="00FF00"/>
      <w:sz w:val="40"/>
      <w:szCs w:val="40"/>
    </w:rPr>
  </w:style>
  <w:style w:type="character" w:customStyle="1" w:styleId="tw4winTerm">
    <w:name w:val="tw4winTerm"/>
    <w:rPr>
      <w:color w:val="0000FF"/>
    </w:rPr>
  </w:style>
  <w:style w:type="character" w:customStyle="1" w:styleId="tw4winPopup">
    <w:name w:val="tw4winPopup"/>
    <w:rPr>
      <w:rFonts w:ascii="Courier New" w:hAnsi="Courier New" w:cs="Courier New"/>
      <w:noProof/>
      <w:color w:val="008000"/>
    </w:rPr>
  </w:style>
  <w:style w:type="character" w:customStyle="1" w:styleId="tw4winJump">
    <w:name w:val="tw4winJump"/>
    <w:rPr>
      <w:rFonts w:ascii="Courier New" w:hAnsi="Courier New" w:cs="Courier New"/>
      <w:noProof/>
      <w:color w:val="008080"/>
    </w:rPr>
  </w:style>
  <w:style w:type="character" w:customStyle="1" w:styleId="tw4winExternal">
    <w:name w:val="tw4winExternal"/>
    <w:rPr>
      <w:rFonts w:ascii="Courier New" w:hAnsi="Courier New" w:cs="Courier New"/>
      <w:noProof/>
      <w:color w:val="808080"/>
    </w:rPr>
  </w:style>
  <w:style w:type="character" w:customStyle="1" w:styleId="tw4winInternal">
    <w:name w:val="tw4winInternal"/>
    <w:rPr>
      <w:rFonts w:ascii="Courier New" w:hAnsi="Courier New" w:cs="Courier New"/>
      <w:noProof/>
      <w:color w:val="FF0000"/>
    </w:rPr>
  </w:style>
  <w:style w:type="character" w:customStyle="1" w:styleId="DONOTTRANSLATE">
    <w:name w:val="DO_NOT_TRANSLATE"/>
    <w:rPr>
      <w:rFonts w:ascii="Courier New" w:hAnsi="Courier New" w:cs="Courier New"/>
      <w:noProof/>
      <w:color w:val="800000"/>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www.cbd.int/dsi-gr/forum.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8</Pages>
  <Words>3643</Words>
  <Characters>20917</Characters>
  <Application>Microsoft Office Word</Application>
  <DocSecurity>0</DocSecurity>
  <Lines>316</Lines>
  <Paragraphs>122</Paragraphs>
  <ScaleCrop>false</ScaleCrop>
  <HeadingPairs>
    <vt:vector size="2" baseType="variant">
      <vt:variant>
        <vt:lpstr>Title</vt:lpstr>
      </vt:variant>
      <vt:variant>
        <vt:i4>1</vt:i4>
      </vt:variant>
    </vt:vector>
  </HeadingPairs>
  <TitlesOfParts>
    <vt:vector size="1" baseType="lpstr">
      <vt:lpstr>RECOMMENDATION ADOPTED BY THE WORKING GROUP ON THE POST-2020 GLOBAL BIODIVERSITY FRAMEWORK</vt:lpstr>
    </vt:vector>
  </TitlesOfParts>
  <Company>LP Traducciones</Company>
  <LinksUpToDate>false</LinksUpToDate>
  <CharactersWithSpaces>24438</CharactersWithSpaces>
  <SharedDoc>false</SharedDoc>
  <HLinks>
    <vt:vector size="6" baseType="variant">
      <vt:variant>
        <vt:i4>8060974</vt:i4>
      </vt:variant>
      <vt:variant>
        <vt:i4>0</vt:i4>
      </vt:variant>
      <vt:variant>
        <vt:i4>0</vt:i4>
      </vt:variant>
      <vt:variant>
        <vt:i4>5</vt:i4>
      </vt:variant>
      <vt:variant>
        <vt:lpwstr>https://www.cbd.int/dsi-gr/forum.shtml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 ADOPTED BY THE WORKING GROUP ON THE POST-2020 GLOBAL BIODIVERSITY FRAMEWORK</dc:title>
  <dc:subject>CBD/WG2020/REC/3/2</dc:subject>
  <dc:creator>WG2020-3</dc:creator>
  <dc:description>Potential elements of a draft recommendation to the Conference of the PartiesNoting that the text below has not been negotiated nor agreed. It rather represents a collection of views formulated by Parties, indigenous peoples and local communities and obs</dc:description>
  <cp:lastModifiedBy>Laura Perez</cp:lastModifiedBy>
  <cp:revision>9</cp:revision>
  <cp:lastPrinted>2022-05-09T10:31:00Z</cp:lastPrinted>
  <dcterms:created xsi:type="dcterms:W3CDTF">2022-05-09T13:06:00Z</dcterms:created>
  <dcterms:modified xsi:type="dcterms:W3CDTF">2022-05-09T13:36:00Z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ies>
</file>