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30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
        <w:gridCol w:w="3844"/>
        <w:gridCol w:w="5102"/>
      </w:tblGrid>
      <w:tr w:rsidR="00A96B21" w:rsidRPr="00B24880" w14:paraId="18F44742" w14:textId="77777777" w:rsidTr="00EF7996">
        <w:trPr>
          <w:trHeight w:val="851"/>
        </w:trPr>
        <w:tc>
          <w:tcPr>
            <w:tcW w:w="492" w:type="pct"/>
            <w:tcBorders>
              <w:bottom w:val="single" w:sz="8" w:space="0" w:color="auto"/>
            </w:tcBorders>
            <w:vAlign w:val="bottom"/>
          </w:tcPr>
          <w:p w14:paraId="2A47AC4B" w14:textId="77777777" w:rsidR="00A96B21" w:rsidRPr="00B24880" w:rsidRDefault="00A96B21">
            <w:pPr>
              <w:spacing w:after="120"/>
              <w:jc w:val="left"/>
              <w:rPr>
                <w:lang w:val="fr-FR"/>
              </w:rPr>
            </w:pPr>
            <w:bookmarkStart w:id="0" w:name="_Hlk137651738"/>
            <w:r w:rsidRPr="00B24880">
              <w:rPr>
                <w:noProof/>
                <w:lang w:val="fr-FR"/>
              </w:rPr>
              <w:drawing>
                <wp:inline distT="0" distB="0" distL="0" distR="0" wp14:anchorId="3F3018AF" wp14:editId="332FBBAE">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937" w:type="pct"/>
            <w:tcBorders>
              <w:bottom w:val="single" w:sz="8" w:space="0" w:color="auto"/>
            </w:tcBorders>
            <w:shd w:val="clear" w:color="auto" w:fill="auto"/>
            <w:tcFitText/>
            <w:vAlign w:val="bottom"/>
          </w:tcPr>
          <w:p w14:paraId="1AA9721F" w14:textId="7A7E6FDA" w:rsidR="00A96B21" w:rsidRPr="00B24880" w:rsidRDefault="00044CE8">
            <w:pPr>
              <w:spacing w:after="120"/>
              <w:jc w:val="left"/>
              <w:rPr>
                <w:lang w:val="fr-FR"/>
              </w:rPr>
            </w:pPr>
            <w:r w:rsidRPr="00B24880">
              <w:rPr>
                <w:noProof/>
                <w:szCs w:val="22"/>
                <w:lang w:val="fr-FR" w:eastAsia="fr-CA"/>
              </w:rPr>
              <w:drawing>
                <wp:inline distT="0" distB="0" distL="0" distR="0" wp14:anchorId="5F95FB06" wp14:editId="17CC068D">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571" w:type="pct"/>
            <w:tcBorders>
              <w:bottom w:val="single" w:sz="8" w:space="0" w:color="auto"/>
            </w:tcBorders>
            <w:vAlign w:val="bottom"/>
          </w:tcPr>
          <w:p w14:paraId="718BBD91" w14:textId="76DECC45" w:rsidR="00A96B21" w:rsidRPr="00B24880" w:rsidRDefault="00097578" w:rsidP="00184909">
            <w:pPr>
              <w:spacing w:after="120"/>
              <w:ind w:left="2021"/>
              <w:jc w:val="right"/>
              <w:rPr>
                <w:szCs w:val="22"/>
                <w:lang w:val="fr-FR"/>
              </w:rPr>
            </w:pPr>
            <w:r w:rsidRPr="00B347FD">
              <w:rPr>
                <w:sz w:val="40"/>
                <w:szCs w:val="40"/>
              </w:rPr>
              <w:t>CBD</w:t>
            </w:r>
            <w:r w:rsidRPr="002529A9">
              <w:rPr>
                <w:szCs w:val="22"/>
              </w:rPr>
              <w:t>/</w:t>
            </w:r>
            <w:r w:rsidRPr="00B347FD">
              <w:rPr>
                <w:szCs w:val="22"/>
              </w:rPr>
              <w:t>SBSTTA</w:t>
            </w:r>
            <w:r w:rsidRPr="002529A9">
              <w:rPr>
                <w:szCs w:val="22"/>
              </w:rPr>
              <w:t>/</w:t>
            </w:r>
            <w:r>
              <w:rPr>
                <w:szCs w:val="22"/>
              </w:rPr>
              <w:t>REC/</w:t>
            </w:r>
            <w:r w:rsidRPr="002529A9">
              <w:rPr>
                <w:szCs w:val="22"/>
              </w:rPr>
              <w:t>26</w:t>
            </w:r>
            <w:r>
              <w:rPr>
                <w:szCs w:val="22"/>
              </w:rPr>
              <w:t>/5</w:t>
            </w:r>
          </w:p>
        </w:tc>
      </w:tr>
      <w:tr w:rsidR="00A96B21" w:rsidRPr="00251DDB" w14:paraId="44026556" w14:textId="77777777" w:rsidTr="00EF7996">
        <w:tc>
          <w:tcPr>
            <w:tcW w:w="2429" w:type="pct"/>
            <w:gridSpan w:val="2"/>
            <w:tcBorders>
              <w:top w:val="single" w:sz="8" w:space="0" w:color="auto"/>
              <w:bottom w:val="single" w:sz="12" w:space="0" w:color="auto"/>
            </w:tcBorders>
          </w:tcPr>
          <w:p w14:paraId="6E5E71E3" w14:textId="0FDC29CA" w:rsidR="00A96B21" w:rsidRPr="00B24880" w:rsidRDefault="00044CE8">
            <w:pPr>
              <w:pStyle w:val="Cornernotation"/>
              <w:suppressLineNumbers/>
              <w:suppressAutoHyphens/>
              <w:spacing w:before="120" w:after="120"/>
              <w:ind w:right="0"/>
              <w:rPr>
                <w:lang w:val="fr-FR"/>
              </w:rPr>
            </w:pPr>
            <w:r w:rsidRPr="00B24880">
              <w:rPr>
                <w:noProof/>
                <w:szCs w:val="22"/>
                <w:lang w:val="fr-FR" w:eastAsia="fr-CA"/>
              </w:rPr>
              <w:drawing>
                <wp:inline distT="0" distB="0" distL="0" distR="0" wp14:anchorId="0C3BE9A0" wp14:editId="717E5E49">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571" w:type="pct"/>
            <w:tcBorders>
              <w:top w:val="single" w:sz="8" w:space="0" w:color="auto"/>
              <w:bottom w:val="single" w:sz="12" w:space="0" w:color="auto"/>
            </w:tcBorders>
          </w:tcPr>
          <w:p w14:paraId="3843F32C" w14:textId="4A73CADF" w:rsidR="00A96B21" w:rsidRPr="00B24880" w:rsidRDefault="00A96B21" w:rsidP="003C6F10">
            <w:pPr>
              <w:ind w:left="2584"/>
              <w:rPr>
                <w:sz w:val="22"/>
                <w:szCs w:val="22"/>
                <w:lang w:val="fr-FR"/>
              </w:rPr>
            </w:pPr>
            <w:r w:rsidRPr="00B24880">
              <w:rPr>
                <w:sz w:val="22"/>
                <w:szCs w:val="22"/>
                <w:lang w:val="fr-FR"/>
              </w:rPr>
              <w:t>Distr.</w:t>
            </w:r>
            <w:r w:rsidRPr="00B24880">
              <w:rPr>
                <w:szCs w:val="22"/>
                <w:lang w:val="fr-FR"/>
              </w:rPr>
              <w:t xml:space="preserve">: </w:t>
            </w:r>
            <w:r w:rsidR="00097578">
              <w:rPr>
                <w:szCs w:val="22"/>
                <w:lang w:val="fr-FR"/>
              </w:rPr>
              <w:t>Générale</w:t>
            </w:r>
          </w:p>
          <w:p w14:paraId="21D4B36E" w14:textId="734AA3E4" w:rsidR="00A96B21" w:rsidRPr="00B24880" w:rsidRDefault="0086677A" w:rsidP="003C6F10">
            <w:pPr>
              <w:ind w:left="2584"/>
              <w:rPr>
                <w:sz w:val="22"/>
                <w:szCs w:val="22"/>
                <w:lang w:val="fr-FR"/>
              </w:rPr>
            </w:pPr>
            <w:r w:rsidRPr="00B24880">
              <w:rPr>
                <w:sz w:val="22"/>
                <w:szCs w:val="22"/>
                <w:lang w:val="fr-FR"/>
              </w:rPr>
              <w:t>1</w:t>
            </w:r>
            <w:r w:rsidR="00AE7EBB">
              <w:rPr>
                <w:sz w:val="22"/>
                <w:szCs w:val="22"/>
                <w:lang w:val="fr-FR"/>
              </w:rPr>
              <w:t>8</w:t>
            </w:r>
            <w:r w:rsidR="00DF2F5E" w:rsidRPr="00B24880">
              <w:rPr>
                <w:sz w:val="22"/>
                <w:szCs w:val="22"/>
                <w:lang w:val="fr-FR"/>
              </w:rPr>
              <w:t xml:space="preserve"> </w:t>
            </w:r>
            <w:r w:rsidR="00044CE8" w:rsidRPr="00B24880">
              <w:rPr>
                <w:sz w:val="22"/>
                <w:szCs w:val="22"/>
                <w:lang w:val="fr-FR"/>
              </w:rPr>
              <w:t>mai</w:t>
            </w:r>
            <w:r w:rsidR="008B0EB5" w:rsidRPr="00B24880">
              <w:rPr>
                <w:sz w:val="22"/>
                <w:szCs w:val="22"/>
                <w:lang w:val="fr-FR"/>
              </w:rPr>
              <w:t xml:space="preserve"> </w:t>
            </w:r>
            <w:r w:rsidR="00A96B21" w:rsidRPr="00B24880">
              <w:rPr>
                <w:sz w:val="22"/>
                <w:szCs w:val="22"/>
                <w:lang w:val="fr-FR"/>
              </w:rPr>
              <w:t>202</w:t>
            </w:r>
            <w:r w:rsidR="008B0EB5" w:rsidRPr="00B24880">
              <w:rPr>
                <w:sz w:val="22"/>
                <w:szCs w:val="22"/>
                <w:lang w:val="fr-FR"/>
              </w:rPr>
              <w:t>4</w:t>
            </w:r>
          </w:p>
          <w:p w14:paraId="77F451A2" w14:textId="515E971F" w:rsidR="00A96B21" w:rsidRPr="00B24880" w:rsidRDefault="00044CE8" w:rsidP="003C6F10">
            <w:pPr>
              <w:ind w:left="2584"/>
              <w:rPr>
                <w:sz w:val="22"/>
                <w:szCs w:val="22"/>
                <w:lang w:val="fr-FR"/>
              </w:rPr>
            </w:pPr>
            <w:r w:rsidRPr="00B24880">
              <w:rPr>
                <w:sz w:val="22"/>
                <w:szCs w:val="22"/>
                <w:lang w:val="fr-FR"/>
              </w:rPr>
              <w:t>Français</w:t>
            </w:r>
          </w:p>
          <w:p w14:paraId="72ECA969" w14:textId="3596FE7D" w:rsidR="00A96B21" w:rsidRPr="00B24880" w:rsidRDefault="00A96B21" w:rsidP="003C6F10">
            <w:pPr>
              <w:ind w:left="2584"/>
              <w:rPr>
                <w:sz w:val="22"/>
                <w:szCs w:val="22"/>
                <w:lang w:val="fr-FR"/>
              </w:rPr>
            </w:pPr>
            <w:r w:rsidRPr="00B24880">
              <w:rPr>
                <w:sz w:val="22"/>
                <w:szCs w:val="22"/>
                <w:lang w:val="fr-FR"/>
              </w:rPr>
              <w:t>Original</w:t>
            </w:r>
            <w:r w:rsidR="00E87499">
              <w:rPr>
                <w:sz w:val="22"/>
                <w:szCs w:val="22"/>
                <w:lang w:val="fr-FR"/>
              </w:rPr>
              <w:t> </w:t>
            </w:r>
            <w:r w:rsidRPr="00B24880">
              <w:rPr>
                <w:sz w:val="22"/>
                <w:szCs w:val="22"/>
                <w:lang w:val="fr-FR"/>
              </w:rPr>
              <w:t xml:space="preserve">: </w:t>
            </w:r>
            <w:r w:rsidR="00E87499">
              <w:rPr>
                <w:sz w:val="22"/>
                <w:szCs w:val="22"/>
                <w:lang w:val="fr-FR"/>
              </w:rPr>
              <w:t>anglais</w:t>
            </w:r>
          </w:p>
          <w:p w14:paraId="7C2C2132" w14:textId="258278B6" w:rsidR="00A96B21" w:rsidRPr="00B24880" w:rsidRDefault="00A96B21" w:rsidP="00E87499">
            <w:pPr>
              <w:tabs>
                <w:tab w:val="left" w:pos="3165"/>
              </w:tabs>
              <w:rPr>
                <w:lang w:val="fr-FR"/>
              </w:rPr>
            </w:pPr>
          </w:p>
        </w:tc>
      </w:tr>
    </w:tbl>
    <w:p w14:paraId="156A814F" w14:textId="77777777" w:rsidR="00044CE8" w:rsidRPr="00B24880" w:rsidRDefault="00044CE8" w:rsidP="00044CE8">
      <w:pPr>
        <w:pStyle w:val="Cornernotation"/>
        <w:ind w:right="4682"/>
        <w:rPr>
          <w:bCs/>
          <w:lang w:val="fr-FR"/>
        </w:rPr>
      </w:pPr>
      <w:r w:rsidRPr="00B24880">
        <w:rPr>
          <w:bCs/>
          <w:lang w:val="fr-FR"/>
        </w:rPr>
        <w:t>Organe subsidiaire chargé de fournir des avis scientifiques, techniques et technologiques</w:t>
      </w:r>
    </w:p>
    <w:p w14:paraId="31EF677A" w14:textId="77777777" w:rsidR="00044CE8" w:rsidRPr="00B24880" w:rsidRDefault="00044CE8" w:rsidP="00044CE8">
      <w:pPr>
        <w:pStyle w:val="Cornernotation"/>
        <w:rPr>
          <w:bCs/>
          <w:sz w:val="22"/>
          <w:szCs w:val="22"/>
          <w:lang w:val="fr-FR"/>
        </w:rPr>
      </w:pPr>
      <w:r w:rsidRPr="00B24880">
        <w:rPr>
          <w:bCs/>
          <w:sz w:val="22"/>
          <w:szCs w:val="22"/>
          <w:lang w:val="fr-FR"/>
        </w:rPr>
        <w:t xml:space="preserve">Vingt-sixième réunion </w:t>
      </w:r>
    </w:p>
    <w:p w14:paraId="48617A81" w14:textId="77777777" w:rsidR="00044CE8" w:rsidRPr="00B24880" w:rsidRDefault="00044CE8" w:rsidP="00044CE8">
      <w:pPr>
        <w:pStyle w:val="Cornernotation-Item"/>
        <w:rPr>
          <w:b w:val="0"/>
          <w:lang w:val="fr-FR"/>
        </w:rPr>
      </w:pPr>
      <w:r w:rsidRPr="00B24880">
        <w:rPr>
          <w:b w:val="0"/>
          <w:lang w:val="fr-FR"/>
        </w:rPr>
        <w:t>Nairobi, 13–18 mai 2024</w:t>
      </w:r>
    </w:p>
    <w:p w14:paraId="5EA56FC4" w14:textId="5C906687" w:rsidR="00044CE8" w:rsidRPr="00B24880" w:rsidRDefault="00044CE8" w:rsidP="00044CE8">
      <w:pPr>
        <w:pStyle w:val="Cornernotation-Item"/>
        <w:rPr>
          <w:b w:val="0"/>
          <w:bCs w:val="0"/>
          <w:lang w:val="fr-FR"/>
        </w:rPr>
      </w:pPr>
      <w:r w:rsidRPr="00B24880">
        <w:rPr>
          <w:b w:val="0"/>
          <w:bCs w:val="0"/>
          <w:lang w:val="fr-FR"/>
        </w:rPr>
        <w:t xml:space="preserve">Point 6 de l’ordre du jour </w:t>
      </w:r>
    </w:p>
    <w:p w14:paraId="3F5533E7" w14:textId="0BBDA84B" w:rsidR="00A96B21" w:rsidRDefault="00044CE8" w:rsidP="00044CE8">
      <w:pPr>
        <w:pStyle w:val="Cornernotation-Item"/>
        <w:rPr>
          <w:rFonts w:asciiTheme="majorBidi" w:hAnsiTheme="majorBidi" w:cstheme="majorBidi"/>
          <w:lang w:val="fr-FR"/>
        </w:rPr>
      </w:pPr>
      <w:r w:rsidRPr="00B24880">
        <w:rPr>
          <w:rFonts w:asciiTheme="majorBidi" w:hAnsiTheme="majorBidi" w:cstheme="majorBidi"/>
          <w:lang w:val="fr-FR"/>
        </w:rPr>
        <w:t>Évaluation et gestion des risques</w:t>
      </w:r>
    </w:p>
    <w:p w14:paraId="14C1E3F1" w14:textId="77777777" w:rsidR="00097578" w:rsidRDefault="00097578" w:rsidP="00044CE8">
      <w:pPr>
        <w:pStyle w:val="Cornernotation-Item"/>
        <w:rPr>
          <w:rFonts w:asciiTheme="majorBidi" w:hAnsiTheme="majorBidi" w:cstheme="majorBidi"/>
          <w:lang w:val="fr-FR"/>
        </w:rPr>
      </w:pPr>
    </w:p>
    <w:p w14:paraId="7DBA06D3" w14:textId="3736D99A" w:rsidR="00097578" w:rsidRPr="00251DDB" w:rsidRDefault="00097578" w:rsidP="00097578">
      <w:pPr>
        <w:pStyle w:val="CBDTitle"/>
        <w:rPr>
          <w:lang w:val="fr-CA"/>
        </w:rPr>
      </w:pPr>
      <w:r w:rsidRPr="00251DDB">
        <w:rPr>
          <w:lang w:val="fr-CA"/>
        </w:rPr>
        <w:t>Recommandation adoptée par l'Organe subsidiaire chargé de fournir des avis scientifiques, techniques et technologiques le 18 mai 2024</w:t>
      </w:r>
    </w:p>
    <w:bookmarkEnd w:id="0"/>
    <w:p w14:paraId="42B509FF" w14:textId="65FEAAF3" w:rsidR="00A96B21" w:rsidRPr="00B24880" w:rsidRDefault="00000000" w:rsidP="00DB7669">
      <w:pPr>
        <w:pStyle w:val="Title"/>
        <w:jc w:val="left"/>
        <w:rPr>
          <w:lang w:val="fr-FR"/>
        </w:rPr>
      </w:pPr>
      <w:sdt>
        <w:sdtPr>
          <w:rPr>
            <w:lang w:val="fr-CA"/>
          </w:rPr>
          <w:alias w:val="Title"/>
          <w:tag w:val=""/>
          <w:id w:val="-1975355689"/>
          <w:placeholder>
            <w:docPart w:val="AE13E5511BB84B98AFFDB1154431C6D7"/>
          </w:placeholder>
          <w:dataBinding w:prefixMappings="xmlns:ns0='http://purl.org/dc/elements/1.1/' xmlns:ns1='http://schemas.openxmlformats.org/package/2006/metadata/core-properties' " w:xpath="/ns1:coreProperties[1]/ns0:title[1]" w:storeItemID="{6C3C8BC8-F283-45AE-878A-BAB7291924A1}"/>
          <w:text/>
        </w:sdtPr>
        <w:sdtContent>
          <w:r w:rsidR="00097578" w:rsidRPr="00251DDB">
            <w:rPr>
              <w:lang w:val="fr-CA"/>
            </w:rPr>
            <w:t>26/5.</w:t>
          </w:r>
          <w:r w:rsidR="00097578" w:rsidRPr="00251DDB">
            <w:rPr>
              <w:lang w:val="fr-CA"/>
            </w:rPr>
            <w:tab/>
            <w:t>Évaluation et gestion des risques</w:t>
          </w:r>
        </w:sdtContent>
      </w:sdt>
    </w:p>
    <w:p w14:paraId="43CF0651" w14:textId="725F6569" w:rsidR="00DA110B" w:rsidRPr="00B24880" w:rsidRDefault="00044CE8" w:rsidP="00EF7996">
      <w:pPr>
        <w:pStyle w:val="Para10"/>
        <w:numPr>
          <w:ilvl w:val="0"/>
          <w:numId w:val="0"/>
        </w:numPr>
        <w:tabs>
          <w:tab w:val="clear" w:pos="1134"/>
          <w:tab w:val="left" w:pos="2268"/>
        </w:tabs>
        <w:ind w:left="567" w:firstLine="567"/>
        <w:rPr>
          <w:i/>
          <w:iCs/>
          <w:lang w:val="fr-FR"/>
        </w:rPr>
      </w:pPr>
      <w:r w:rsidRPr="00B24880">
        <w:rPr>
          <w:i/>
          <w:iCs/>
          <w:lang w:val="fr-FR"/>
        </w:rPr>
        <w:t>L'Organe subsidiaire chargé de fournir des avis scientifiques, techniques et technologiques</w:t>
      </w:r>
    </w:p>
    <w:p w14:paraId="09F001AF" w14:textId="27320BAE" w:rsidR="00DA110B" w:rsidRPr="00B24880" w:rsidRDefault="00044CE8" w:rsidP="00A11237">
      <w:pPr>
        <w:ind w:left="567" w:firstLine="567"/>
        <w:rPr>
          <w:i/>
          <w:iCs/>
          <w:lang w:val="fr-FR"/>
        </w:rPr>
      </w:pPr>
      <w:r w:rsidRPr="00B24880">
        <w:rPr>
          <w:i/>
          <w:iCs/>
          <w:lang w:val="fr-FR"/>
        </w:rPr>
        <w:t xml:space="preserve">Recommande </w:t>
      </w:r>
      <w:r w:rsidRPr="00B24880">
        <w:rPr>
          <w:lang w:val="fr-FR"/>
        </w:rPr>
        <w:t>à la Conférence des Parties siégeant tant que Réunion des Parties au Protocole de Cartagena sur la prévention des risques biotechnologiques d'adopter, à sa onzième réunion, une décision libellée comme suit</w:t>
      </w:r>
      <w:r w:rsidRPr="00B24880">
        <w:rPr>
          <w:i/>
          <w:iCs/>
          <w:lang w:val="fr-FR"/>
        </w:rPr>
        <w:t xml:space="preserve"> </w:t>
      </w:r>
      <w:r w:rsidR="00CD287C" w:rsidRPr="00B24880">
        <w:rPr>
          <w:lang w:val="fr-FR"/>
        </w:rPr>
        <w:t>:</w:t>
      </w:r>
    </w:p>
    <w:p w14:paraId="2150E356" w14:textId="223B9AF2" w:rsidR="00E45F76" w:rsidRPr="00B24880" w:rsidRDefault="00044CE8" w:rsidP="00FB4056">
      <w:pPr>
        <w:pStyle w:val="Para10"/>
        <w:numPr>
          <w:ilvl w:val="0"/>
          <w:numId w:val="0"/>
        </w:numPr>
        <w:tabs>
          <w:tab w:val="clear" w:pos="1134"/>
          <w:tab w:val="left" w:pos="2268"/>
        </w:tabs>
        <w:ind w:left="1134" w:firstLine="567"/>
        <w:rPr>
          <w:lang w:val="fr-FR"/>
        </w:rPr>
      </w:pPr>
      <w:r w:rsidRPr="00B24880">
        <w:rPr>
          <w:i/>
          <w:iCs/>
          <w:lang w:val="fr-FR"/>
        </w:rPr>
        <w:t>La Conférence des Parties siégeant en tant que Réunion des Parties au Protocole Cartagena sur la prévention des risques biotechnologiques</w:t>
      </w:r>
      <w:r w:rsidR="00E45F76" w:rsidRPr="00B24880">
        <w:rPr>
          <w:lang w:val="fr-FR"/>
        </w:rPr>
        <w:t>,</w:t>
      </w:r>
    </w:p>
    <w:p w14:paraId="663C9AF3" w14:textId="4A657FDA" w:rsidR="00095DF2" w:rsidRPr="008E7B18" w:rsidRDefault="00044CE8" w:rsidP="00FB4056">
      <w:pPr>
        <w:pStyle w:val="Para10"/>
        <w:numPr>
          <w:ilvl w:val="0"/>
          <w:numId w:val="0"/>
        </w:numPr>
        <w:tabs>
          <w:tab w:val="clear" w:pos="1134"/>
          <w:tab w:val="left" w:pos="2268"/>
        </w:tabs>
        <w:ind w:left="1134" w:firstLine="567"/>
        <w:rPr>
          <w:lang w:val="fr-FR"/>
        </w:rPr>
      </w:pPr>
      <w:r w:rsidRPr="00B24880">
        <w:rPr>
          <w:i/>
          <w:iCs/>
          <w:lang w:val="fr-FR"/>
        </w:rPr>
        <w:t xml:space="preserve">Rappelant </w:t>
      </w:r>
      <w:r w:rsidRPr="008E7B18">
        <w:rPr>
          <w:lang w:val="fr-FR"/>
        </w:rPr>
        <w:t>l'article 1er du Protocole de Cartagena sur la prévention des risques biotechnologiques</w:t>
      </w:r>
      <w:r w:rsidR="00FC4CFF" w:rsidRPr="00B24880">
        <w:rPr>
          <w:rStyle w:val="FootnoteReference"/>
          <w:lang w:val="fr-FR"/>
        </w:rPr>
        <w:footnoteReference w:id="2"/>
      </w:r>
      <w:r w:rsidRPr="008E7B18">
        <w:rPr>
          <w:lang w:val="fr-FR"/>
        </w:rPr>
        <w:t>,</w:t>
      </w:r>
    </w:p>
    <w:p w14:paraId="09C19FDE" w14:textId="545DD45F" w:rsidR="00D22D07" w:rsidRPr="00B24880" w:rsidRDefault="00044CE8" w:rsidP="00FB4056">
      <w:pPr>
        <w:pStyle w:val="Para10"/>
        <w:numPr>
          <w:ilvl w:val="0"/>
          <w:numId w:val="0"/>
        </w:numPr>
        <w:tabs>
          <w:tab w:val="clear" w:pos="1134"/>
          <w:tab w:val="left" w:pos="2268"/>
        </w:tabs>
        <w:ind w:left="1134" w:firstLine="567"/>
        <w:rPr>
          <w:lang w:val="fr-FR"/>
        </w:rPr>
      </w:pPr>
      <w:r w:rsidRPr="00B24880">
        <w:rPr>
          <w:i/>
          <w:iCs/>
          <w:lang w:val="fr-FR"/>
        </w:rPr>
        <w:t xml:space="preserve">Rappelant également </w:t>
      </w:r>
      <w:r w:rsidRPr="00B24880">
        <w:rPr>
          <w:lang w:val="fr-FR"/>
        </w:rPr>
        <w:t xml:space="preserve">la décision </w:t>
      </w:r>
      <w:hyperlink r:id="rId14" w:history="1">
        <w:r w:rsidRPr="00B24880">
          <w:rPr>
            <w:rStyle w:val="Hyperlink"/>
            <w:sz w:val="22"/>
            <w:lang w:val="fr-FR"/>
          </w:rPr>
          <w:t>CP-10/10</w:t>
        </w:r>
      </w:hyperlink>
      <w:r w:rsidRPr="00B24880">
        <w:rPr>
          <w:lang w:val="fr-FR"/>
        </w:rPr>
        <w:t xml:space="preserve"> du 10 décembre 2022</w:t>
      </w:r>
      <w:r w:rsidR="00E45F76" w:rsidRPr="00B24880">
        <w:rPr>
          <w:lang w:val="fr-FR"/>
        </w:rPr>
        <w:t>,</w:t>
      </w:r>
    </w:p>
    <w:p w14:paraId="5738130B" w14:textId="664A0425" w:rsidR="006A286D" w:rsidRPr="00B24880" w:rsidRDefault="00044CE8" w:rsidP="006A286D">
      <w:pPr>
        <w:pStyle w:val="ListParagraph"/>
        <w:ind w:left="1134" w:firstLine="567"/>
        <w:rPr>
          <w:lang w:val="fr-FR"/>
        </w:rPr>
      </w:pPr>
      <w:r w:rsidRPr="00B24880">
        <w:rPr>
          <w:i/>
          <w:iCs/>
          <w:lang w:val="fr-FR"/>
        </w:rPr>
        <w:t xml:space="preserve">Rappelant en </w:t>
      </w:r>
      <w:r w:rsidRPr="00B24880">
        <w:rPr>
          <w:lang w:val="fr-FR"/>
        </w:rPr>
        <w:t xml:space="preserve">outre sa décision </w:t>
      </w:r>
      <w:hyperlink r:id="rId15" w:history="1">
        <w:r w:rsidRPr="00B24880">
          <w:rPr>
            <w:rStyle w:val="Hyperlink"/>
            <w:sz w:val="22"/>
            <w:lang w:val="fr-FR"/>
          </w:rPr>
          <w:t>CP-9/13</w:t>
        </w:r>
      </w:hyperlink>
      <w:r w:rsidRPr="00B24880">
        <w:rPr>
          <w:lang w:val="fr-FR"/>
        </w:rPr>
        <w:t xml:space="preserve"> du 28 novembre 2018, par laquelle elle a établi un processus d'identification et de hiérarchisation des questions particulières concernant l'évaluation des risques liés aux organismes vivants modifiés qui pourraient mériter d'être examinées</w:t>
      </w:r>
      <w:r w:rsidR="006A286D" w:rsidRPr="00B24880">
        <w:rPr>
          <w:lang w:val="fr-FR"/>
        </w:rPr>
        <w:t>,</w:t>
      </w:r>
    </w:p>
    <w:p w14:paraId="1D3F7FA4" w14:textId="378158C5" w:rsidR="006A286D" w:rsidRPr="00B24880" w:rsidRDefault="00044CE8" w:rsidP="006A286D">
      <w:pPr>
        <w:pStyle w:val="Para10"/>
        <w:numPr>
          <w:ilvl w:val="0"/>
          <w:numId w:val="0"/>
        </w:numPr>
        <w:ind w:left="1134" w:firstLine="567"/>
        <w:rPr>
          <w:lang w:val="fr-FR"/>
        </w:rPr>
      </w:pPr>
      <w:r w:rsidRPr="00B24880">
        <w:rPr>
          <w:i/>
          <w:iCs/>
          <w:lang w:val="fr-FR"/>
        </w:rPr>
        <w:t xml:space="preserve">Rappelant </w:t>
      </w:r>
      <w:r w:rsidRPr="00B24880">
        <w:rPr>
          <w:lang w:val="fr-FR"/>
        </w:rPr>
        <w:t>le paragraphe 7 de la décision 14/19 du 29 novembre 2018 de la Conférence des Parties à la Convention sur la diversité biologique</w:t>
      </w:r>
      <w:r w:rsidR="00B24880" w:rsidRPr="00924F5C">
        <w:rPr>
          <w:rStyle w:val="FootnoteReference"/>
        </w:rPr>
        <w:footnoteReference w:id="3"/>
      </w:r>
      <w:r w:rsidRPr="00B24880">
        <w:rPr>
          <w:lang w:val="fr-FR"/>
        </w:rPr>
        <w:t xml:space="preserve">, dans lequel la Conférence des Parties a souligné la nécessité d'une approche coordonnée, complémentaire et non redondante sur les questions liées à la biologie de synthèse dans le cadre de la Convention et de ses Protocoles, </w:t>
      </w:r>
      <w:r w:rsidR="00E87499">
        <w:rPr>
          <w:lang w:val="fr-FR"/>
        </w:rPr>
        <w:t>[</w:t>
      </w:r>
      <w:r w:rsidRPr="00B24880">
        <w:rPr>
          <w:lang w:val="fr-FR"/>
        </w:rPr>
        <w:t>et prenant note des conclusions du Groupe spécial d'experts techniques multidisciplinaire sur la biologie de synthèse à l'appui du processus d'analyse prospective, de suivi et d'évaluation élargi et régulier</w:t>
      </w:r>
      <w:r w:rsidR="007B2AC9">
        <w:rPr>
          <w:rStyle w:val="FootnoteReference"/>
        </w:rPr>
        <w:footnoteReference w:id="4"/>
      </w:r>
      <w:r w:rsidRPr="00B24880">
        <w:rPr>
          <w:lang w:val="fr-FR"/>
        </w:rPr>
        <w:t xml:space="preserve">, en particulier de sa recommandation d'examiner les insectes autolimitatifs </w:t>
      </w:r>
      <w:r w:rsidRPr="00B24880">
        <w:rPr>
          <w:lang w:val="fr-FR"/>
        </w:rPr>
        <w:lastRenderedPageBreak/>
        <w:t>en tant que sujet potentiel pour la poursuite de l'élaboration d'orientations sur l'évaluation des risques, conformément au processus énoncé à l'annexe I de la décision CP-9/13</w:t>
      </w:r>
      <w:r w:rsidR="006A286D" w:rsidRPr="00B24880">
        <w:rPr>
          <w:lang w:val="fr-FR"/>
        </w:rPr>
        <w:t>,</w:t>
      </w:r>
      <w:r w:rsidR="00E87499">
        <w:rPr>
          <w:lang w:val="fr-FR"/>
        </w:rPr>
        <w:t>]</w:t>
      </w:r>
      <w:r w:rsidR="006A286D" w:rsidRPr="00B24880">
        <w:rPr>
          <w:lang w:val="fr-FR"/>
        </w:rPr>
        <w:t xml:space="preserve"> </w:t>
      </w:r>
    </w:p>
    <w:p w14:paraId="2AC1D140" w14:textId="2C72BEA2" w:rsidR="006A286D" w:rsidRPr="00B24880" w:rsidRDefault="00044CE8" w:rsidP="00EF7996">
      <w:pPr>
        <w:pStyle w:val="Para10"/>
        <w:numPr>
          <w:ilvl w:val="0"/>
          <w:numId w:val="0"/>
        </w:numPr>
        <w:tabs>
          <w:tab w:val="clear" w:pos="1134"/>
          <w:tab w:val="left" w:pos="1701"/>
          <w:tab w:val="left" w:pos="2268"/>
          <w:tab w:val="left" w:pos="2481"/>
        </w:tabs>
        <w:ind w:left="1134" w:firstLine="567"/>
        <w:rPr>
          <w:lang w:val="fr-FR"/>
        </w:rPr>
      </w:pPr>
      <w:r w:rsidRPr="00B24880">
        <w:rPr>
          <w:i/>
          <w:iCs/>
          <w:lang w:val="fr-FR"/>
        </w:rPr>
        <w:t xml:space="preserve">Prenant note </w:t>
      </w:r>
      <w:r w:rsidRPr="00B24880">
        <w:rPr>
          <w:lang w:val="fr-FR"/>
        </w:rPr>
        <w:t>de l'évaluation par le Groupe spécial d'experts techniques sur l'évaluation des risques de questions supplémentaires pour lesquelles des documents d'orientation sur l'évaluation des risques pourraient être nécessaires</w:t>
      </w:r>
      <w:r w:rsidR="00DC6692" w:rsidRPr="00B24880">
        <w:rPr>
          <w:rStyle w:val="FootnoteReference"/>
          <w:kern w:val="22"/>
          <w:lang w:val="fr-FR"/>
        </w:rPr>
        <w:footnoteReference w:id="5"/>
      </w:r>
      <w:r w:rsidRPr="00B24880">
        <w:rPr>
          <w:lang w:val="fr-FR"/>
        </w:rPr>
        <w:t>,</w:t>
      </w:r>
    </w:p>
    <w:p w14:paraId="2559EDB2" w14:textId="72B69F8D" w:rsidR="00E45F76" w:rsidRPr="00B24880" w:rsidRDefault="00724001" w:rsidP="00FB4056">
      <w:pPr>
        <w:pStyle w:val="Para10"/>
        <w:numPr>
          <w:ilvl w:val="0"/>
          <w:numId w:val="0"/>
        </w:numPr>
        <w:tabs>
          <w:tab w:val="clear" w:pos="1134"/>
          <w:tab w:val="left" w:pos="1701"/>
          <w:tab w:val="left" w:pos="2268"/>
        </w:tabs>
        <w:ind w:left="1134" w:firstLine="567"/>
        <w:rPr>
          <w:i/>
          <w:iCs/>
          <w:lang w:val="fr-FR"/>
        </w:rPr>
      </w:pPr>
      <w:r w:rsidRPr="00B24880">
        <w:rPr>
          <w:lang w:val="fr-FR"/>
        </w:rPr>
        <w:t>1.</w:t>
      </w:r>
      <w:r w:rsidRPr="00B24880">
        <w:rPr>
          <w:lang w:val="fr-FR"/>
        </w:rPr>
        <w:tab/>
      </w:r>
      <w:r w:rsidR="002714F5" w:rsidRPr="002714F5">
        <w:rPr>
          <w:i/>
          <w:iCs/>
          <w:lang w:val="fr-FR"/>
        </w:rPr>
        <w:t>[Prend acte des][</w:t>
      </w:r>
      <w:r w:rsidR="00AD789A" w:rsidRPr="00B24880">
        <w:rPr>
          <w:i/>
          <w:iCs/>
          <w:lang w:val="fr-FR"/>
        </w:rPr>
        <w:t xml:space="preserve">Accueille </w:t>
      </w:r>
      <w:r w:rsidR="00AD789A" w:rsidRPr="00B24880">
        <w:rPr>
          <w:lang w:val="fr-FR"/>
        </w:rPr>
        <w:t>avec satisfaction</w:t>
      </w:r>
      <w:r w:rsidR="002714F5">
        <w:rPr>
          <w:lang w:val="fr-FR"/>
        </w:rPr>
        <w:t>]</w:t>
      </w:r>
      <w:r w:rsidR="00AD789A" w:rsidRPr="00B24880">
        <w:rPr>
          <w:lang w:val="fr-FR"/>
        </w:rPr>
        <w:t xml:space="preserve"> les résultats des réunions du Groupe spécial d'experts techniques sur l'évaluation des risques</w:t>
      </w:r>
      <w:r w:rsidR="00AD789A" w:rsidRPr="00B24880">
        <w:rPr>
          <w:rStyle w:val="FootnoteReference"/>
          <w:lang w:val="fr-FR"/>
        </w:rPr>
        <w:footnoteReference w:id="6"/>
      </w:r>
      <w:r w:rsidR="00AD789A" w:rsidRPr="00B24880">
        <w:rPr>
          <w:lang w:val="fr-FR"/>
        </w:rPr>
        <w:t xml:space="preserve"> </w:t>
      </w:r>
      <w:r w:rsidR="0011078C" w:rsidRPr="00B24880">
        <w:rPr>
          <w:lang w:val="fr-FR"/>
        </w:rPr>
        <w:t>;</w:t>
      </w:r>
    </w:p>
    <w:p w14:paraId="78520BFB" w14:textId="6CA58FB1" w:rsidR="00E45F76" w:rsidRPr="00B24880" w:rsidRDefault="00724001" w:rsidP="00FB4056">
      <w:pPr>
        <w:pStyle w:val="Para10"/>
        <w:numPr>
          <w:ilvl w:val="0"/>
          <w:numId w:val="0"/>
        </w:numPr>
        <w:tabs>
          <w:tab w:val="clear" w:pos="1134"/>
          <w:tab w:val="left" w:pos="1701"/>
          <w:tab w:val="left" w:pos="2268"/>
        </w:tabs>
        <w:ind w:left="1134" w:firstLine="567"/>
        <w:rPr>
          <w:i/>
          <w:iCs/>
          <w:lang w:val="fr-FR"/>
        </w:rPr>
      </w:pPr>
      <w:r w:rsidRPr="00B24880">
        <w:rPr>
          <w:lang w:val="fr-FR"/>
        </w:rPr>
        <w:t>2.</w:t>
      </w:r>
      <w:r w:rsidRPr="00B24880">
        <w:rPr>
          <w:lang w:val="fr-FR"/>
        </w:rPr>
        <w:tab/>
      </w:r>
      <w:r w:rsidR="002714F5">
        <w:rPr>
          <w:lang w:val="fr-FR"/>
        </w:rPr>
        <w:t>[</w:t>
      </w:r>
      <w:r w:rsidR="00AD789A" w:rsidRPr="00B24880">
        <w:rPr>
          <w:i/>
          <w:iCs/>
          <w:lang w:val="fr-FR"/>
        </w:rPr>
        <w:t>Se félicite également</w:t>
      </w:r>
      <w:r w:rsidR="002714F5">
        <w:rPr>
          <w:i/>
          <w:iCs/>
          <w:lang w:val="fr-FR"/>
        </w:rPr>
        <w:t xml:space="preserve"> des][Prend acte des][Approuve les]</w:t>
      </w:r>
      <w:r w:rsidR="00AD789A" w:rsidRPr="00B24880">
        <w:rPr>
          <w:i/>
          <w:iCs/>
          <w:lang w:val="fr-FR"/>
        </w:rPr>
        <w:t xml:space="preserve"> </w:t>
      </w:r>
      <w:r w:rsidR="00AD789A" w:rsidRPr="00B24880">
        <w:rPr>
          <w:lang w:val="fr-FR"/>
        </w:rPr>
        <w:t>documents d'orientations facultatives supplémentaires destinés à appuyer l'évaluation des risques au cas par cas des organismes vivants modifiés contenant des gènes issus du forçage génétique</w:t>
      </w:r>
      <w:r w:rsidR="00551602" w:rsidRPr="00B24880">
        <w:rPr>
          <w:rStyle w:val="FootnoteReference"/>
          <w:szCs w:val="22"/>
          <w:lang w:val="fr-FR"/>
        </w:rPr>
        <w:footnoteReference w:id="7"/>
      </w:r>
      <w:r w:rsidR="00AD789A" w:rsidRPr="00B24880">
        <w:rPr>
          <w:lang w:val="fr-FR"/>
        </w:rPr>
        <w:t xml:space="preserve"> ;</w:t>
      </w:r>
    </w:p>
    <w:p w14:paraId="4B19502B" w14:textId="3CD550A1" w:rsidR="00527B89" w:rsidRPr="00B24880" w:rsidRDefault="004F46D2" w:rsidP="00527B89">
      <w:pPr>
        <w:pStyle w:val="Para10"/>
        <w:numPr>
          <w:ilvl w:val="0"/>
          <w:numId w:val="0"/>
        </w:numPr>
        <w:tabs>
          <w:tab w:val="clear" w:pos="1134"/>
          <w:tab w:val="left" w:pos="1701"/>
          <w:tab w:val="left" w:pos="2268"/>
        </w:tabs>
        <w:ind w:left="1134" w:firstLine="567"/>
        <w:rPr>
          <w:lang w:val="fr-FR"/>
        </w:rPr>
      </w:pPr>
      <w:r>
        <w:rPr>
          <w:lang w:val="fr-FR"/>
        </w:rPr>
        <w:t>[</w:t>
      </w:r>
      <w:r w:rsidR="00724001" w:rsidRPr="00B24880">
        <w:rPr>
          <w:lang w:val="fr-FR"/>
        </w:rPr>
        <w:t>3.</w:t>
      </w:r>
      <w:r w:rsidR="00724001" w:rsidRPr="00B24880">
        <w:rPr>
          <w:lang w:val="fr-FR"/>
        </w:rPr>
        <w:tab/>
      </w:r>
      <w:r w:rsidR="00AD789A" w:rsidRPr="00B24880">
        <w:rPr>
          <w:i/>
          <w:iCs/>
          <w:kern w:val="22"/>
          <w:lang w:val="fr-FR"/>
        </w:rPr>
        <w:t xml:space="preserve">Encourage </w:t>
      </w:r>
      <w:r w:rsidR="00AD789A" w:rsidRPr="00B24880">
        <w:rPr>
          <w:kern w:val="22"/>
          <w:lang w:val="fr-FR"/>
        </w:rPr>
        <w:t xml:space="preserve">les Parties, les autres gouvernements, les peuples autochtones et les communautés locales, </w:t>
      </w:r>
      <w:r>
        <w:rPr>
          <w:kern w:val="22"/>
          <w:lang w:val="fr-FR"/>
        </w:rPr>
        <w:t xml:space="preserve">les organisations de femmes et de jeunes, </w:t>
      </w:r>
      <w:r w:rsidR="00AD789A" w:rsidRPr="00B24880">
        <w:rPr>
          <w:kern w:val="22"/>
          <w:lang w:val="fr-FR"/>
        </w:rPr>
        <w:t>ainsi que les organisations et les parties prenantes concernées, à utiliser les documents d'orientation volontaires supplémentaires pour réaliser les évaluations des risques pertinentes et comme outil pour les activités de renforcement des capacités dans le domaine de l'évaluation des risques</w:t>
      </w:r>
      <w:r w:rsidR="00AD789A" w:rsidRPr="00B24880">
        <w:rPr>
          <w:lang w:val="fr-FR"/>
        </w:rPr>
        <w:t xml:space="preserve"> </w:t>
      </w:r>
      <w:r w:rsidR="00B40DE5" w:rsidRPr="00B24880">
        <w:rPr>
          <w:lang w:val="fr-FR"/>
        </w:rPr>
        <w:t>;</w:t>
      </w:r>
      <w:r>
        <w:rPr>
          <w:lang w:val="fr-FR"/>
        </w:rPr>
        <w:t>]</w:t>
      </w:r>
      <w:r w:rsidR="00E57E22" w:rsidRPr="00B24880">
        <w:rPr>
          <w:lang w:val="fr-FR"/>
        </w:rPr>
        <w:t xml:space="preserve"> </w:t>
      </w:r>
    </w:p>
    <w:p w14:paraId="1704B125" w14:textId="174E8018" w:rsidR="00E57E22" w:rsidRPr="00B24880" w:rsidRDefault="004F66C7" w:rsidP="001D6A4A">
      <w:pPr>
        <w:pStyle w:val="Para10"/>
        <w:numPr>
          <w:ilvl w:val="0"/>
          <w:numId w:val="0"/>
        </w:numPr>
        <w:tabs>
          <w:tab w:val="clear" w:pos="1134"/>
          <w:tab w:val="left" w:pos="1701"/>
          <w:tab w:val="left" w:pos="2268"/>
        </w:tabs>
        <w:ind w:left="1134" w:firstLine="567"/>
        <w:rPr>
          <w:kern w:val="22"/>
          <w:szCs w:val="22"/>
          <w:lang w:val="fr-FR"/>
        </w:rPr>
      </w:pPr>
      <w:r w:rsidRPr="00B24880">
        <w:rPr>
          <w:kern w:val="22"/>
          <w:szCs w:val="22"/>
          <w:lang w:val="fr-FR"/>
        </w:rPr>
        <w:t>4</w:t>
      </w:r>
      <w:r w:rsidR="00527B89" w:rsidRPr="00B24880">
        <w:rPr>
          <w:kern w:val="22"/>
          <w:szCs w:val="22"/>
          <w:lang w:val="fr-FR"/>
        </w:rPr>
        <w:tab/>
      </w:r>
      <w:r w:rsidR="00AD789A" w:rsidRPr="00B24880">
        <w:rPr>
          <w:i/>
          <w:iCs/>
          <w:color w:val="000000"/>
          <w:szCs w:val="22"/>
          <w:lang w:val="fr-FR"/>
        </w:rPr>
        <w:t xml:space="preserve">Invite </w:t>
      </w:r>
      <w:r w:rsidR="00AD789A" w:rsidRPr="00B24880">
        <w:rPr>
          <w:color w:val="000000"/>
          <w:szCs w:val="22"/>
          <w:lang w:val="fr-FR"/>
        </w:rPr>
        <w:t xml:space="preserve">les Parties, les autres gouvernements, les peuples autochtones et les communautés locales, ainsi que les organisations et les parties prenantes concernées qui ont utilisé les documents d'orientations facultatives à communiquer au Secrétaire exécutif des informations sur leur expérience et leur évaluation de l'applicabilité et de l'utilité de ces documents </w:t>
      </w:r>
      <w:r w:rsidR="0017676A" w:rsidRPr="00B24880">
        <w:rPr>
          <w:lang w:val="fr-FR"/>
        </w:rPr>
        <w:t>;</w:t>
      </w:r>
    </w:p>
    <w:p w14:paraId="7F299891" w14:textId="276F73B3" w:rsidR="002850D4" w:rsidRPr="00B24880" w:rsidRDefault="00EA364F" w:rsidP="00FB4056">
      <w:pPr>
        <w:pStyle w:val="Para10"/>
        <w:numPr>
          <w:ilvl w:val="0"/>
          <w:numId w:val="0"/>
        </w:numPr>
        <w:tabs>
          <w:tab w:val="clear" w:pos="1134"/>
          <w:tab w:val="left" w:pos="1701"/>
          <w:tab w:val="left" w:pos="2268"/>
        </w:tabs>
        <w:ind w:left="1134" w:firstLine="567"/>
        <w:rPr>
          <w:kern w:val="22"/>
          <w:lang w:val="fr-FR"/>
        </w:rPr>
      </w:pPr>
      <w:r w:rsidRPr="00B24880">
        <w:rPr>
          <w:lang w:val="fr-FR"/>
        </w:rPr>
        <w:t>5</w:t>
      </w:r>
      <w:r w:rsidR="00724001" w:rsidRPr="00B24880">
        <w:rPr>
          <w:lang w:val="fr-FR"/>
        </w:rPr>
        <w:t>.</w:t>
      </w:r>
      <w:r w:rsidR="00724001" w:rsidRPr="00B24880">
        <w:rPr>
          <w:lang w:val="fr-FR"/>
        </w:rPr>
        <w:tab/>
      </w:r>
      <w:r w:rsidR="00AD789A" w:rsidRPr="00B24880">
        <w:rPr>
          <w:i/>
          <w:iCs/>
          <w:kern w:val="22"/>
          <w:lang w:val="fr-FR"/>
        </w:rPr>
        <w:t xml:space="preserve">Demande </w:t>
      </w:r>
      <w:r w:rsidR="00AD789A" w:rsidRPr="00B24880">
        <w:rPr>
          <w:kern w:val="22"/>
          <w:lang w:val="fr-FR"/>
        </w:rPr>
        <w:t xml:space="preserve">une large coopération internationale, un partage des connaissances, un renforcement des capacités et une mobilisation des ressources afin d'appuyer, entre autres, l'application des documents d'orientations facultatives supplémentaires </w:t>
      </w:r>
      <w:r w:rsidR="004A2F62" w:rsidRPr="00B24880">
        <w:rPr>
          <w:kern w:val="22"/>
          <w:lang w:val="fr-FR"/>
        </w:rPr>
        <w:t>;</w:t>
      </w:r>
    </w:p>
    <w:p w14:paraId="3916D97C" w14:textId="578C86C1" w:rsidR="00E32947" w:rsidRPr="00B24880" w:rsidRDefault="008A7BD4" w:rsidP="00FB4056">
      <w:pPr>
        <w:pStyle w:val="Para10"/>
        <w:numPr>
          <w:ilvl w:val="0"/>
          <w:numId w:val="0"/>
        </w:numPr>
        <w:tabs>
          <w:tab w:val="clear" w:pos="1134"/>
          <w:tab w:val="left" w:pos="1701"/>
          <w:tab w:val="left" w:pos="2268"/>
        </w:tabs>
        <w:ind w:left="1134" w:firstLine="567"/>
        <w:rPr>
          <w:kern w:val="22"/>
          <w:lang w:val="fr-FR"/>
        </w:rPr>
      </w:pPr>
      <w:r>
        <w:rPr>
          <w:kern w:val="22"/>
          <w:lang w:val="fr-FR"/>
        </w:rPr>
        <w:t>[</w:t>
      </w:r>
      <w:r w:rsidR="00EA364F" w:rsidRPr="00B24880">
        <w:rPr>
          <w:kern w:val="22"/>
          <w:lang w:val="fr-FR"/>
        </w:rPr>
        <w:t>6</w:t>
      </w:r>
      <w:r w:rsidR="00CB6724" w:rsidRPr="00B24880">
        <w:rPr>
          <w:kern w:val="22"/>
          <w:lang w:val="fr-FR"/>
        </w:rPr>
        <w:t>.</w:t>
      </w:r>
      <w:r w:rsidR="00CB6724" w:rsidRPr="00B24880">
        <w:rPr>
          <w:kern w:val="22"/>
          <w:lang w:val="fr-FR"/>
        </w:rPr>
        <w:tab/>
      </w:r>
      <w:r w:rsidR="00AD789A" w:rsidRPr="00B24880">
        <w:rPr>
          <w:i/>
          <w:iCs/>
          <w:kern w:val="22"/>
          <w:lang w:val="fr-FR"/>
        </w:rPr>
        <w:t>Demande</w:t>
      </w:r>
      <w:r w:rsidR="00AD789A" w:rsidRPr="00B24880">
        <w:rPr>
          <w:kern w:val="22"/>
          <w:lang w:val="fr-FR"/>
        </w:rPr>
        <w:t xml:space="preserve"> également la prise en compte des questions connexes exposées dans les orientations facultatives supplémentaires</w:t>
      </w:r>
      <w:r w:rsidR="00AD789A" w:rsidRPr="00B24880">
        <w:rPr>
          <w:rStyle w:val="FootnoteReference"/>
          <w:kern w:val="22"/>
          <w:lang w:val="fr-FR"/>
        </w:rPr>
        <w:footnoteReference w:id="8"/>
      </w:r>
      <w:r w:rsidR="00AD789A" w:rsidRPr="00B24880">
        <w:rPr>
          <w:kern w:val="22"/>
          <w:lang w:val="fr-FR"/>
        </w:rPr>
        <w:t xml:space="preserve">, y compris les connaissances, innovations et pratiques traditionnelles des peuples autochtones et des communautés locales, lors de l'utilisation des orientations facultatives </w:t>
      </w:r>
      <w:r w:rsidR="00E351D2" w:rsidRPr="00B24880">
        <w:rPr>
          <w:kern w:val="22"/>
          <w:lang w:val="fr-FR"/>
        </w:rPr>
        <w:t>;</w:t>
      </w:r>
      <w:r>
        <w:rPr>
          <w:kern w:val="22"/>
          <w:lang w:val="fr-FR"/>
        </w:rPr>
        <w:t>]</w:t>
      </w:r>
    </w:p>
    <w:p w14:paraId="30F77EE8" w14:textId="2BC4B6FC" w:rsidR="00BC20E0" w:rsidRPr="00B24880" w:rsidRDefault="00BC20E0" w:rsidP="00FB4056">
      <w:pPr>
        <w:pStyle w:val="Para10"/>
        <w:numPr>
          <w:ilvl w:val="0"/>
          <w:numId w:val="0"/>
        </w:numPr>
        <w:tabs>
          <w:tab w:val="clear" w:pos="1134"/>
          <w:tab w:val="left" w:pos="1701"/>
          <w:tab w:val="left" w:pos="2268"/>
        </w:tabs>
        <w:ind w:left="1134" w:firstLine="567"/>
        <w:rPr>
          <w:kern w:val="22"/>
          <w:lang w:val="fr-FR"/>
        </w:rPr>
      </w:pPr>
      <w:r w:rsidRPr="00B24880">
        <w:rPr>
          <w:kern w:val="22"/>
          <w:lang w:val="fr-FR"/>
        </w:rPr>
        <w:t>[</w:t>
      </w:r>
    </w:p>
    <w:p w14:paraId="3A468343" w14:textId="01B10167" w:rsidR="0091603A" w:rsidRPr="00B24880" w:rsidRDefault="00EA364F" w:rsidP="00DB7669">
      <w:pPr>
        <w:tabs>
          <w:tab w:val="left" w:pos="1701"/>
          <w:tab w:val="left" w:pos="2268"/>
        </w:tabs>
        <w:ind w:left="1134" w:firstLine="567"/>
        <w:rPr>
          <w:lang w:val="fr-FR"/>
        </w:rPr>
      </w:pPr>
      <w:r w:rsidRPr="00B24880">
        <w:rPr>
          <w:lang w:val="fr-FR"/>
        </w:rPr>
        <w:t>7</w:t>
      </w:r>
      <w:r w:rsidR="008F6D36" w:rsidRPr="00B24880">
        <w:rPr>
          <w:lang w:val="fr-FR"/>
        </w:rPr>
        <w:t>.</w:t>
      </w:r>
      <w:r w:rsidR="008F6D36" w:rsidRPr="00B24880">
        <w:rPr>
          <w:lang w:val="fr-FR"/>
        </w:rPr>
        <w:tab/>
      </w:r>
      <w:r w:rsidR="00AD789A" w:rsidRPr="00B24880">
        <w:rPr>
          <w:i/>
          <w:iCs/>
          <w:lang w:val="fr-FR"/>
        </w:rPr>
        <w:t xml:space="preserve">Décide </w:t>
      </w:r>
      <w:r w:rsidR="00AD789A" w:rsidRPr="00B24880">
        <w:rPr>
          <w:lang w:val="fr-FR"/>
        </w:rPr>
        <w:t>de créer un Groupe spécial experts techniques sur l'évaluation des risques, dont le mandat figure à l'annexe de la présente décision, chargé d'élaborer des orientations facultatives supplémentaires pour appuyer l'évaluation des risques au cas par cas des poissons vivants modifies</w:t>
      </w:r>
      <w:r w:rsidR="00AD789A" w:rsidRPr="00B24880">
        <w:rPr>
          <w:i/>
          <w:iCs/>
          <w:lang w:val="fr-FR"/>
        </w:rPr>
        <w:t xml:space="preserve"> </w:t>
      </w:r>
      <w:r w:rsidR="0091603A" w:rsidRPr="00B24880">
        <w:rPr>
          <w:lang w:val="fr-FR"/>
        </w:rPr>
        <w:t>;</w:t>
      </w:r>
    </w:p>
    <w:p w14:paraId="3E267E07" w14:textId="66412C02" w:rsidR="0091603A" w:rsidRPr="00B24880" w:rsidRDefault="00EA364F" w:rsidP="00DB7669">
      <w:pPr>
        <w:pStyle w:val="Para10"/>
        <w:numPr>
          <w:ilvl w:val="0"/>
          <w:numId w:val="0"/>
        </w:numPr>
        <w:tabs>
          <w:tab w:val="clear" w:pos="1134"/>
          <w:tab w:val="left" w:pos="1701"/>
          <w:tab w:val="left" w:pos="2268"/>
        </w:tabs>
        <w:ind w:left="1134" w:firstLine="567"/>
        <w:rPr>
          <w:lang w:val="fr-FR"/>
        </w:rPr>
      </w:pPr>
      <w:r w:rsidRPr="00B24880">
        <w:rPr>
          <w:lang w:val="fr-FR"/>
        </w:rPr>
        <w:t>8</w:t>
      </w:r>
      <w:r w:rsidR="008F6D36" w:rsidRPr="00B24880">
        <w:rPr>
          <w:lang w:val="fr-FR"/>
        </w:rPr>
        <w:t>.</w:t>
      </w:r>
      <w:r w:rsidR="008F6D36" w:rsidRPr="00B24880">
        <w:rPr>
          <w:lang w:val="fr-FR"/>
        </w:rPr>
        <w:tab/>
      </w:r>
      <w:r w:rsidR="00AD789A" w:rsidRPr="00B24880">
        <w:rPr>
          <w:i/>
          <w:iCs/>
          <w:lang w:val="fr-FR"/>
        </w:rPr>
        <w:t xml:space="preserve">Invite </w:t>
      </w:r>
      <w:r w:rsidR="00AD789A" w:rsidRPr="00B24880">
        <w:rPr>
          <w:lang w:val="fr-FR"/>
        </w:rPr>
        <w:t xml:space="preserve">les Parties, les autres gouvernements, les peuples autochtones et les communautés locales, ainsi que les organisations concernées, à soumettre au secrétariat des informations pertinentes pour les travaux du Groupe spécial d'experts techniques sur l'évaluation des risques </w:t>
      </w:r>
      <w:r w:rsidR="0091603A" w:rsidRPr="00B24880">
        <w:rPr>
          <w:lang w:val="fr-FR"/>
        </w:rPr>
        <w:t>;</w:t>
      </w:r>
    </w:p>
    <w:p w14:paraId="0299AF73" w14:textId="5BEDF5F5" w:rsidR="00BC20E0" w:rsidRPr="00B24880" w:rsidRDefault="00EA364F" w:rsidP="00DB7669">
      <w:pPr>
        <w:tabs>
          <w:tab w:val="left" w:pos="1701"/>
          <w:tab w:val="left" w:pos="2268"/>
        </w:tabs>
        <w:spacing w:before="120" w:after="120"/>
        <w:ind w:left="1134" w:firstLine="567"/>
        <w:rPr>
          <w:lang w:val="fr-FR"/>
        </w:rPr>
      </w:pPr>
      <w:r w:rsidRPr="00B24880">
        <w:rPr>
          <w:lang w:val="fr-FR"/>
        </w:rPr>
        <w:t>9</w:t>
      </w:r>
      <w:r w:rsidR="008F6D36" w:rsidRPr="00B24880">
        <w:rPr>
          <w:lang w:val="fr-FR"/>
        </w:rPr>
        <w:t>.</w:t>
      </w:r>
      <w:r w:rsidR="008F6D36" w:rsidRPr="00B24880">
        <w:rPr>
          <w:lang w:val="fr-FR"/>
        </w:rPr>
        <w:tab/>
      </w:r>
      <w:r w:rsidR="00AD789A" w:rsidRPr="00B24880">
        <w:rPr>
          <w:i/>
          <w:iCs/>
          <w:lang w:val="fr-FR"/>
        </w:rPr>
        <w:t xml:space="preserve">Décide </w:t>
      </w:r>
      <w:r w:rsidR="00AD789A" w:rsidRPr="00B24880">
        <w:rPr>
          <w:lang w:val="fr-FR"/>
        </w:rPr>
        <w:t>d'étendre le forum en ligne à composition non limitée sur l'évaluation et la gestion des risques afin de contribuer à l'élaboration d'orientations volontaires supplémentaires en appui à l'évaluation des risques au cas par cas des poissons vivants modifies</w:t>
      </w:r>
      <w:r w:rsidR="00AD789A" w:rsidRPr="00B24880">
        <w:rPr>
          <w:i/>
          <w:iCs/>
          <w:lang w:val="fr-FR"/>
        </w:rPr>
        <w:t xml:space="preserve"> </w:t>
      </w:r>
      <w:r w:rsidR="0091603A" w:rsidRPr="00B24880">
        <w:rPr>
          <w:lang w:val="fr-FR"/>
        </w:rPr>
        <w:t>;</w:t>
      </w:r>
    </w:p>
    <w:p w14:paraId="69509D68" w14:textId="21871D39" w:rsidR="00BC20E0" w:rsidRPr="00B24880" w:rsidRDefault="00EA364F" w:rsidP="00DB7669">
      <w:pPr>
        <w:tabs>
          <w:tab w:val="left" w:pos="1701"/>
          <w:tab w:val="left" w:pos="2268"/>
        </w:tabs>
        <w:spacing w:before="120" w:after="120"/>
        <w:ind w:left="1134" w:firstLine="567"/>
        <w:rPr>
          <w:lang w:val="fr-FR"/>
        </w:rPr>
      </w:pPr>
      <w:r w:rsidRPr="00B24880">
        <w:rPr>
          <w:lang w:val="fr-FR"/>
        </w:rPr>
        <w:t>10</w:t>
      </w:r>
      <w:r w:rsidR="00BC20E0" w:rsidRPr="00B24880">
        <w:rPr>
          <w:lang w:val="fr-FR"/>
        </w:rPr>
        <w:t>.</w:t>
      </w:r>
      <w:r w:rsidR="00BC20E0" w:rsidRPr="00B24880">
        <w:rPr>
          <w:lang w:val="fr-FR"/>
        </w:rPr>
        <w:tab/>
      </w:r>
      <w:r w:rsidR="00AD789A" w:rsidRPr="00B24880">
        <w:rPr>
          <w:i/>
          <w:iCs/>
          <w:lang w:val="fr-FR"/>
        </w:rPr>
        <w:t xml:space="preserve">Prie </w:t>
      </w:r>
      <w:r w:rsidR="00AD789A" w:rsidRPr="00B24880">
        <w:rPr>
          <w:lang w:val="fr-FR"/>
        </w:rPr>
        <w:t xml:space="preserve">l'Organe subsidiaire chargé de fournir des avis scientifiques, techniques et technologiques d'examiner à sa vingt-huitième réunion les résultats des travaux du Groupe spécial d'experts techniques sur l'évaluation des risques et de formuler une recommandation </w:t>
      </w:r>
      <w:r w:rsidR="00AD789A" w:rsidRPr="00B24880">
        <w:rPr>
          <w:lang w:val="fr-FR"/>
        </w:rPr>
        <w:lastRenderedPageBreak/>
        <w:t xml:space="preserve">pour examen par la Conférence des Parties siégeant en tant que Réunion des Parties au Protocole de Cartagena </w:t>
      </w:r>
      <w:r w:rsidR="00D53AAB" w:rsidRPr="00D53AAB">
        <w:rPr>
          <w:lang w:val="fr-FR"/>
        </w:rPr>
        <w:t>sur la prévention des risques biotechnologiques</w:t>
      </w:r>
      <w:r w:rsidR="00D53AAB">
        <w:rPr>
          <w:lang w:val="fr-FR"/>
        </w:rPr>
        <w:t xml:space="preserve"> </w:t>
      </w:r>
      <w:r w:rsidR="00AD789A" w:rsidRPr="00B24880">
        <w:rPr>
          <w:lang w:val="fr-FR"/>
        </w:rPr>
        <w:t xml:space="preserve">à sa douzième </w:t>
      </w:r>
      <w:r w:rsidR="00D04D19" w:rsidRPr="00B24880">
        <w:rPr>
          <w:lang w:val="fr-FR"/>
        </w:rPr>
        <w:t>réunion</w:t>
      </w:r>
      <w:r w:rsidR="00D53AAB">
        <w:rPr>
          <w:lang w:val="fr-FR"/>
        </w:rPr>
        <w:t> </w:t>
      </w:r>
      <w:r w:rsidR="00BC20E0" w:rsidRPr="00B24880">
        <w:rPr>
          <w:lang w:val="fr-FR"/>
        </w:rPr>
        <w:t>;</w:t>
      </w:r>
    </w:p>
    <w:p w14:paraId="65BDA077" w14:textId="62055BA5" w:rsidR="0091603A" w:rsidRPr="00B24880" w:rsidRDefault="00C91A1C" w:rsidP="00DB7669">
      <w:pPr>
        <w:tabs>
          <w:tab w:val="left" w:pos="1701"/>
          <w:tab w:val="left" w:pos="2268"/>
        </w:tabs>
        <w:spacing w:before="120" w:after="120"/>
        <w:ind w:left="1134" w:firstLine="567"/>
        <w:rPr>
          <w:lang w:val="fr-FR"/>
        </w:rPr>
      </w:pPr>
      <w:r w:rsidRPr="00B24880">
        <w:rPr>
          <w:lang w:val="fr-FR"/>
        </w:rPr>
        <w:t>]</w:t>
      </w:r>
    </w:p>
    <w:p w14:paraId="164AB0AC" w14:textId="7797099E" w:rsidR="007F1595" w:rsidRPr="00B24880" w:rsidRDefault="00EA364F" w:rsidP="007F1595">
      <w:pPr>
        <w:pStyle w:val="Para10"/>
        <w:numPr>
          <w:ilvl w:val="0"/>
          <w:numId w:val="0"/>
        </w:numPr>
        <w:tabs>
          <w:tab w:val="left" w:pos="2268"/>
        </w:tabs>
        <w:ind w:left="1134" w:firstLine="567"/>
        <w:rPr>
          <w:lang w:val="fr-FR"/>
        </w:rPr>
      </w:pPr>
      <w:r w:rsidRPr="00B24880">
        <w:rPr>
          <w:lang w:val="fr-FR"/>
        </w:rPr>
        <w:t>11</w:t>
      </w:r>
      <w:r w:rsidR="00F05985" w:rsidRPr="00B24880">
        <w:rPr>
          <w:lang w:val="fr-FR"/>
        </w:rPr>
        <w:t>.</w:t>
      </w:r>
      <w:r w:rsidR="00F05985" w:rsidRPr="00B24880">
        <w:rPr>
          <w:i/>
          <w:iCs/>
          <w:lang w:val="fr-FR"/>
        </w:rPr>
        <w:tab/>
      </w:r>
      <w:r w:rsidR="00AD789A" w:rsidRPr="00B24880">
        <w:rPr>
          <w:i/>
          <w:iCs/>
          <w:lang w:val="fr-FR"/>
        </w:rPr>
        <w:t xml:space="preserve">Invite </w:t>
      </w:r>
      <w:r w:rsidR="00AD789A" w:rsidRPr="00B24880">
        <w:rPr>
          <w:lang w:val="fr-FR"/>
        </w:rPr>
        <w:t xml:space="preserve">les Parties à soumettre des informations détaillées sur leurs besoins et priorités en matière de nouvelles orientations sur des sujets spécifiques de l'évaluation des risques liés aux organismes vivants modifiés, y compris une argumentation suivant les critères énoncés à l'annexe I de la décision CP-9/13, en tenant compte de la recommandation du Groupe spécial d'experts techniques multidisciplinaire sur la biologie de synthèse </w:t>
      </w:r>
      <w:r w:rsidR="00D53AAB">
        <w:rPr>
          <w:lang w:val="fr-FR"/>
        </w:rPr>
        <w:t xml:space="preserve">pour appuyer le </w:t>
      </w:r>
      <w:r w:rsidR="00D53AAB" w:rsidRPr="00B24880">
        <w:rPr>
          <w:lang w:val="fr-FR"/>
        </w:rPr>
        <w:t xml:space="preserve">processus d'analyse prospective, de suivi et d'évaluation élargi et régulier </w:t>
      </w:r>
      <w:r w:rsidR="00D53AAB">
        <w:rPr>
          <w:lang w:val="fr-FR"/>
        </w:rPr>
        <w:t xml:space="preserve">en vue </w:t>
      </w:r>
      <w:r w:rsidR="00AD789A" w:rsidRPr="00B24880">
        <w:rPr>
          <w:lang w:val="fr-FR"/>
        </w:rPr>
        <w:t>d'envisager la question des insectes autolimitatifs comme un sujet potentiel</w:t>
      </w:r>
      <w:r w:rsidR="00AD789A" w:rsidRPr="00B24880">
        <w:rPr>
          <w:i/>
          <w:iCs/>
          <w:lang w:val="fr-FR"/>
        </w:rPr>
        <w:t xml:space="preserve"> </w:t>
      </w:r>
      <w:r w:rsidR="007F1595" w:rsidRPr="00B24880">
        <w:rPr>
          <w:lang w:val="fr-FR"/>
        </w:rPr>
        <w:t>;</w:t>
      </w:r>
    </w:p>
    <w:p w14:paraId="5E0D4128" w14:textId="08D3FD48" w:rsidR="006F655C" w:rsidRPr="00B24880" w:rsidRDefault="00EA364F" w:rsidP="007F1595">
      <w:pPr>
        <w:pStyle w:val="Para10"/>
        <w:numPr>
          <w:ilvl w:val="0"/>
          <w:numId w:val="0"/>
        </w:numPr>
        <w:tabs>
          <w:tab w:val="left" w:pos="2268"/>
        </w:tabs>
        <w:ind w:left="1134" w:firstLine="567"/>
        <w:rPr>
          <w:kern w:val="22"/>
          <w:lang w:val="fr-FR"/>
        </w:rPr>
      </w:pPr>
      <w:r w:rsidRPr="00B24880">
        <w:rPr>
          <w:lang w:val="fr-FR"/>
        </w:rPr>
        <w:t>12</w:t>
      </w:r>
      <w:r w:rsidR="007F1595" w:rsidRPr="00B24880">
        <w:rPr>
          <w:lang w:val="fr-FR"/>
        </w:rPr>
        <w:t>.</w:t>
      </w:r>
      <w:r w:rsidR="007F1595" w:rsidRPr="00B24880">
        <w:rPr>
          <w:lang w:val="fr-FR"/>
        </w:rPr>
        <w:tab/>
      </w:r>
      <w:r w:rsidR="00AD789A" w:rsidRPr="00B24880">
        <w:rPr>
          <w:i/>
          <w:iCs/>
          <w:lang w:val="fr-FR"/>
        </w:rPr>
        <w:t xml:space="preserve">Décide </w:t>
      </w:r>
      <w:r w:rsidR="00AD789A" w:rsidRPr="00B24880">
        <w:rPr>
          <w:lang w:val="fr-FR"/>
        </w:rPr>
        <w:t>d'étendre le Forum en ligne ouvert sur l'évaluation et la gestion des risques afin d'appuyer l'analyse d'autres sujets d'évaluation des risques conformément aux critères énoncés à l'annexe I de la décision CP-9/13</w:t>
      </w:r>
      <w:r w:rsidR="00AD789A" w:rsidRPr="00B24880">
        <w:rPr>
          <w:kern w:val="22"/>
          <w:lang w:val="fr-FR"/>
        </w:rPr>
        <w:t xml:space="preserve"> </w:t>
      </w:r>
      <w:r w:rsidR="007F1595" w:rsidRPr="00B24880">
        <w:rPr>
          <w:kern w:val="22"/>
          <w:lang w:val="fr-FR"/>
        </w:rPr>
        <w:t>;</w:t>
      </w:r>
    </w:p>
    <w:p w14:paraId="4E55AC76" w14:textId="475D4C94" w:rsidR="007F1595" w:rsidRPr="00B24880" w:rsidRDefault="00EA364F" w:rsidP="00EF7996">
      <w:pPr>
        <w:pStyle w:val="Para10"/>
        <w:numPr>
          <w:ilvl w:val="0"/>
          <w:numId w:val="0"/>
        </w:numPr>
        <w:tabs>
          <w:tab w:val="left" w:pos="2268"/>
        </w:tabs>
        <w:ind w:left="1134" w:firstLine="567"/>
        <w:rPr>
          <w:lang w:val="fr-FR"/>
        </w:rPr>
      </w:pPr>
      <w:r w:rsidRPr="00B24880">
        <w:rPr>
          <w:lang w:val="fr-FR"/>
        </w:rPr>
        <w:t>13</w:t>
      </w:r>
      <w:r w:rsidR="00E90D61" w:rsidRPr="00B24880">
        <w:rPr>
          <w:lang w:val="fr-FR"/>
        </w:rPr>
        <w:t>.</w:t>
      </w:r>
      <w:r w:rsidR="00EB3629" w:rsidRPr="00B24880">
        <w:rPr>
          <w:lang w:val="fr-FR"/>
        </w:rPr>
        <w:tab/>
      </w:r>
      <w:r w:rsidR="00AD789A" w:rsidRPr="00B24880">
        <w:rPr>
          <w:i/>
          <w:iCs/>
          <w:lang w:val="fr-FR"/>
        </w:rPr>
        <w:t xml:space="preserve">Décide en outre </w:t>
      </w:r>
      <w:r w:rsidR="00AD789A" w:rsidRPr="00B24880">
        <w:rPr>
          <w:lang w:val="fr-FR"/>
        </w:rPr>
        <w:t xml:space="preserve">d'examiner à sa douzième réunion des questions supplémentaires pour lesquelles des documents d'orientation sur l'évaluation des risques pourraient être nécessaires, à la suite du processus de définition et de hiérarchisation des questions spécifiques de l'évaluation des risques </w:t>
      </w:r>
      <w:r w:rsidR="00D53AAB">
        <w:rPr>
          <w:lang w:val="fr-FR"/>
        </w:rPr>
        <w:t>liés aux</w:t>
      </w:r>
      <w:r w:rsidR="00AD789A" w:rsidRPr="00B24880">
        <w:rPr>
          <w:lang w:val="fr-FR"/>
        </w:rPr>
        <w:t xml:space="preserve"> organismes vivants modifiés établi dans la décision CP-9/13, en tenant compte des besoins et des priorités identifiés par les Parties conformément au paragraphe</w:t>
      </w:r>
      <w:r w:rsidR="00EF55DD">
        <w:rPr>
          <w:lang w:val="fr-FR"/>
        </w:rPr>
        <w:t> </w:t>
      </w:r>
      <w:r w:rsidR="00AD789A" w:rsidRPr="00B24880">
        <w:rPr>
          <w:lang w:val="fr-FR"/>
        </w:rPr>
        <w:t>1</w:t>
      </w:r>
      <w:r w:rsidR="00EF55DD">
        <w:rPr>
          <w:lang w:val="fr-FR"/>
        </w:rPr>
        <w:t>1</w:t>
      </w:r>
      <w:r w:rsidR="00AD789A" w:rsidRPr="00B24880">
        <w:rPr>
          <w:lang w:val="fr-FR"/>
        </w:rPr>
        <w:t xml:space="preserve"> ci-dessus [et du rapport du Groupe spécial d'experts techniques sur l'évaluation des risques soumis en application de l'alinéa e) du paragraphe 1 de son mandat]</w:t>
      </w:r>
      <w:r w:rsidR="001E24D0" w:rsidRPr="00B24880">
        <w:rPr>
          <w:lang w:val="fr-FR"/>
        </w:rPr>
        <w:t>;</w:t>
      </w:r>
    </w:p>
    <w:p w14:paraId="36C1F1D6" w14:textId="0F5463D7" w:rsidR="0091603A" w:rsidRPr="00B24880" w:rsidRDefault="00F05985" w:rsidP="00DB7669">
      <w:pPr>
        <w:tabs>
          <w:tab w:val="left" w:pos="1701"/>
          <w:tab w:val="left" w:pos="2268"/>
        </w:tabs>
        <w:ind w:left="1134" w:firstLine="567"/>
        <w:rPr>
          <w:lang w:val="fr-FR"/>
        </w:rPr>
      </w:pPr>
      <w:r w:rsidRPr="00B24880">
        <w:rPr>
          <w:lang w:val="fr-FR"/>
        </w:rPr>
        <w:t>1</w:t>
      </w:r>
      <w:r w:rsidR="00EA364F" w:rsidRPr="00B24880">
        <w:rPr>
          <w:lang w:val="fr-FR"/>
        </w:rPr>
        <w:t>4</w:t>
      </w:r>
      <w:r w:rsidR="008F6D36" w:rsidRPr="00B24880">
        <w:rPr>
          <w:lang w:val="fr-FR"/>
        </w:rPr>
        <w:t>.</w:t>
      </w:r>
      <w:r w:rsidR="008F6D36" w:rsidRPr="00B24880">
        <w:rPr>
          <w:lang w:val="fr-FR"/>
        </w:rPr>
        <w:tab/>
      </w:r>
      <w:r w:rsidR="00AD789A" w:rsidRPr="00B24880">
        <w:rPr>
          <w:i/>
          <w:iCs/>
          <w:lang w:val="fr-FR"/>
        </w:rPr>
        <w:t xml:space="preserve">Demande </w:t>
      </w:r>
      <w:r w:rsidR="00AD789A" w:rsidRPr="00B24880">
        <w:rPr>
          <w:lang w:val="fr-FR"/>
        </w:rPr>
        <w:t xml:space="preserve">au secrétariat, sous réserve de la disponibilité des ressources </w:t>
      </w:r>
      <w:r w:rsidR="0091603A" w:rsidRPr="00B24880">
        <w:rPr>
          <w:lang w:val="fr-FR"/>
        </w:rPr>
        <w:t>:</w:t>
      </w:r>
    </w:p>
    <w:p w14:paraId="3397B931" w14:textId="3D08ED53" w:rsidR="00A521D4" w:rsidRPr="00B24880" w:rsidRDefault="00A521D4" w:rsidP="00EF7996">
      <w:pPr>
        <w:tabs>
          <w:tab w:val="left" w:pos="1701"/>
          <w:tab w:val="left" w:pos="2268"/>
        </w:tabs>
        <w:spacing w:before="120" w:after="120"/>
        <w:ind w:left="1134" w:firstLine="567"/>
        <w:rPr>
          <w:lang w:val="fr-FR"/>
        </w:rPr>
      </w:pPr>
      <w:r w:rsidRPr="00B24880">
        <w:rPr>
          <w:lang w:val="fr-FR"/>
        </w:rPr>
        <w:t>a)</w:t>
      </w:r>
      <w:r w:rsidR="001E24D0" w:rsidRPr="00B24880">
        <w:rPr>
          <w:lang w:val="fr-FR"/>
        </w:rPr>
        <w:tab/>
      </w:r>
      <w:r w:rsidR="00AD789A" w:rsidRPr="00B24880">
        <w:rPr>
          <w:lang w:val="fr-FR"/>
        </w:rPr>
        <w:t>De faire la synthèse des informations communiquées en réponse au paragraphe 4 ci-dessus, pour examen par la Conférence des Parties en tant que Réunion des Parties au Protocole de Cartagena à sa douzième réunion.</w:t>
      </w:r>
      <w:r w:rsidRPr="00B24880">
        <w:rPr>
          <w:lang w:val="fr-FR"/>
        </w:rPr>
        <w:t>;</w:t>
      </w:r>
    </w:p>
    <w:p w14:paraId="439B4CE0" w14:textId="5B06CBDC" w:rsidR="00A521D4" w:rsidRPr="00B24880" w:rsidRDefault="00A521D4" w:rsidP="00EF7996">
      <w:pPr>
        <w:tabs>
          <w:tab w:val="left" w:pos="1701"/>
          <w:tab w:val="left" w:pos="2268"/>
        </w:tabs>
        <w:spacing w:before="120" w:after="120"/>
        <w:ind w:left="1134" w:firstLine="567"/>
        <w:rPr>
          <w:i/>
          <w:iCs/>
          <w:lang w:val="fr-FR"/>
        </w:rPr>
      </w:pPr>
      <w:r w:rsidRPr="00B24880">
        <w:rPr>
          <w:lang w:val="fr-FR"/>
        </w:rPr>
        <w:t>b)</w:t>
      </w:r>
      <w:r w:rsidR="001E24D0" w:rsidRPr="00B24880">
        <w:rPr>
          <w:lang w:val="fr-FR"/>
        </w:rPr>
        <w:tab/>
      </w:r>
      <w:r w:rsidR="00AD789A" w:rsidRPr="00B24880">
        <w:rPr>
          <w:lang w:val="fr-FR"/>
        </w:rPr>
        <w:t xml:space="preserve">D'organiser des activités de renforcement </w:t>
      </w:r>
      <w:r w:rsidR="00BF6C6D">
        <w:rPr>
          <w:lang w:val="fr-FR"/>
        </w:rPr>
        <w:t xml:space="preserve">et de création </w:t>
      </w:r>
      <w:r w:rsidR="00AD789A" w:rsidRPr="00B24880">
        <w:rPr>
          <w:lang w:val="fr-FR"/>
        </w:rPr>
        <w:t xml:space="preserve">des capacités à l'appui de l'évaluation des risques, en mettant particulièrement l'accent sur l'évaluation des risques liés aux organismes vivants modifiés contenant des gènes issus du forçage génétique </w:t>
      </w:r>
      <w:r w:rsidR="001E24D0" w:rsidRPr="00B24880">
        <w:rPr>
          <w:lang w:val="fr-FR"/>
        </w:rPr>
        <w:t>;</w:t>
      </w:r>
    </w:p>
    <w:p w14:paraId="3A21B666" w14:textId="05E635BE" w:rsidR="00EE17BF" w:rsidRPr="00B24880" w:rsidRDefault="00EE17BF" w:rsidP="00661E41">
      <w:pPr>
        <w:pStyle w:val="Para10"/>
        <w:numPr>
          <w:ilvl w:val="0"/>
          <w:numId w:val="0"/>
        </w:numPr>
        <w:tabs>
          <w:tab w:val="clear" w:pos="1134"/>
          <w:tab w:val="left" w:pos="2268"/>
        </w:tabs>
        <w:ind w:left="1134" w:firstLine="567"/>
        <w:rPr>
          <w:szCs w:val="22"/>
          <w:lang w:val="fr-FR"/>
        </w:rPr>
      </w:pPr>
      <w:r w:rsidRPr="00B24880">
        <w:rPr>
          <w:szCs w:val="22"/>
          <w:lang w:val="fr-FR"/>
        </w:rPr>
        <w:t>[</w:t>
      </w:r>
    </w:p>
    <w:p w14:paraId="49677B34" w14:textId="731BAB82" w:rsidR="0091603A" w:rsidRPr="00B24880" w:rsidRDefault="00822C50" w:rsidP="00661E41">
      <w:pPr>
        <w:pStyle w:val="Para10"/>
        <w:numPr>
          <w:ilvl w:val="0"/>
          <w:numId w:val="0"/>
        </w:numPr>
        <w:tabs>
          <w:tab w:val="clear" w:pos="1134"/>
          <w:tab w:val="left" w:pos="2268"/>
        </w:tabs>
        <w:ind w:left="1134" w:firstLine="567"/>
        <w:rPr>
          <w:szCs w:val="22"/>
          <w:lang w:val="fr-FR"/>
        </w:rPr>
      </w:pPr>
      <w:r w:rsidRPr="00B24880">
        <w:rPr>
          <w:szCs w:val="22"/>
          <w:lang w:val="fr-FR"/>
        </w:rPr>
        <w:t>c</w:t>
      </w:r>
      <w:r w:rsidR="00F64AA6" w:rsidRPr="00B24880">
        <w:rPr>
          <w:szCs w:val="22"/>
          <w:lang w:val="fr-FR"/>
        </w:rPr>
        <w:t>)</w:t>
      </w:r>
      <w:r w:rsidR="00F64AA6" w:rsidRPr="00B24880">
        <w:rPr>
          <w:szCs w:val="22"/>
          <w:lang w:val="fr-FR"/>
        </w:rPr>
        <w:tab/>
      </w:r>
      <w:r w:rsidR="00AD789A" w:rsidRPr="00B24880">
        <w:rPr>
          <w:szCs w:val="22"/>
          <w:lang w:val="fr-FR"/>
        </w:rPr>
        <w:t xml:space="preserve">D'élaborer un projet détaillé d'orientations supplémentaires sur l'évaluation des risques liés aux poissons vivants modifiés en vue d'un examen par les pairs, en préparation des travaux du Groupe spécial d'experts techniques sur l'évaluation des risques </w:t>
      </w:r>
      <w:r w:rsidR="00E671A1" w:rsidRPr="00B24880">
        <w:rPr>
          <w:color w:val="000000"/>
          <w:szCs w:val="22"/>
          <w:lang w:val="fr-FR"/>
        </w:rPr>
        <w:t>;</w:t>
      </w:r>
    </w:p>
    <w:p w14:paraId="1151D8FC" w14:textId="29677160" w:rsidR="00CA6052" w:rsidRPr="00B24880" w:rsidRDefault="00822C50" w:rsidP="00DB7669">
      <w:pPr>
        <w:pStyle w:val="Para10"/>
        <w:numPr>
          <w:ilvl w:val="0"/>
          <w:numId w:val="0"/>
        </w:numPr>
        <w:tabs>
          <w:tab w:val="clear" w:pos="1134"/>
          <w:tab w:val="left" w:pos="2268"/>
        </w:tabs>
        <w:ind w:left="1134" w:firstLine="567"/>
        <w:rPr>
          <w:i/>
          <w:iCs/>
          <w:szCs w:val="22"/>
          <w:lang w:val="fr-FR"/>
        </w:rPr>
      </w:pPr>
      <w:r w:rsidRPr="00B24880">
        <w:rPr>
          <w:color w:val="000000"/>
          <w:szCs w:val="22"/>
          <w:lang w:val="fr-FR"/>
        </w:rPr>
        <w:t>d</w:t>
      </w:r>
      <w:r w:rsidR="00A102E0" w:rsidRPr="00B24880">
        <w:rPr>
          <w:color w:val="000000"/>
          <w:szCs w:val="22"/>
          <w:lang w:val="fr-FR"/>
        </w:rPr>
        <w:t>)</w:t>
      </w:r>
      <w:r w:rsidR="00A6360D" w:rsidRPr="00B24880">
        <w:rPr>
          <w:color w:val="000000"/>
          <w:szCs w:val="22"/>
          <w:lang w:val="fr-FR"/>
        </w:rPr>
        <w:tab/>
      </w:r>
      <w:r w:rsidR="00AD789A" w:rsidRPr="00B24880">
        <w:rPr>
          <w:color w:val="000000"/>
          <w:szCs w:val="22"/>
          <w:lang w:val="fr-FR"/>
        </w:rPr>
        <w:t xml:space="preserve">D'organiser des discussions en ligne dans le cadre du forum en ligne à composition non limitée sur l'évaluation et la gestion des risques afin d'appuyer les travaux du Groupe spécial d'experts techniques sur l'évaluation des risques en vue de la rédaction d'un projet détaillé pour l'évaluation au cas par cas des risques liés aux poissons vivants modifies </w:t>
      </w:r>
      <w:r w:rsidR="00CA6052" w:rsidRPr="00B24880">
        <w:rPr>
          <w:color w:val="000000"/>
          <w:szCs w:val="22"/>
          <w:lang w:val="fr-FR"/>
        </w:rPr>
        <w:t>;</w:t>
      </w:r>
    </w:p>
    <w:p w14:paraId="21EE5947" w14:textId="2C4F13DA" w:rsidR="0091603A" w:rsidRPr="00B24880" w:rsidRDefault="003E00F2" w:rsidP="001D6A4A">
      <w:pPr>
        <w:pStyle w:val="Para10"/>
        <w:numPr>
          <w:ilvl w:val="0"/>
          <w:numId w:val="0"/>
        </w:numPr>
        <w:tabs>
          <w:tab w:val="clear" w:pos="1134"/>
          <w:tab w:val="left" w:pos="2268"/>
        </w:tabs>
        <w:ind w:left="1134" w:firstLine="567"/>
        <w:rPr>
          <w:lang w:val="fr-FR"/>
        </w:rPr>
      </w:pPr>
      <w:r w:rsidRPr="00B24880">
        <w:rPr>
          <w:lang w:val="fr-FR"/>
        </w:rPr>
        <w:t>e</w:t>
      </w:r>
      <w:r w:rsidR="00F64AA6" w:rsidRPr="00B24880">
        <w:rPr>
          <w:lang w:val="fr-FR"/>
        </w:rPr>
        <w:t>)</w:t>
      </w:r>
      <w:r w:rsidR="00F64AA6" w:rsidRPr="00B24880">
        <w:rPr>
          <w:lang w:val="fr-FR"/>
        </w:rPr>
        <w:tab/>
      </w:r>
      <w:r w:rsidR="00AD789A" w:rsidRPr="00B24880">
        <w:rPr>
          <w:lang w:val="fr-FR"/>
        </w:rPr>
        <w:t xml:space="preserve">De faire la synthèse des informations communiquées par les Parties, les autres gouvernements et les organisations concernées afin de faciliter le travail du Groupe spécial d'experts techniques sur l'évaluation des risques </w:t>
      </w:r>
      <w:r w:rsidR="00F64AA6" w:rsidRPr="00B24880">
        <w:rPr>
          <w:lang w:val="fr-FR"/>
        </w:rPr>
        <w:t>;</w:t>
      </w:r>
    </w:p>
    <w:p w14:paraId="14282475" w14:textId="3F5CD01E" w:rsidR="00EE17BF" w:rsidRPr="00B24880" w:rsidRDefault="003E00F2">
      <w:pPr>
        <w:pStyle w:val="Para10"/>
        <w:numPr>
          <w:ilvl w:val="0"/>
          <w:numId w:val="0"/>
        </w:numPr>
        <w:tabs>
          <w:tab w:val="clear" w:pos="1134"/>
          <w:tab w:val="left" w:pos="2268"/>
        </w:tabs>
        <w:ind w:left="1134" w:firstLine="567"/>
        <w:rPr>
          <w:lang w:val="fr-FR"/>
        </w:rPr>
      </w:pPr>
      <w:r w:rsidRPr="00B24880">
        <w:rPr>
          <w:lang w:val="fr-FR"/>
        </w:rPr>
        <w:t>f</w:t>
      </w:r>
      <w:r w:rsidR="00F64AA6" w:rsidRPr="00B24880">
        <w:rPr>
          <w:lang w:val="fr-FR"/>
        </w:rPr>
        <w:t>)</w:t>
      </w:r>
      <w:r w:rsidR="00F64AA6" w:rsidRPr="00B24880">
        <w:rPr>
          <w:lang w:val="fr-FR"/>
        </w:rPr>
        <w:tab/>
      </w:r>
      <w:r w:rsidR="00AD789A" w:rsidRPr="00B24880">
        <w:rPr>
          <w:lang w:val="fr-FR"/>
        </w:rPr>
        <w:t xml:space="preserve">D'organiser, sous réserve de la disponibilité des ressources, deux réunions du Groupe spécial d'experts techniques sur l'évaluation des risques, dont l'une au moins se tiendra en personne </w:t>
      </w:r>
      <w:r w:rsidR="00870BC2" w:rsidRPr="00B24880">
        <w:rPr>
          <w:lang w:val="fr-FR"/>
        </w:rPr>
        <w:t>;</w:t>
      </w:r>
    </w:p>
    <w:p w14:paraId="49F4BCA2" w14:textId="4F278A96" w:rsidR="00CB4118" w:rsidRPr="00B24880" w:rsidRDefault="00EE17BF">
      <w:pPr>
        <w:pStyle w:val="Para10"/>
        <w:numPr>
          <w:ilvl w:val="0"/>
          <w:numId w:val="0"/>
        </w:numPr>
        <w:tabs>
          <w:tab w:val="clear" w:pos="1134"/>
          <w:tab w:val="left" w:pos="2268"/>
        </w:tabs>
        <w:ind w:left="1134" w:firstLine="567"/>
        <w:rPr>
          <w:lang w:val="fr-FR"/>
        </w:rPr>
      </w:pPr>
      <w:r w:rsidRPr="00B24880">
        <w:rPr>
          <w:lang w:val="fr-FR"/>
        </w:rPr>
        <w:t>]</w:t>
      </w:r>
    </w:p>
    <w:p w14:paraId="3D7C4B5D" w14:textId="69ABFE5B" w:rsidR="007F1595" w:rsidRPr="00B24880" w:rsidRDefault="00DC7227" w:rsidP="00D62ECF">
      <w:pPr>
        <w:pStyle w:val="Para10"/>
        <w:numPr>
          <w:ilvl w:val="0"/>
          <w:numId w:val="0"/>
        </w:numPr>
        <w:tabs>
          <w:tab w:val="clear" w:pos="1134"/>
          <w:tab w:val="left" w:pos="2268"/>
        </w:tabs>
        <w:ind w:left="1134" w:firstLine="567"/>
        <w:rPr>
          <w:lang w:val="fr-FR"/>
        </w:rPr>
      </w:pPr>
      <w:r>
        <w:rPr>
          <w:lang w:val="fr-FR"/>
        </w:rPr>
        <w:t>[</w:t>
      </w:r>
      <w:r w:rsidR="00870BC2" w:rsidRPr="00B24880">
        <w:rPr>
          <w:lang w:val="fr-FR"/>
        </w:rPr>
        <w:t>g</w:t>
      </w:r>
      <w:r w:rsidR="007F1595" w:rsidRPr="00B24880">
        <w:rPr>
          <w:lang w:val="fr-FR"/>
        </w:rPr>
        <w:t>)</w:t>
      </w:r>
      <w:r w:rsidR="007F1595" w:rsidRPr="00B24880">
        <w:rPr>
          <w:lang w:val="fr-FR"/>
        </w:rPr>
        <w:tab/>
      </w:r>
      <w:r w:rsidR="00CC1D8C" w:rsidRPr="00B24880">
        <w:rPr>
          <w:snapToGrid w:val="0"/>
          <w:color w:val="000000"/>
          <w:kern w:val="22"/>
          <w:lang w:val="fr-FR" w:eastAsia="x-none"/>
        </w:rPr>
        <w:t>De recueillir des informations pertinentes pour appuyer l'évaluation des risques liés aux insectes autolimitatifs et de les mettre à disposition sur le Centre d'échange pour la prévention des risques biotechnologiques</w:t>
      </w:r>
      <w:r w:rsidR="00D62ECF" w:rsidRPr="00B24880">
        <w:rPr>
          <w:lang w:val="fr-FR"/>
        </w:rPr>
        <w:t>.</w:t>
      </w:r>
      <w:r>
        <w:rPr>
          <w:lang w:val="fr-FR"/>
        </w:rPr>
        <w:t>]</w:t>
      </w:r>
      <w:r w:rsidR="00B36DBA">
        <w:rPr>
          <w:lang w:val="fr-FR"/>
        </w:rPr>
        <w:t xml:space="preserve"> </w:t>
      </w:r>
    </w:p>
    <w:p w14:paraId="0B5A3FB2" w14:textId="78F35DF1" w:rsidR="007F1595" w:rsidRPr="00B24880" w:rsidRDefault="007F1595" w:rsidP="00494D6D">
      <w:pPr>
        <w:pStyle w:val="Para10"/>
        <w:numPr>
          <w:ilvl w:val="0"/>
          <w:numId w:val="0"/>
        </w:numPr>
        <w:tabs>
          <w:tab w:val="clear" w:pos="1134"/>
          <w:tab w:val="left" w:pos="2268"/>
        </w:tabs>
        <w:ind w:left="1134" w:firstLine="567"/>
        <w:rPr>
          <w:lang w:val="fr-FR"/>
        </w:rPr>
      </w:pPr>
    </w:p>
    <w:p w14:paraId="52C2F791" w14:textId="77777777" w:rsidR="00CC1D8C" w:rsidRPr="00B24880" w:rsidRDefault="00494D6D" w:rsidP="00CC1D8C">
      <w:pPr>
        <w:keepNext/>
        <w:spacing w:after="120" w:line="259" w:lineRule="auto"/>
        <w:ind w:left="1134"/>
        <w:jc w:val="left"/>
        <w:rPr>
          <w:b/>
          <w:bCs/>
          <w:sz w:val="24"/>
          <w:lang w:val="fr-FR"/>
        </w:rPr>
      </w:pPr>
      <w:r w:rsidRPr="00B24880">
        <w:rPr>
          <w:b/>
          <w:bCs/>
          <w:sz w:val="24"/>
          <w:lang w:val="fr-FR"/>
        </w:rPr>
        <w:t>[</w:t>
      </w:r>
      <w:r w:rsidR="00CC1D8C" w:rsidRPr="00B24880">
        <w:rPr>
          <w:b/>
          <w:bCs/>
          <w:sz w:val="24"/>
          <w:lang w:val="fr-FR"/>
        </w:rPr>
        <w:t>Annexe</w:t>
      </w:r>
    </w:p>
    <w:p w14:paraId="1CA05703" w14:textId="77777777" w:rsidR="00CC1D8C" w:rsidRPr="00ED0532" w:rsidRDefault="00CC1D8C" w:rsidP="00CC1D8C">
      <w:pPr>
        <w:pStyle w:val="Title"/>
        <w:spacing w:before="120" w:after="120"/>
        <w:ind w:left="1134"/>
        <w:jc w:val="left"/>
        <w:rPr>
          <w:rFonts w:ascii="Times New Roman" w:hAnsi="Times New Roman"/>
          <w:sz w:val="24"/>
          <w:szCs w:val="24"/>
          <w:lang w:val="fr-FR"/>
        </w:rPr>
      </w:pPr>
      <w:r w:rsidRPr="00ED0532">
        <w:rPr>
          <w:rFonts w:ascii="Times New Roman" w:hAnsi="Times New Roman"/>
          <w:sz w:val="24"/>
          <w:szCs w:val="24"/>
          <w:lang w:val="fr-FR"/>
        </w:rPr>
        <w:t>Mandat du Groupe spécial d’experts techniques sur l’évaluation des risques</w:t>
      </w:r>
    </w:p>
    <w:p w14:paraId="4E36BFB1" w14:textId="77777777" w:rsidR="00CC1D8C" w:rsidRPr="00B24880" w:rsidRDefault="00CC1D8C" w:rsidP="00CC1D8C">
      <w:pPr>
        <w:pStyle w:val="Para10"/>
        <w:numPr>
          <w:ilvl w:val="0"/>
          <w:numId w:val="19"/>
        </w:numPr>
        <w:tabs>
          <w:tab w:val="clear" w:pos="1134"/>
          <w:tab w:val="left" w:pos="1701"/>
        </w:tabs>
        <w:ind w:left="1134" w:firstLine="0"/>
        <w:rPr>
          <w:lang w:val="fr-FR"/>
        </w:rPr>
      </w:pPr>
      <w:r w:rsidRPr="00B24880">
        <w:rPr>
          <w:lang w:val="fr-FR"/>
        </w:rPr>
        <w:t>Le Groupe spécial d’experts techniques :</w:t>
      </w:r>
    </w:p>
    <w:p w14:paraId="2564CC95" w14:textId="77777777" w:rsidR="00CC1D8C" w:rsidRPr="00B24880" w:rsidRDefault="00CC1D8C" w:rsidP="00CC1D8C">
      <w:pPr>
        <w:pStyle w:val="Para2"/>
        <w:numPr>
          <w:ilvl w:val="1"/>
          <w:numId w:val="2"/>
        </w:numPr>
        <w:tabs>
          <w:tab w:val="clear" w:pos="1701"/>
          <w:tab w:val="left" w:pos="2268"/>
        </w:tabs>
        <w:ind w:left="1134" w:firstLine="567"/>
        <w:rPr>
          <w:lang w:val="fr-FR"/>
        </w:rPr>
      </w:pPr>
      <w:r w:rsidRPr="00B24880">
        <w:rPr>
          <w:lang w:val="fr-FR"/>
        </w:rPr>
        <w:t>Sera composé d’experts choisis conformément à la partie H du mode de fonctionnement général de l’Organe subsidiaire chargé de fournir des avis scientifiques, techniques et technologiques</w:t>
      </w:r>
      <w:r w:rsidRPr="00B24880">
        <w:rPr>
          <w:rStyle w:val="FootnoteReference"/>
          <w:lang w:val="fr-FR"/>
        </w:rPr>
        <w:footnoteReference w:id="9"/>
      </w:r>
      <w:r w:rsidRPr="00B24880">
        <w:rPr>
          <w:lang w:val="fr-FR"/>
        </w:rPr>
        <w:t xml:space="preserve">  possédant une expertise technique et scientifique particulière dans le domaine des poissons vivants modifiés et leurs conséquences possibles sur la biodiversité et sur les questions pertinentes au mandat du Groupe d’experts, et inclura des experts provenant d’organisations internationales compétentes et de peuples autochtones et communautés locales, conformément à la décision 14/33 du 29 novembre 2018 sur la procédure pour éviter ou gérer les conflits d’intérêts au sein des groupes d’experts ;</w:t>
      </w:r>
    </w:p>
    <w:p w14:paraId="27093D75" w14:textId="77777777" w:rsidR="00CC1D8C" w:rsidRPr="00B24880" w:rsidRDefault="00CC1D8C" w:rsidP="00CC1D8C">
      <w:pPr>
        <w:pStyle w:val="Para2"/>
        <w:numPr>
          <w:ilvl w:val="1"/>
          <w:numId w:val="2"/>
        </w:numPr>
        <w:tabs>
          <w:tab w:val="clear" w:pos="1701"/>
          <w:tab w:val="left" w:pos="2268"/>
        </w:tabs>
        <w:ind w:left="1134" w:firstLine="567"/>
        <w:rPr>
          <w:lang w:val="fr-FR"/>
        </w:rPr>
      </w:pPr>
      <w:r w:rsidRPr="00B24880">
        <w:rPr>
          <w:lang w:val="fr-FR"/>
        </w:rPr>
        <w:t>Convoquera au moins une réunion en personne avant la douzième réunion du la Conférence des Parties siégeant en tant que réunion des Parties au Protocole de Cartagena sur la prévention des risques biotechnologiques</w:t>
      </w:r>
      <w:r w:rsidRPr="00B24880">
        <w:rPr>
          <w:rStyle w:val="FootnoteReference"/>
          <w:lang w:val="fr-FR"/>
        </w:rPr>
        <w:footnoteReference w:id="10"/>
      </w:r>
      <w:r w:rsidRPr="00B24880">
        <w:rPr>
          <w:lang w:val="fr-FR"/>
        </w:rPr>
        <w:t>, selon la disponibilité des ressources, et réalisera ses travaux de communication et de participation en ligne, selon qu’il convient ;</w:t>
      </w:r>
    </w:p>
    <w:p w14:paraId="2887765D" w14:textId="520FA1A9" w:rsidR="00CC1D8C" w:rsidRPr="00B24880" w:rsidRDefault="00CC1D8C" w:rsidP="00CC1D8C">
      <w:pPr>
        <w:pStyle w:val="Para2"/>
        <w:numPr>
          <w:ilvl w:val="1"/>
          <w:numId w:val="2"/>
        </w:numPr>
        <w:tabs>
          <w:tab w:val="clear" w:pos="1701"/>
          <w:tab w:val="left" w:pos="2268"/>
        </w:tabs>
        <w:ind w:left="1134" w:firstLine="567"/>
        <w:rPr>
          <w:lang w:val="fr-FR"/>
        </w:rPr>
      </w:pPr>
      <w:r w:rsidRPr="00B24880">
        <w:rPr>
          <w:lang w:val="fr-FR"/>
        </w:rPr>
        <w:t>Élaborera des documents d’orientations facultatives supplémentaires sur l’évaluation au cas par cas des risques liés aux poissons vivants modifiés conformément à l’annexe III au Protocole, en tenant compte des expériences actuelles impliquant ces organismes et des enjeux particuliers de l’évaluation des risques indiqués à l’annexe I de la décision CP-9/13 du 28 novembre 2018, des rapports existants, des considérations générales sur les poissons vivants modifiés et des expériences nationales et régionales existantes en matière d’évaluation des risques ;</w:t>
      </w:r>
    </w:p>
    <w:p w14:paraId="6FD4A4D9" w14:textId="77777777" w:rsidR="00CC1D8C" w:rsidRPr="00B24880" w:rsidRDefault="00CC1D8C" w:rsidP="00CC1D8C">
      <w:pPr>
        <w:pStyle w:val="Para2"/>
        <w:numPr>
          <w:ilvl w:val="1"/>
          <w:numId w:val="2"/>
        </w:numPr>
        <w:tabs>
          <w:tab w:val="clear" w:pos="1701"/>
          <w:tab w:val="left" w:pos="2268"/>
        </w:tabs>
        <w:ind w:left="1134" w:firstLine="567"/>
        <w:rPr>
          <w:lang w:val="fr-FR"/>
        </w:rPr>
      </w:pPr>
      <w:r w:rsidRPr="00B24880">
        <w:rPr>
          <w:lang w:val="fr-FR"/>
        </w:rPr>
        <w:t>Analysera les informations proposées par les Parties en réponse au paragraphe 11 de la décision CP-11/--, et à partir de celles-ci, préparera une liste des thèmes prioritaires sur lesquels des documents d’orientations supplémentaires pourraient être nécessaires selon les critères établis à l’annexe I à la décision CP-9/13 ;</w:t>
      </w:r>
    </w:p>
    <w:p w14:paraId="4BC51B95" w14:textId="77777777" w:rsidR="00CC1D8C" w:rsidRPr="00B24880" w:rsidRDefault="00CC1D8C" w:rsidP="00CC1D8C">
      <w:pPr>
        <w:pStyle w:val="Para2"/>
        <w:numPr>
          <w:ilvl w:val="1"/>
          <w:numId w:val="2"/>
        </w:numPr>
        <w:tabs>
          <w:tab w:val="clear" w:pos="1701"/>
          <w:tab w:val="left" w:pos="2268"/>
        </w:tabs>
        <w:ind w:left="1134" w:firstLine="567"/>
        <w:rPr>
          <w:lang w:val="fr-FR"/>
        </w:rPr>
      </w:pPr>
      <w:r w:rsidRPr="00B24880">
        <w:rPr>
          <w:lang w:val="fr-FR"/>
        </w:rPr>
        <w:t>Préparera un rapport comprenant le projet de documents d’orientations facultatives supplémentaires sur les poissons vivants modifiés et une liste des thèmes prioritaires en réponse à l’alinéa d), ci-dessus, pour lesquels des documents d’orientations supplémentaires pourraient être nécessaires, pour examen par l’Organe subsidiaire ;</w:t>
      </w:r>
    </w:p>
    <w:p w14:paraId="63BFFB9E" w14:textId="3A8F8EF5" w:rsidR="00CC1D8C" w:rsidRPr="00B24880" w:rsidRDefault="00CC1D8C" w:rsidP="00CC1D8C">
      <w:pPr>
        <w:pStyle w:val="Para10"/>
        <w:numPr>
          <w:ilvl w:val="0"/>
          <w:numId w:val="19"/>
        </w:numPr>
        <w:tabs>
          <w:tab w:val="clear" w:pos="1134"/>
          <w:tab w:val="left" w:pos="1701"/>
        </w:tabs>
        <w:ind w:left="1134" w:firstLine="0"/>
        <w:rPr>
          <w:lang w:val="fr-FR"/>
        </w:rPr>
      </w:pPr>
      <w:r w:rsidRPr="00B24880">
        <w:rPr>
          <w:lang w:val="fr-FR"/>
        </w:rPr>
        <w:t xml:space="preserve">Le </w:t>
      </w:r>
      <w:r w:rsidR="00D53AAB" w:rsidRPr="00B24880">
        <w:rPr>
          <w:lang w:val="fr-FR"/>
        </w:rPr>
        <w:t>Groupe spécial d'experts techniques sur l'évaluation des risques</w:t>
      </w:r>
      <w:r w:rsidRPr="00B24880">
        <w:rPr>
          <w:lang w:val="fr-FR"/>
        </w:rPr>
        <w:t xml:space="preserve"> réalisera ses travaux en tenant compte de la synthèse des points de vue recueillis dans les propositions et lors des échanges du Forum en ligne à composition non limités sur l’évaluation et la gestion des risques préparée par le Secrétariat, des ressources existantes, dont celles indiquées dans le bilan de l’étude sur l’évaluation des risques, l’application de l’annexe I à la décision CP-9/13 aux poissons vivants modifiés,</w:t>
      </w:r>
      <w:r w:rsidRPr="00B24880">
        <w:rPr>
          <w:rStyle w:val="FootnoteReference"/>
          <w:lang w:val="fr-FR"/>
        </w:rPr>
        <w:footnoteReference w:id="11"/>
      </w:r>
      <w:r w:rsidRPr="00B24880">
        <w:rPr>
          <w:lang w:val="fr-FR"/>
        </w:rPr>
        <w:t xml:space="preserve"> des documents d’orientations existants et des décisions pertinentes sur l’évaluation et la gestion des risques adoptées par la Conférence des Parties siégeant en tant que réunion des Parties au Protocole.]</w:t>
      </w:r>
      <w:r w:rsidR="009B28E3">
        <w:rPr>
          <w:lang w:val="fr-FR"/>
        </w:rPr>
        <w:t xml:space="preserve">  </w:t>
      </w:r>
    </w:p>
    <w:p w14:paraId="4331B352" w14:textId="2110C2F1" w:rsidR="005D2BD5" w:rsidRPr="00B24880" w:rsidRDefault="005D2BD5" w:rsidP="00EF7996">
      <w:pPr>
        <w:pStyle w:val="Para10"/>
        <w:numPr>
          <w:ilvl w:val="0"/>
          <w:numId w:val="0"/>
        </w:numPr>
        <w:tabs>
          <w:tab w:val="left" w:pos="2268"/>
        </w:tabs>
        <w:ind w:left="1134"/>
        <w:rPr>
          <w:lang w:val="fr-FR"/>
        </w:rPr>
      </w:pPr>
    </w:p>
    <w:p w14:paraId="1E7D1234" w14:textId="77777777" w:rsidR="002B559C" w:rsidRPr="00B24880" w:rsidRDefault="00ED3849" w:rsidP="008C5757">
      <w:pPr>
        <w:pStyle w:val="Para10"/>
        <w:numPr>
          <w:ilvl w:val="0"/>
          <w:numId w:val="0"/>
        </w:numPr>
        <w:ind w:left="567"/>
        <w:jc w:val="center"/>
        <w:rPr>
          <w:lang w:val="fr-FR"/>
        </w:rPr>
      </w:pPr>
      <w:r w:rsidRPr="00B24880">
        <w:rPr>
          <w:lang w:val="fr-FR"/>
        </w:rPr>
        <w:t>__________</w:t>
      </w:r>
    </w:p>
    <w:sectPr w:rsidR="002B559C" w:rsidRPr="00B24880" w:rsidSect="00155C5A">
      <w:headerReference w:type="even" r:id="rId16"/>
      <w:headerReference w:type="default" r:id="rId17"/>
      <w:footerReference w:type="even" r:id="rId18"/>
      <w:footerReference w:type="defaul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21B0E" w14:textId="77777777" w:rsidR="00E54AAC" w:rsidRDefault="00E54AAC" w:rsidP="00A96B21">
      <w:r>
        <w:separator/>
      </w:r>
    </w:p>
  </w:endnote>
  <w:endnote w:type="continuationSeparator" w:id="0">
    <w:p w14:paraId="4735DB7E" w14:textId="77777777" w:rsidR="00E54AAC" w:rsidRDefault="00E54AAC" w:rsidP="00A96B21">
      <w:r>
        <w:continuationSeparator/>
      </w:r>
    </w:p>
  </w:endnote>
  <w:endnote w:type="continuationNotice" w:id="1">
    <w:p w14:paraId="3A6591BA" w14:textId="77777777" w:rsidR="00E54AAC" w:rsidRDefault="00E54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82B8776" w14:textId="48FB1110" w:rsidR="002B559C" w:rsidRDefault="00251DDB">
            <w:pPr>
              <w:pStyle w:val="Footer"/>
            </w:pPr>
            <w:r>
              <w:rPr>
                <w:noProof/>
                <w:sz w:val="20"/>
                <w:szCs w:val="20"/>
              </w:rPr>
              <w:fldChar w:fldCharType="begin"/>
            </w:r>
            <w:r>
              <w:rPr>
                <w:noProof/>
                <w:sz w:val="20"/>
                <w:szCs w:val="20"/>
              </w:rPr>
              <w:instrText xml:space="preserve"> PAGE   \* MERGEFORMAT </w:instrText>
            </w:r>
            <w:r>
              <w:rPr>
                <w:noProof/>
                <w:sz w:val="20"/>
                <w:szCs w:val="20"/>
              </w:rPr>
              <w:fldChar w:fldCharType="separate"/>
            </w:r>
            <w:r>
              <w:rPr>
                <w:noProof/>
                <w:sz w:val="20"/>
                <w:szCs w:val="20"/>
              </w:rPr>
              <w:t>4</w:t>
            </w:r>
            <w:r>
              <w:rPr>
                <w:noProof/>
                <w:sz w:val="20"/>
                <w:szCs w:val="20"/>
              </w:rPr>
              <w:fldChar w:fldCharType="end"/>
            </w:r>
            <w:r w:rsidR="002B559C" w:rsidRPr="002B559C">
              <w:rPr>
                <w:sz w:val="20"/>
                <w:szCs w:val="20"/>
              </w:rPr>
              <w:t>/</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4</w:t>
            </w:r>
            <w:r>
              <w:rPr>
                <w:noProof/>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335525"/>
      <w:docPartObj>
        <w:docPartGallery w:val="Page Numbers (Top of Page)"/>
        <w:docPartUnique/>
      </w:docPartObj>
    </w:sdtPr>
    <w:sdtContent>
      <w:p w14:paraId="26F06E44" w14:textId="21A0A7F7" w:rsidR="002B559C" w:rsidRDefault="00251DDB" w:rsidP="00104B33">
        <w:pPr>
          <w:pStyle w:val="Footer"/>
          <w:jc w:val="right"/>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r w:rsidR="00104B33" w:rsidRPr="002B559C">
          <w:rPr>
            <w:sz w:val="20"/>
            <w:szCs w:val="20"/>
          </w:rPr>
          <w:t>/</w:t>
        </w:r>
        <w:r w:rsidR="00104B33">
          <w:rPr>
            <w:sz w:val="20"/>
            <w:szCs w:val="20"/>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34F96" w14:textId="77777777" w:rsidR="00E54AAC" w:rsidRDefault="00E54AAC" w:rsidP="00A96B21">
      <w:r>
        <w:separator/>
      </w:r>
    </w:p>
  </w:footnote>
  <w:footnote w:type="continuationSeparator" w:id="0">
    <w:p w14:paraId="68464423" w14:textId="77777777" w:rsidR="00E54AAC" w:rsidRDefault="00E54AAC" w:rsidP="00A96B21">
      <w:r>
        <w:continuationSeparator/>
      </w:r>
    </w:p>
  </w:footnote>
  <w:footnote w:type="continuationNotice" w:id="1">
    <w:p w14:paraId="1F392C01" w14:textId="77777777" w:rsidR="00E54AAC" w:rsidRDefault="00E54AAC"/>
  </w:footnote>
  <w:footnote w:id="2">
    <w:p w14:paraId="6D30AF0F" w14:textId="45548935" w:rsidR="00FC4CFF" w:rsidRPr="00E006E1" w:rsidRDefault="00FC4CFF">
      <w:pPr>
        <w:pStyle w:val="FootnoteText"/>
        <w:rPr>
          <w:sz w:val="18"/>
          <w:szCs w:val="18"/>
          <w:lang w:val="fr-FR"/>
        </w:rPr>
      </w:pPr>
      <w:r w:rsidRPr="00E006E1">
        <w:rPr>
          <w:rStyle w:val="FootnoteReference"/>
          <w:sz w:val="18"/>
          <w:szCs w:val="18"/>
          <w:lang w:val="fr-FR"/>
        </w:rPr>
        <w:footnoteRef/>
      </w:r>
      <w:r w:rsidRPr="00E006E1">
        <w:rPr>
          <w:sz w:val="18"/>
          <w:szCs w:val="18"/>
          <w:lang w:val="fr-FR"/>
        </w:rPr>
        <w:t xml:space="preserve"> </w:t>
      </w:r>
      <w:r w:rsidR="00044CE8" w:rsidRPr="00E006E1">
        <w:rPr>
          <w:color w:val="000000"/>
          <w:sz w:val="18"/>
          <w:szCs w:val="18"/>
          <w:lang w:val="fr-FR"/>
        </w:rPr>
        <w:t xml:space="preserve">Nations Unies, </w:t>
      </w:r>
      <w:r w:rsidR="00044CE8" w:rsidRPr="00E006E1">
        <w:rPr>
          <w:i/>
          <w:iCs/>
          <w:color w:val="000000"/>
          <w:sz w:val="18"/>
          <w:szCs w:val="18"/>
          <w:lang w:val="fr-FR"/>
        </w:rPr>
        <w:t>Recueil des Traités</w:t>
      </w:r>
      <w:r w:rsidR="00044CE8" w:rsidRPr="00E006E1">
        <w:rPr>
          <w:color w:val="000000"/>
          <w:sz w:val="18"/>
          <w:szCs w:val="18"/>
          <w:lang w:val="fr-FR"/>
        </w:rPr>
        <w:t>, vol. 2226, n° 30619</w:t>
      </w:r>
      <w:r w:rsidRPr="00E006E1">
        <w:rPr>
          <w:color w:val="000000"/>
          <w:sz w:val="18"/>
          <w:szCs w:val="18"/>
          <w:lang w:val="fr-FR"/>
        </w:rPr>
        <w:t>.</w:t>
      </w:r>
    </w:p>
  </w:footnote>
  <w:footnote w:id="3">
    <w:p w14:paraId="2878E2D6" w14:textId="2FC7B7E7" w:rsidR="00B24880" w:rsidRPr="00E006E1" w:rsidRDefault="00B24880" w:rsidP="00B24880">
      <w:pPr>
        <w:pStyle w:val="FootnoteText"/>
        <w:rPr>
          <w:sz w:val="18"/>
          <w:szCs w:val="18"/>
          <w:lang w:val="fr-FR"/>
        </w:rPr>
      </w:pPr>
      <w:r w:rsidRPr="00E006E1">
        <w:rPr>
          <w:rStyle w:val="FootnoteReference"/>
          <w:sz w:val="18"/>
          <w:szCs w:val="18"/>
          <w:lang w:val="fr-FR"/>
        </w:rPr>
        <w:footnoteRef/>
      </w:r>
      <w:r w:rsidRPr="00E006E1">
        <w:rPr>
          <w:sz w:val="18"/>
          <w:szCs w:val="18"/>
          <w:lang w:val="fr-FR"/>
        </w:rPr>
        <w:t xml:space="preserve"> </w:t>
      </w:r>
      <w:r w:rsidRPr="00E006E1">
        <w:rPr>
          <w:color w:val="000000"/>
          <w:sz w:val="18"/>
          <w:szCs w:val="18"/>
          <w:lang w:val="fr-FR"/>
        </w:rPr>
        <w:t xml:space="preserve">Nations Unies, </w:t>
      </w:r>
      <w:r w:rsidRPr="00E006E1">
        <w:rPr>
          <w:i/>
          <w:iCs/>
          <w:color w:val="000000"/>
          <w:sz w:val="18"/>
          <w:szCs w:val="18"/>
          <w:lang w:val="fr-FR"/>
        </w:rPr>
        <w:t>Recueil des Traités</w:t>
      </w:r>
      <w:r w:rsidRPr="00E006E1">
        <w:rPr>
          <w:iCs/>
          <w:color w:val="000000"/>
          <w:sz w:val="18"/>
          <w:szCs w:val="18"/>
          <w:lang w:val="fr-FR"/>
        </w:rPr>
        <w:t>,</w:t>
      </w:r>
      <w:r w:rsidRPr="00E006E1">
        <w:rPr>
          <w:i/>
          <w:iCs/>
          <w:color w:val="000000"/>
          <w:sz w:val="18"/>
          <w:szCs w:val="18"/>
          <w:lang w:val="fr-FR"/>
        </w:rPr>
        <w:t xml:space="preserve"> </w:t>
      </w:r>
      <w:r w:rsidRPr="00E006E1">
        <w:rPr>
          <w:color w:val="000000"/>
          <w:sz w:val="18"/>
          <w:szCs w:val="18"/>
          <w:lang w:val="fr-FR"/>
        </w:rPr>
        <w:t>vol. 1760, No. 30619.</w:t>
      </w:r>
    </w:p>
  </w:footnote>
  <w:footnote w:id="4">
    <w:p w14:paraId="7837583B" w14:textId="2465B610" w:rsidR="007B2AC9" w:rsidRPr="00251DDB" w:rsidRDefault="007B2AC9" w:rsidP="007B2AC9">
      <w:pPr>
        <w:pStyle w:val="FootnoteText"/>
        <w:rPr>
          <w:lang w:val="fr-FR"/>
        </w:rPr>
      </w:pPr>
      <w:r w:rsidRPr="00251DDB">
        <w:rPr>
          <w:rStyle w:val="FootnoteReference"/>
          <w:sz w:val="18"/>
          <w:szCs w:val="18"/>
        </w:rPr>
        <w:footnoteRef/>
      </w:r>
      <w:r w:rsidRPr="00251DDB">
        <w:rPr>
          <w:sz w:val="18"/>
          <w:szCs w:val="18"/>
          <w:lang w:val="fr-FR"/>
        </w:rPr>
        <w:t xml:space="preserve"> </w:t>
      </w:r>
      <w:r w:rsidRPr="00251DDB">
        <w:rPr>
          <w:sz w:val="18"/>
          <w:szCs w:val="18"/>
          <w:lang w:val="fr-FR"/>
        </w:rPr>
        <w:t>Voir</w:t>
      </w:r>
      <w:r w:rsidRPr="00251DDB">
        <w:rPr>
          <w:lang w:val="fr-FR"/>
        </w:rPr>
        <w:t xml:space="preserve"> CBD/SYNBIO/AHTEG/2024/1/3.</w:t>
      </w:r>
    </w:p>
  </w:footnote>
  <w:footnote w:id="5">
    <w:p w14:paraId="28E441C0" w14:textId="798B3BBF" w:rsidR="00DC6692" w:rsidRPr="00E006E1" w:rsidRDefault="00DC6692">
      <w:pPr>
        <w:pStyle w:val="FootnoteText"/>
        <w:rPr>
          <w:sz w:val="18"/>
          <w:szCs w:val="18"/>
          <w:lang w:val="fr-FR"/>
        </w:rPr>
      </w:pPr>
      <w:r w:rsidRPr="00E006E1">
        <w:rPr>
          <w:rStyle w:val="FootnoteReference"/>
          <w:sz w:val="18"/>
          <w:szCs w:val="18"/>
          <w:lang w:val="fr-FR"/>
        </w:rPr>
        <w:footnoteRef/>
      </w:r>
      <w:r w:rsidRPr="00E006E1">
        <w:rPr>
          <w:sz w:val="18"/>
          <w:szCs w:val="18"/>
          <w:lang w:val="fr-FR"/>
        </w:rPr>
        <w:t xml:space="preserve"> </w:t>
      </w:r>
      <w:r w:rsidR="00044CE8" w:rsidRPr="00E006E1">
        <w:rPr>
          <w:sz w:val="18"/>
          <w:szCs w:val="18"/>
          <w:lang w:val="fr-FR"/>
        </w:rPr>
        <w:t>Voir CBD/CP/RA/AHTEG/2024/1/3</w:t>
      </w:r>
      <w:r w:rsidRPr="00E006E1">
        <w:rPr>
          <w:sz w:val="18"/>
          <w:szCs w:val="18"/>
          <w:lang w:val="fr-FR"/>
        </w:rPr>
        <w:t>.</w:t>
      </w:r>
    </w:p>
  </w:footnote>
  <w:footnote w:id="6">
    <w:p w14:paraId="0B4360AC" w14:textId="6CBE1D6D" w:rsidR="00AD789A" w:rsidRPr="00E006E1" w:rsidRDefault="00AD789A" w:rsidP="00AD789A">
      <w:pPr>
        <w:pStyle w:val="FootnoteText"/>
        <w:rPr>
          <w:sz w:val="18"/>
          <w:szCs w:val="18"/>
          <w:lang w:val="fr-FR"/>
        </w:rPr>
      </w:pPr>
      <w:r w:rsidRPr="00E006E1">
        <w:rPr>
          <w:rStyle w:val="FootnoteReference"/>
          <w:sz w:val="18"/>
          <w:szCs w:val="18"/>
          <w:lang w:val="fr-FR"/>
        </w:rPr>
        <w:footnoteRef/>
      </w:r>
      <w:r w:rsidRPr="00E006E1">
        <w:rPr>
          <w:sz w:val="18"/>
          <w:szCs w:val="18"/>
          <w:lang w:val="fr-FR"/>
        </w:rPr>
        <w:t xml:space="preserve"> </w:t>
      </w:r>
      <w:r w:rsidR="00D53AAB" w:rsidRPr="00E006E1">
        <w:rPr>
          <w:sz w:val="18"/>
          <w:szCs w:val="18"/>
          <w:lang w:val="fr-FR"/>
        </w:rPr>
        <w:t xml:space="preserve">Voir </w:t>
      </w:r>
      <w:r w:rsidRPr="00E006E1">
        <w:rPr>
          <w:sz w:val="18"/>
          <w:szCs w:val="18"/>
          <w:lang w:val="fr-FR"/>
        </w:rPr>
        <w:t>CBD/CP/RA/AHTEG/2023/1/4 et CBD/CP/RA/AHTEG/2024/1/3.</w:t>
      </w:r>
    </w:p>
  </w:footnote>
  <w:footnote w:id="7">
    <w:p w14:paraId="34A0F285" w14:textId="2997FC38" w:rsidR="00551602" w:rsidRPr="00104B33" w:rsidRDefault="00551602">
      <w:pPr>
        <w:pStyle w:val="FootnoteText"/>
        <w:rPr>
          <w:sz w:val="18"/>
          <w:szCs w:val="18"/>
          <w:lang w:val="en-US"/>
        </w:rPr>
      </w:pPr>
      <w:r w:rsidRPr="00E006E1">
        <w:rPr>
          <w:rStyle w:val="FootnoteReference"/>
          <w:sz w:val="18"/>
          <w:szCs w:val="18"/>
          <w:lang w:val="fr-FR"/>
        </w:rPr>
        <w:footnoteRef/>
      </w:r>
      <w:r w:rsidRPr="00104B33">
        <w:rPr>
          <w:sz w:val="18"/>
          <w:szCs w:val="18"/>
          <w:lang w:val="en-US"/>
        </w:rPr>
        <w:t xml:space="preserve"> CBD/SBSTTA/26/5/Add.1</w:t>
      </w:r>
      <w:r w:rsidR="00A64384" w:rsidRPr="00104B33">
        <w:rPr>
          <w:sz w:val="18"/>
          <w:szCs w:val="18"/>
          <w:lang w:val="en-US"/>
        </w:rPr>
        <w:t>.</w:t>
      </w:r>
    </w:p>
  </w:footnote>
  <w:footnote w:id="8">
    <w:p w14:paraId="492C157D" w14:textId="77777777" w:rsidR="00AD789A" w:rsidRPr="00E006E1" w:rsidRDefault="00AD789A" w:rsidP="00AD789A">
      <w:pPr>
        <w:pStyle w:val="FootnoteText"/>
        <w:rPr>
          <w:sz w:val="18"/>
          <w:szCs w:val="18"/>
          <w:lang w:val="fr-FR"/>
        </w:rPr>
      </w:pPr>
      <w:r w:rsidRPr="00E006E1">
        <w:rPr>
          <w:rStyle w:val="FootnoteReference"/>
          <w:sz w:val="18"/>
          <w:szCs w:val="18"/>
          <w:lang w:val="fr-FR"/>
        </w:rPr>
        <w:footnoteRef/>
      </w:r>
      <w:r w:rsidRPr="00104B33">
        <w:rPr>
          <w:sz w:val="18"/>
          <w:szCs w:val="18"/>
          <w:lang w:val="en-US"/>
        </w:rPr>
        <w:t xml:space="preserve"> Ibid., sect. </w:t>
      </w:r>
      <w:r w:rsidRPr="00E006E1">
        <w:rPr>
          <w:sz w:val="18"/>
          <w:szCs w:val="18"/>
          <w:lang w:val="fr-FR"/>
        </w:rPr>
        <w:t>7.</w:t>
      </w:r>
    </w:p>
  </w:footnote>
  <w:footnote w:id="9">
    <w:p w14:paraId="3969D190" w14:textId="45223178" w:rsidR="00CC1D8C" w:rsidRPr="009B28E3" w:rsidRDefault="00CC1D8C" w:rsidP="00CC1D8C">
      <w:pPr>
        <w:pStyle w:val="FootnoteText"/>
        <w:rPr>
          <w:sz w:val="18"/>
          <w:szCs w:val="18"/>
          <w:lang w:val="fr-FR"/>
        </w:rPr>
      </w:pPr>
      <w:r w:rsidRPr="009B28E3">
        <w:rPr>
          <w:rStyle w:val="FootnoteReference"/>
          <w:sz w:val="18"/>
          <w:szCs w:val="18"/>
          <w:lang w:val="fr-FR"/>
        </w:rPr>
        <w:footnoteRef/>
      </w:r>
      <w:r w:rsidRPr="009B28E3">
        <w:rPr>
          <w:sz w:val="18"/>
          <w:szCs w:val="18"/>
          <w:lang w:val="fr-FR"/>
        </w:rPr>
        <w:t xml:space="preserve"> D</w:t>
      </w:r>
      <w:r w:rsidR="00D04D19" w:rsidRPr="00E006E1">
        <w:rPr>
          <w:sz w:val="18"/>
          <w:szCs w:val="18"/>
          <w:lang w:val="fr-FR"/>
        </w:rPr>
        <w:t>é</w:t>
      </w:r>
      <w:r w:rsidRPr="009B28E3">
        <w:rPr>
          <w:sz w:val="18"/>
          <w:szCs w:val="18"/>
          <w:lang w:val="fr-FR"/>
        </w:rPr>
        <w:t>cision VIII/10, annex</w:t>
      </w:r>
      <w:r w:rsidR="00D04D19" w:rsidRPr="00E006E1">
        <w:rPr>
          <w:sz w:val="18"/>
          <w:szCs w:val="18"/>
          <w:lang w:val="fr-FR"/>
        </w:rPr>
        <w:t>e</w:t>
      </w:r>
      <w:r w:rsidRPr="009B28E3">
        <w:rPr>
          <w:sz w:val="18"/>
          <w:szCs w:val="18"/>
          <w:lang w:val="fr-FR"/>
        </w:rPr>
        <w:t xml:space="preserve"> III.</w:t>
      </w:r>
    </w:p>
  </w:footnote>
  <w:footnote w:id="10">
    <w:p w14:paraId="2B9948CC" w14:textId="0996EAA9" w:rsidR="00CC1D8C" w:rsidRPr="009B28E3" w:rsidRDefault="00CC1D8C" w:rsidP="00CC1D8C">
      <w:pPr>
        <w:pStyle w:val="FootnoteText"/>
        <w:rPr>
          <w:sz w:val="18"/>
          <w:szCs w:val="18"/>
          <w:lang w:val="fr-FR"/>
        </w:rPr>
      </w:pPr>
      <w:r w:rsidRPr="009B28E3">
        <w:rPr>
          <w:rStyle w:val="FootnoteReference"/>
          <w:sz w:val="18"/>
          <w:szCs w:val="18"/>
          <w:lang w:val="fr-FR"/>
        </w:rPr>
        <w:footnoteRef/>
      </w:r>
      <w:r w:rsidRPr="009B28E3">
        <w:rPr>
          <w:sz w:val="18"/>
          <w:szCs w:val="18"/>
          <w:lang w:val="fr-FR"/>
        </w:rPr>
        <w:t xml:space="preserve"> </w:t>
      </w:r>
      <w:r w:rsidR="00D04D19" w:rsidRPr="00E006E1">
        <w:rPr>
          <w:color w:val="000000"/>
          <w:sz w:val="18"/>
          <w:szCs w:val="18"/>
          <w:lang w:val="fr-FR"/>
        </w:rPr>
        <w:t xml:space="preserve">Nations Unies, </w:t>
      </w:r>
      <w:r w:rsidR="00D04D19" w:rsidRPr="00E006E1">
        <w:rPr>
          <w:i/>
          <w:iCs/>
          <w:color w:val="000000"/>
          <w:sz w:val="18"/>
          <w:szCs w:val="18"/>
          <w:lang w:val="fr-FR"/>
        </w:rPr>
        <w:t>Recueil des Traités</w:t>
      </w:r>
      <w:r w:rsidRPr="00E006E1">
        <w:rPr>
          <w:iCs/>
          <w:color w:val="000000"/>
          <w:sz w:val="18"/>
          <w:szCs w:val="18"/>
          <w:lang w:val="fr-FR"/>
        </w:rPr>
        <w:t>,</w:t>
      </w:r>
      <w:r w:rsidRPr="00E006E1">
        <w:rPr>
          <w:i/>
          <w:iCs/>
          <w:color w:val="000000"/>
          <w:sz w:val="18"/>
          <w:szCs w:val="18"/>
          <w:lang w:val="fr-FR"/>
        </w:rPr>
        <w:t xml:space="preserve"> </w:t>
      </w:r>
      <w:r w:rsidRPr="00E006E1">
        <w:rPr>
          <w:color w:val="000000"/>
          <w:sz w:val="18"/>
          <w:szCs w:val="18"/>
          <w:lang w:val="fr-FR"/>
        </w:rPr>
        <w:t>vol. 2226, No. 30619.</w:t>
      </w:r>
    </w:p>
  </w:footnote>
  <w:footnote w:id="11">
    <w:p w14:paraId="328A7887" w14:textId="1048C742" w:rsidR="00CC1D8C" w:rsidRPr="00251DDB" w:rsidRDefault="00CC1D8C" w:rsidP="00CC1D8C">
      <w:pPr>
        <w:pStyle w:val="FootnoteText"/>
        <w:rPr>
          <w:lang w:val="en-US"/>
        </w:rPr>
      </w:pPr>
      <w:r w:rsidRPr="005B3693">
        <w:rPr>
          <w:rStyle w:val="FootnoteReference"/>
          <w:lang w:val="fr-FR"/>
        </w:rPr>
        <w:footnoteRef/>
      </w:r>
      <w:r w:rsidRPr="00251DDB">
        <w:rPr>
          <w:lang w:val="en-US"/>
        </w:rPr>
        <w:t xml:space="preserve"> </w:t>
      </w:r>
      <w:r w:rsidRPr="00251DDB">
        <w:rPr>
          <w:sz w:val="18"/>
          <w:szCs w:val="18"/>
          <w:lang w:val="en-US"/>
        </w:rPr>
        <w:t>CBD/CP/RA/AHTEG/2020/1/3</w:t>
      </w:r>
      <w:r w:rsidR="00D04D19" w:rsidRPr="00251DDB">
        <w:rPr>
          <w:sz w:val="18"/>
          <w:szCs w:val="18"/>
          <w:lang w:val="en-US"/>
        </w:rPr>
        <w:t xml:space="preserve">, </w:t>
      </w:r>
      <w:proofErr w:type="spellStart"/>
      <w:r w:rsidR="00D04D19" w:rsidRPr="00251DDB">
        <w:rPr>
          <w:sz w:val="18"/>
          <w:szCs w:val="18"/>
          <w:lang w:val="en-US"/>
        </w:rPr>
        <w:t>annexe</w:t>
      </w:r>
      <w:proofErr w:type="spellEnd"/>
      <w:r w:rsidRPr="00251DDB">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44EF" w14:textId="47EA94C7" w:rsidR="002B559C" w:rsidRPr="00097578" w:rsidRDefault="00097578" w:rsidP="00097578">
    <w:pPr>
      <w:pStyle w:val="Header"/>
    </w:pPr>
    <w:r w:rsidRPr="00097578">
      <w:rPr>
        <w:sz w:val="20"/>
        <w:szCs w:val="20"/>
        <w:lang w:val="fr-FR"/>
      </w:rPr>
      <w:t>CBD/SBSTTA/REC/26/5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3A67840E" w14:textId="043CA807" w:rsidR="002B559C" w:rsidRPr="002B559C" w:rsidRDefault="00097578" w:rsidP="002B559C">
        <w:pPr>
          <w:pStyle w:val="Header"/>
          <w:pBdr>
            <w:bottom w:val="single" w:sz="4" w:space="1" w:color="auto"/>
          </w:pBdr>
          <w:spacing w:after="240"/>
          <w:jc w:val="right"/>
          <w:rPr>
            <w:sz w:val="20"/>
            <w:szCs w:val="20"/>
            <w:lang w:val="fr-FR"/>
          </w:rPr>
        </w:pPr>
        <w:r w:rsidRPr="00385A41">
          <w:rPr>
            <w:sz w:val="20"/>
            <w:szCs w:val="20"/>
            <w:lang w:val="fr-FR"/>
          </w:rPr>
          <w:t>CBD/SBSTTA/REC/26/5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5BD0"/>
    <w:multiLevelType w:val="hybridMultilevel"/>
    <w:tmpl w:val="2C80A920"/>
    <w:lvl w:ilvl="0" w:tplc="5540C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2439665E"/>
    <w:multiLevelType w:val="hybridMultilevel"/>
    <w:tmpl w:val="4EA69216"/>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7F173F0"/>
    <w:multiLevelType w:val="hybridMultilevel"/>
    <w:tmpl w:val="521EDFF0"/>
    <w:lvl w:ilvl="0" w:tplc="FFFFFFFF">
      <w:start w:val="1"/>
      <w:numFmt w:val="decimal"/>
      <w:lvlText w:val="%1."/>
      <w:lvlJc w:val="left"/>
      <w:pPr>
        <w:ind w:left="927" w:hanging="360"/>
      </w:pPr>
      <w:rPr>
        <w:rFonts w:hint="default"/>
        <w:b w:val="0"/>
        <w:bCs w:val="0"/>
      </w:rPr>
    </w:lvl>
    <w:lvl w:ilvl="1" w:tplc="FFFFFFFF">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9E5A8ADE">
      <w:start w:val="1"/>
      <w:numFmt w:val="lowerLetter"/>
      <w:lvlText w:val="(%4)"/>
      <w:lvlJc w:val="left"/>
      <w:pPr>
        <w:ind w:left="1710" w:hanging="360"/>
      </w:pPr>
      <w:rPr>
        <w:rFonts w:hint="default"/>
        <w:b w:val="0"/>
        <w:bCs w:val="0"/>
        <w:i/>
        <w:iCs/>
      </w:rPr>
    </w:lvl>
    <w:lvl w:ilvl="4" w:tplc="FFFFFFFF">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400B2BB0"/>
    <w:multiLevelType w:val="hybridMultilevel"/>
    <w:tmpl w:val="50FE85F4"/>
    <w:lvl w:ilvl="0" w:tplc="604E1688">
      <w:start w:val="1"/>
      <w:numFmt w:val="lowerLetter"/>
      <w:lvlText w:val="%1)"/>
      <w:lvlJc w:val="left"/>
      <w:pPr>
        <w:ind w:left="720" w:hanging="360"/>
      </w:pPr>
    </w:lvl>
    <w:lvl w:ilvl="1" w:tplc="A9F49522">
      <w:start w:val="1"/>
      <w:numFmt w:val="lowerLetter"/>
      <w:lvlText w:val="%2)"/>
      <w:lvlJc w:val="left"/>
      <w:pPr>
        <w:ind w:left="720" w:hanging="360"/>
      </w:pPr>
    </w:lvl>
    <w:lvl w:ilvl="2" w:tplc="E74CDA40">
      <w:start w:val="1"/>
      <w:numFmt w:val="lowerLetter"/>
      <w:lvlText w:val="%3)"/>
      <w:lvlJc w:val="left"/>
      <w:pPr>
        <w:ind w:left="720" w:hanging="360"/>
      </w:pPr>
    </w:lvl>
    <w:lvl w:ilvl="3" w:tplc="45F65C42">
      <w:start w:val="1"/>
      <w:numFmt w:val="lowerLetter"/>
      <w:lvlText w:val="%4)"/>
      <w:lvlJc w:val="left"/>
      <w:pPr>
        <w:ind w:left="720" w:hanging="360"/>
      </w:pPr>
    </w:lvl>
    <w:lvl w:ilvl="4" w:tplc="EAC29878">
      <w:start w:val="1"/>
      <w:numFmt w:val="lowerLetter"/>
      <w:lvlText w:val="%5)"/>
      <w:lvlJc w:val="left"/>
      <w:pPr>
        <w:ind w:left="720" w:hanging="360"/>
      </w:pPr>
    </w:lvl>
    <w:lvl w:ilvl="5" w:tplc="E334E7B8">
      <w:start w:val="1"/>
      <w:numFmt w:val="lowerLetter"/>
      <w:lvlText w:val="%6)"/>
      <w:lvlJc w:val="left"/>
      <w:pPr>
        <w:ind w:left="720" w:hanging="360"/>
      </w:pPr>
    </w:lvl>
    <w:lvl w:ilvl="6" w:tplc="FC62DD0A">
      <w:start w:val="1"/>
      <w:numFmt w:val="lowerLetter"/>
      <w:lvlText w:val="%7)"/>
      <w:lvlJc w:val="left"/>
      <w:pPr>
        <w:ind w:left="720" w:hanging="360"/>
      </w:pPr>
    </w:lvl>
    <w:lvl w:ilvl="7" w:tplc="8684DAC4">
      <w:start w:val="1"/>
      <w:numFmt w:val="lowerLetter"/>
      <w:lvlText w:val="%8)"/>
      <w:lvlJc w:val="left"/>
      <w:pPr>
        <w:ind w:left="720" w:hanging="360"/>
      </w:pPr>
    </w:lvl>
    <w:lvl w:ilvl="8" w:tplc="4E9C0718">
      <w:start w:val="1"/>
      <w:numFmt w:val="lowerLetter"/>
      <w:lvlText w:val="%9)"/>
      <w:lvlJc w:val="left"/>
      <w:pPr>
        <w:ind w:left="720" w:hanging="360"/>
      </w:pPr>
    </w:lvl>
  </w:abstractNum>
  <w:abstractNum w:abstractNumId="8" w15:restartNumberingAfterBreak="0">
    <w:nsid w:val="44E00E31"/>
    <w:multiLevelType w:val="hybridMultilevel"/>
    <w:tmpl w:val="98DE1D60"/>
    <w:lvl w:ilvl="0" w:tplc="5540CAA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713373"/>
    <w:multiLevelType w:val="hybridMultilevel"/>
    <w:tmpl w:val="1968F470"/>
    <w:lvl w:ilvl="0" w:tplc="F2F8D1D0">
      <w:start w:val="1"/>
      <w:numFmt w:val="lowerLetter"/>
      <w:lvlText w:val="(%1)"/>
      <w:lvlJc w:val="left"/>
      <w:pPr>
        <w:ind w:left="171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21D6BE4"/>
    <w:multiLevelType w:val="hybridMultilevel"/>
    <w:tmpl w:val="A3F0CE96"/>
    <w:lvl w:ilvl="0" w:tplc="1009000F">
      <w:start w:val="1"/>
      <w:numFmt w:val="decimal"/>
      <w:lvlText w:val="%1."/>
      <w:lvlJc w:val="left"/>
      <w:pPr>
        <w:ind w:left="360"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567" w:hanging="180"/>
      </w:pPr>
    </w:lvl>
    <w:lvl w:ilvl="3" w:tplc="0409000F">
      <w:start w:val="1"/>
      <w:numFmt w:val="decimal"/>
      <w:lvlText w:val="%4."/>
      <w:lvlJc w:val="left"/>
      <w:pPr>
        <w:ind w:left="153" w:hanging="360"/>
      </w:pPr>
    </w:lvl>
    <w:lvl w:ilvl="4" w:tplc="04090019" w:tentative="1">
      <w:start w:val="1"/>
      <w:numFmt w:val="lowerLetter"/>
      <w:lvlText w:val="%5."/>
      <w:lvlJc w:val="left"/>
      <w:pPr>
        <w:ind w:left="873" w:hanging="360"/>
      </w:pPr>
    </w:lvl>
    <w:lvl w:ilvl="5" w:tplc="0409001B" w:tentative="1">
      <w:start w:val="1"/>
      <w:numFmt w:val="lowerRoman"/>
      <w:lvlText w:val="%6."/>
      <w:lvlJc w:val="right"/>
      <w:pPr>
        <w:ind w:left="1593" w:hanging="180"/>
      </w:pPr>
    </w:lvl>
    <w:lvl w:ilvl="6" w:tplc="0409000F" w:tentative="1">
      <w:start w:val="1"/>
      <w:numFmt w:val="decimal"/>
      <w:lvlText w:val="%7."/>
      <w:lvlJc w:val="left"/>
      <w:pPr>
        <w:ind w:left="2313" w:hanging="360"/>
      </w:pPr>
    </w:lvl>
    <w:lvl w:ilvl="7" w:tplc="04090019" w:tentative="1">
      <w:start w:val="1"/>
      <w:numFmt w:val="lowerLetter"/>
      <w:lvlText w:val="%8."/>
      <w:lvlJc w:val="left"/>
      <w:pPr>
        <w:ind w:left="3033" w:hanging="360"/>
      </w:pPr>
    </w:lvl>
    <w:lvl w:ilvl="8" w:tplc="0409001B" w:tentative="1">
      <w:start w:val="1"/>
      <w:numFmt w:val="lowerRoman"/>
      <w:lvlText w:val="%9."/>
      <w:lvlJc w:val="right"/>
      <w:pPr>
        <w:ind w:left="3753" w:hanging="180"/>
      </w:pPr>
    </w:lvl>
  </w:abstractNum>
  <w:abstractNum w:abstractNumId="13"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55B1798C"/>
    <w:multiLevelType w:val="hybridMultilevel"/>
    <w:tmpl w:val="BC1C3448"/>
    <w:lvl w:ilvl="0" w:tplc="0818E6A4">
      <w:start w:val="1"/>
      <w:numFmt w:val="upperLetter"/>
      <w:lvlText w:val="%1."/>
      <w:lvlJc w:val="left"/>
      <w:pPr>
        <w:ind w:left="720" w:hanging="360"/>
      </w:pPr>
      <w:rPr>
        <w:b/>
        <w:bCs w:val="0"/>
      </w:rPr>
    </w:lvl>
    <w:lvl w:ilvl="1" w:tplc="4F7A6788">
      <w:start w:val="1"/>
      <w:numFmt w:val="lowerLetter"/>
      <w:lvlText w:val="%2."/>
      <w:lvlJc w:val="left"/>
      <w:pPr>
        <w:ind w:left="1440" w:hanging="360"/>
      </w:pPr>
    </w:lvl>
    <w:lvl w:ilvl="2" w:tplc="363C11A0">
      <w:start w:val="1"/>
      <w:numFmt w:val="lowerRoman"/>
      <w:lvlText w:val="%3."/>
      <w:lvlJc w:val="right"/>
      <w:pPr>
        <w:ind w:left="2160" w:hanging="180"/>
      </w:pPr>
    </w:lvl>
    <w:lvl w:ilvl="3" w:tplc="65FE3856">
      <w:start w:val="1"/>
      <w:numFmt w:val="decimal"/>
      <w:lvlText w:val="%4."/>
      <w:lvlJc w:val="left"/>
      <w:pPr>
        <w:ind w:left="2880" w:hanging="360"/>
      </w:pPr>
    </w:lvl>
    <w:lvl w:ilvl="4" w:tplc="C48E0EE4">
      <w:start w:val="1"/>
      <w:numFmt w:val="lowerLetter"/>
      <w:lvlText w:val="%5."/>
      <w:lvlJc w:val="left"/>
      <w:pPr>
        <w:ind w:left="3600" w:hanging="360"/>
      </w:pPr>
    </w:lvl>
    <w:lvl w:ilvl="5" w:tplc="858251C8">
      <w:start w:val="1"/>
      <w:numFmt w:val="lowerRoman"/>
      <w:lvlText w:val="%6."/>
      <w:lvlJc w:val="right"/>
      <w:pPr>
        <w:ind w:left="4320" w:hanging="180"/>
      </w:pPr>
    </w:lvl>
    <w:lvl w:ilvl="6" w:tplc="F188B904">
      <w:start w:val="1"/>
      <w:numFmt w:val="decimal"/>
      <w:lvlText w:val="%7."/>
      <w:lvlJc w:val="left"/>
      <w:pPr>
        <w:ind w:left="5040" w:hanging="360"/>
      </w:pPr>
    </w:lvl>
    <w:lvl w:ilvl="7" w:tplc="69C66824">
      <w:start w:val="1"/>
      <w:numFmt w:val="lowerLetter"/>
      <w:lvlText w:val="%8."/>
      <w:lvlJc w:val="left"/>
      <w:pPr>
        <w:ind w:left="5760" w:hanging="360"/>
      </w:pPr>
    </w:lvl>
    <w:lvl w:ilvl="8" w:tplc="AAC00B08">
      <w:start w:val="1"/>
      <w:numFmt w:val="lowerRoman"/>
      <w:lvlText w:val="%9."/>
      <w:lvlJc w:val="right"/>
      <w:pPr>
        <w:ind w:left="6480" w:hanging="180"/>
      </w:pPr>
    </w:lvl>
  </w:abstractNum>
  <w:abstractNum w:abstractNumId="15"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7" w15:restartNumberingAfterBreak="0">
    <w:nsid w:val="628F4225"/>
    <w:multiLevelType w:val="multilevel"/>
    <w:tmpl w:val="94FCF8F8"/>
    <w:styleLink w:val="Listeactuelle1"/>
    <w:lvl w:ilvl="0">
      <w:start w:val="1"/>
      <w:numFmt w:val="decimal"/>
      <w:lvlText w:val="%1."/>
      <w:lvlJc w:val="left"/>
      <w:pPr>
        <w:ind w:left="2487"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1710" w:hanging="360"/>
      </w:pPr>
      <w:rPr>
        <w:i w:val="0"/>
        <w:iCs w:val="0"/>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9"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68B70991"/>
    <w:multiLevelType w:val="hybridMultilevel"/>
    <w:tmpl w:val="0A50071E"/>
    <w:lvl w:ilvl="0" w:tplc="3CDE7230">
      <w:start w:val="1"/>
      <w:numFmt w:val="decimal"/>
      <w:pStyle w:val="Para10"/>
      <w:lvlText w:val="%1."/>
      <w:lvlJc w:val="left"/>
      <w:pPr>
        <w:ind w:left="2487" w:hanging="360"/>
      </w:pPr>
      <w:rPr>
        <w:rFonts w:hint="default"/>
        <w:b w:val="0"/>
        <w:bCs w:val="0"/>
      </w:rPr>
    </w:lvl>
    <w:lvl w:ilvl="1" w:tplc="040C0017">
      <w:start w:val="1"/>
      <w:numFmt w:val="lowerLetter"/>
      <w:lvlText w:val="%2)"/>
      <w:lvlJc w:val="left"/>
      <w:pPr>
        <w:ind w:left="1647" w:hanging="360"/>
      </w:pPr>
    </w:lvl>
    <w:lvl w:ilvl="2" w:tplc="1009001B" w:tentative="1">
      <w:start w:val="1"/>
      <w:numFmt w:val="lowerRoman"/>
      <w:lvlText w:val="%3."/>
      <w:lvlJc w:val="right"/>
      <w:pPr>
        <w:ind w:left="2367" w:hanging="180"/>
      </w:pPr>
    </w:lvl>
    <w:lvl w:ilvl="3" w:tplc="B4581F40">
      <w:start w:val="1"/>
      <w:numFmt w:val="decimal"/>
      <w:lvlText w:val="%4."/>
      <w:lvlJc w:val="left"/>
      <w:pPr>
        <w:ind w:left="1710" w:hanging="360"/>
      </w:pPr>
      <w:rPr>
        <w:i w:val="0"/>
        <w:iCs w:val="0"/>
      </w:rPr>
    </w:lvl>
    <w:lvl w:ilvl="4" w:tplc="10090019">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15:restartNumberingAfterBreak="0">
    <w:nsid w:val="707050A9"/>
    <w:multiLevelType w:val="hybridMultilevel"/>
    <w:tmpl w:val="73AC1586"/>
    <w:lvl w:ilvl="0" w:tplc="377CF006">
      <w:start w:val="1"/>
      <w:numFmt w:val="decimal"/>
      <w:lvlText w:val="%1)"/>
      <w:lvlJc w:val="left"/>
      <w:pPr>
        <w:ind w:left="1080" w:hanging="360"/>
      </w:pPr>
    </w:lvl>
    <w:lvl w:ilvl="1" w:tplc="D48A2880">
      <w:start w:val="1"/>
      <w:numFmt w:val="decimal"/>
      <w:lvlText w:val="%2)"/>
      <w:lvlJc w:val="left"/>
      <w:pPr>
        <w:ind w:left="1080" w:hanging="360"/>
      </w:pPr>
    </w:lvl>
    <w:lvl w:ilvl="2" w:tplc="2C8417CA">
      <w:start w:val="1"/>
      <w:numFmt w:val="decimal"/>
      <w:lvlText w:val="%3)"/>
      <w:lvlJc w:val="left"/>
      <w:pPr>
        <w:ind w:left="1080" w:hanging="360"/>
      </w:pPr>
    </w:lvl>
    <w:lvl w:ilvl="3" w:tplc="F918C5EE">
      <w:start w:val="1"/>
      <w:numFmt w:val="decimal"/>
      <w:lvlText w:val="%4)"/>
      <w:lvlJc w:val="left"/>
      <w:pPr>
        <w:ind w:left="1080" w:hanging="360"/>
      </w:pPr>
    </w:lvl>
    <w:lvl w:ilvl="4" w:tplc="C9E87DF0">
      <w:start w:val="1"/>
      <w:numFmt w:val="decimal"/>
      <w:lvlText w:val="%5)"/>
      <w:lvlJc w:val="left"/>
      <w:pPr>
        <w:ind w:left="1080" w:hanging="360"/>
      </w:pPr>
    </w:lvl>
    <w:lvl w:ilvl="5" w:tplc="065C5924">
      <w:start w:val="1"/>
      <w:numFmt w:val="decimal"/>
      <w:lvlText w:val="%6)"/>
      <w:lvlJc w:val="left"/>
      <w:pPr>
        <w:ind w:left="1080" w:hanging="360"/>
      </w:pPr>
    </w:lvl>
    <w:lvl w:ilvl="6" w:tplc="4E72E570">
      <w:start w:val="1"/>
      <w:numFmt w:val="decimal"/>
      <w:lvlText w:val="%7)"/>
      <w:lvlJc w:val="left"/>
      <w:pPr>
        <w:ind w:left="1080" w:hanging="360"/>
      </w:pPr>
    </w:lvl>
    <w:lvl w:ilvl="7" w:tplc="8182D8D4">
      <w:start w:val="1"/>
      <w:numFmt w:val="decimal"/>
      <w:lvlText w:val="%8)"/>
      <w:lvlJc w:val="left"/>
      <w:pPr>
        <w:ind w:left="1080" w:hanging="360"/>
      </w:pPr>
    </w:lvl>
    <w:lvl w:ilvl="8" w:tplc="F1CEFBCE">
      <w:start w:val="1"/>
      <w:numFmt w:val="decimal"/>
      <w:lvlText w:val="%9)"/>
      <w:lvlJc w:val="left"/>
      <w:pPr>
        <w:ind w:left="1080" w:hanging="360"/>
      </w:pPr>
    </w:lvl>
  </w:abstractNum>
  <w:abstractNum w:abstractNumId="22"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75A747F9"/>
    <w:multiLevelType w:val="hybridMultilevel"/>
    <w:tmpl w:val="A95A72F8"/>
    <w:lvl w:ilvl="0" w:tplc="5540CAA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6B726FE"/>
    <w:multiLevelType w:val="hybridMultilevel"/>
    <w:tmpl w:val="F11202DC"/>
    <w:lvl w:ilvl="0" w:tplc="08A60150">
      <w:start w:val="1"/>
      <w:numFmt w:val="upperLetter"/>
      <w:lvlText w:val="%1."/>
      <w:lvlJc w:val="left"/>
      <w:pPr>
        <w:ind w:left="720" w:hanging="360"/>
      </w:pPr>
      <w:rPr>
        <w:b/>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D0569B6"/>
    <w:multiLevelType w:val="hybridMultilevel"/>
    <w:tmpl w:val="6118466A"/>
    <w:lvl w:ilvl="0" w:tplc="5540CAA8">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16cid:durableId="2050370327">
    <w:abstractNumId w:val="9"/>
  </w:num>
  <w:num w:numId="2" w16cid:durableId="2069499237">
    <w:abstractNumId w:val="20"/>
  </w:num>
  <w:num w:numId="3" w16cid:durableId="158270868">
    <w:abstractNumId w:val="22"/>
  </w:num>
  <w:num w:numId="4" w16cid:durableId="159275565">
    <w:abstractNumId w:val="1"/>
  </w:num>
  <w:num w:numId="5" w16cid:durableId="271714945">
    <w:abstractNumId w:val="2"/>
  </w:num>
  <w:num w:numId="6" w16cid:durableId="1351487209">
    <w:abstractNumId w:val="2"/>
  </w:num>
  <w:num w:numId="7" w16cid:durableId="1612737127">
    <w:abstractNumId w:val="6"/>
  </w:num>
  <w:num w:numId="8" w16cid:durableId="1334139419">
    <w:abstractNumId w:val="15"/>
  </w:num>
  <w:num w:numId="9" w16cid:durableId="935023265">
    <w:abstractNumId w:val="19"/>
  </w:num>
  <w:num w:numId="10" w16cid:durableId="268247158">
    <w:abstractNumId w:val="18"/>
  </w:num>
  <w:num w:numId="11" w16cid:durableId="143207059">
    <w:abstractNumId w:val="13"/>
  </w:num>
  <w:num w:numId="12" w16cid:durableId="445121453">
    <w:abstractNumId w:val="5"/>
  </w:num>
  <w:num w:numId="13" w16cid:durableId="1263953771">
    <w:abstractNumId w:val="5"/>
    <w:lvlOverride w:ilvl="0">
      <w:startOverride w:val="1"/>
    </w:lvlOverride>
  </w:num>
  <w:num w:numId="14" w16cid:durableId="199586161">
    <w:abstractNumId w:val="16"/>
  </w:num>
  <w:num w:numId="15" w16cid:durableId="584072443">
    <w:abstractNumId w:val="16"/>
    <w:lvlOverride w:ilvl="0">
      <w:startOverride w:val="1"/>
    </w:lvlOverride>
  </w:num>
  <w:num w:numId="16" w16cid:durableId="1638680439">
    <w:abstractNumId w:val="20"/>
  </w:num>
  <w:num w:numId="17" w16cid:durableId="1376001245">
    <w:abstractNumId w:val="16"/>
    <w:lvlOverride w:ilvl="0">
      <w:startOverride w:val="1"/>
    </w:lvlOverride>
  </w:num>
  <w:num w:numId="18" w16cid:durableId="1480611021">
    <w:abstractNumId w:val="25"/>
  </w:num>
  <w:num w:numId="19" w16cid:durableId="1967006738">
    <w:abstractNumId w:val="20"/>
    <w:lvlOverride w:ilvl="0">
      <w:startOverride w:val="1"/>
    </w:lvlOverride>
  </w:num>
  <w:num w:numId="20" w16cid:durableId="323556548">
    <w:abstractNumId w:val="20"/>
    <w:lvlOverride w:ilvl="0">
      <w:startOverride w:val="1"/>
    </w:lvlOverride>
  </w:num>
  <w:num w:numId="21" w16cid:durableId="1849025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0405739">
    <w:abstractNumId w:val="20"/>
    <w:lvlOverride w:ilvl="0">
      <w:startOverride w:val="3"/>
    </w:lvlOverride>
  </w:num>
  <w:num w:numId="23" w16cid:durableId="8723328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3991025">
    <w:abstractNumId w:val="3"/>
  </w:num>
  <w:num w:numId="25" w16cid:durableId="1294364256">
    <w:abstractNumId w:val="11"/>
  </w:num>
  <w:num w:numId="26" w16cid:durableId="1440760106">
    <w:abstractNumId w:val="20"/>
    <w:lvlOverride w:ilvl="0">
      <w:startOverride w:val="1"/>
    </w:lvlOverride>
  </w:num>
  <w:num w:numId="27" w16cid:durableId="1820338539">
    <w:abstractNumId w:val="20"/>
  </w:num>
  <w:num w:numId="28" w16cid:durableId="1585992826">
    <w:abstractNumId w:val="20"/>
  </w:num>
  <w:num w:numId="29" w16cid:durableId="525873449">
    <w:abstractNumId w:val="20"/>
  </w:num>
  <w:num w:numId="30" w16cid:durableId="1378041153">
    <w:abstractNumId w:val="20"/>
  </w:num>
  <w:num w:numId="31" w16cid:durableId="1693729231">
    <w:abstractNumId w:val="20"/>
  </w:num>
  <w:num w:numId="32" w16cid:durableId="1230069970">
    <w:abstractNumId w:val="20"/>
  </w:num>
  <w:num w:numId="33" w16cid:durableId="1664578969">
    <w:abstractNumId w:val="20"/>
  </w:num>
  <w:num w:numId="34" w16cid:durableId="1559131000">
    <w:abstractNumId w:val="20"/>
  </w:num>
  <w:num w:numId="35" w16cid:durableId="509955886">
    <w:abstractNumId w:val="8"/>
  </w:num>
  <w:num w:numId="36" w16cid:durableId="2085100543">
    <w:abstractNumId w:val="9"/>
  </w:num>
  <w:num w:numId="37" w16cid:durableId="2118672247">
    <w:abstractNumId w:val="9"/>
  </w:num>
  <w:num w:numId="38" w16cid:durableId="1157958866">
    <w:abstractNumId w:val="14"/>
  </w:num>
  <w:num w:numId="39" w16cid:durableId="9715968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7132306">
    <w:abstractNumId w:val="20"/>
    <w:lvlOverride w:ilvl="0">
      <w:startOverride w:val="1"/>
    </w:lvlOverride>
  </w:num>
  <w:num w:numId="41" w16cid:durableId="1114253936">
    <w:abstractNumId w:val="20"/>
  </w:num>
  <w:num w:numId="42" w16cid:durableId="1503854608">
    <w:abstractNumId w:val="20"/>
  </w:num>
  <w:num w:numId="43" w16cid:durableId="344327802">
    <w:abstractNumId w:val="20"/>
  </w:num>
  <w:num w:numId="44" w16cid:durableId="111099571">
    <w:abstractNumId w:val="20"/>
  </w:num>
  <w:num w:numId="45" w16cid:durableId="189299374">
    <w:abstractNumId w:val="20"/>
  </w:num>
  <w:num w:numId="46" w16cid:durableId="1031221019">
    <w:abstractNumId w:val="20"/>
  </w:num>
  <w:num w:numId="47" w16cid:durableId="1540818815">
    <w:abstractNumId w:val="12"/>
  </w:num>
  <w:num w:numId="48" w16cid:durableId="317609331">
    <w:abstractNumId w:val="4"/>
  </w:num>
  <w:num w:numId="49" w16cid:durableId="1235774431">
    <w:abstractNumId w:val="0"/>
  </w:num>
  <w:num w:numId="50" w16cid:durableId="2108113256">
    <w:abstractNumId w:val="20"/>
  </w:num>
  <w:num w:numId="51" w16cid:durableId="548341345">
    <w:abstractNumId w:val="20"/>
  </w:num>
  <w:num w:numId="52" w16cid:durableId="165561738">
    <w:abstractNumId w:val="20"/>
  </w:num>
  <w:num w:numId="53" w16cid:durableId="974749354">
    <w:abstractNumId w:val="20"/>
  </w:num>
  <w:num w:numId="54" w16cid:durableId="17783695">
    <w:abstractNumId w:val="10"/>
  </w:num>
  <w:num w:numId="55" w16cid:durableId="1161115113">
    <w:abstractNumId w:val="7"/>
  </w:num>
  <w:num w:numId="56" w16cid:durableId="954169145">
    <w:abstractNumId w:val="20"/>
  </w:num>
  <w:num w:numId="57" w16cid:durableId="470680182">
    <w:abstractNumId w:val="20"/>
  </w:num>
  <w:num w:numId="58" w16cid:durableId="1683971291">
    <w:abstractNumId w:val="23"/>
  </w:num>
  <w:num w:numId="59" w16cid:durableId="1867794680">
    <w:abstractNumId w:val="20"/>
  </w:num>
  <w:num w:numId="60" w16cid:durableId="1254431575">
    <w:abstractNumId w:val="20"/>
  </w:num>
  <w:num w:numId="61" w16cid:durableId="891387492">
    <w:abstractNumId w:val="20"/>
  </w:num>
  <w:num w:numId="62" w16cid:durableId="1143624654">
    <w:abstractNumId w:val="20"/>
  </w:num>
  <w:num w:numId="63" w16cid:durableId="1581214710">
    <w:abstractNumId w:val="26"/>
  </w:num>
  <w:num w:numId="64" w16cid:durableId="441999842">
    <w:abstractNumId w:val="20"/>
  </w:num>
  <w:num w:numId="65" w16cid:durableId="59326515">
    <w:abstractNumId w:val="20"/>
    <w:lvlOverride w:ilvl="0">
      <w:startOverride w:val="28"/>
    </w:lvlOverride>
  </w:num>
  <w:num w:numId="66" w16cid:durableId="1351372729">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D5"/>
    <w:rsid w:val="000008F6"/>
    <w:rsid w:val="00000EC2"/>
    <w:rsid w:val="000021E6"/>
    <w:rsid w:val="00003829"/>
    <w:rsid w:val="00004056"/>
    <w:rsid w:val="00006AFE"/>
    <w:rsid w:val="00006F3E"/>
    <w:rsid w:val="00007408"/>
    <w:rsid w:val="00007697"/>
    <w:rsid w:val="000076FF"/>
    <w:rsid w:val="00007E4D"/>
    <w:rsid w:val="00010AAA"/>
    <w:rsid w:val="0001323B"/>
    <w:rsid w:val="00013651"/>
    <w:rsid w:val="00013E57"/>
    <w:rsid w:val="0001404B"/>
    <w:rsid w:val="000144F8"/>
    <w:rsid w:val="00014BC4"/>
    <w:rsid w:val="000155B9"/>
    <w:rsid w:val="00015D57"/>
    <w:rsid w:val="0001724D"/>
    <w:rsid w:val="00020E43"/>
    <w:rsid w:val="00021477"/>
    <w:rsid w:val="00021FCF"/>
    <w:rsid w:val="000227D3"/>
    <w:rsid w:val="00022F92"/>
    <w:rsid w:val="00024639"/>
    <w:rsid w:val="00024967"/>
    <w:rsid w:val="00025630"/>
    <w:rsid w:val="00026672"/>
    <w:rsid w:val="00027265"/>
    <w:rsid w:val="000302D5"/>
    <w:rsid w:val="00030408"/>
    <w:rsid w:val="00031014"/>
    <w:rsid w:val="00031049"/>
    <w:rsid w:val="00033EDF"/>
    <w:rsid w:val="00033EF8"/>
    <w:rsid w:val="00034B92"/>
    <w:rsid w:val="00036D51"/>
    <w:rsid w:val="000375D0"/>
    <w:rsid w:val="00037992"/>
    <w:rsid w:val="00040598"/>
    <w:rsid w:val="000420C7"/>
    <w:rsid w:val="000437C8"/>
    <w:rsid w:val="00044504"/>
    <w:rsid w:val="00044CE8"/>
    <w:rsid w:val="0004570B"/>
    <w:rsid w:val="000467D2"/>
    <w:rsid w:val="000468DA"/>
    <w:rsid w:val="00047206"/>
    <w:rsid w:val="0005018B"/>
    <w:rsid w:val="00054107"/>
    <w:rsid w:val="00054D6D"/>
    <w:rsid w:val="00055DCE"/>
    <w:rsid w:val="00056484"/>
    <w:rsid w:val="0005651B"/>
    <w:rsid w:val="0005797F"/>
    <w:rsid w:val="00057CF7"/>
    <w:rsid w:val="000603B9"/>
    <w:rsid w:val="000613EE"/>
    <w:rsid w:val="000634F2"/>
    <w:rsid w:val="00063563"/>
    <w:rsid w:val="0006526D"/>
    <w:rsid w:val="000727DE"/>
    <w:rsid w:val="0007299E"/>
    <w:rsid w:val="00073701"/>
    <w:rsid w:val="00073799"/>
    <w:rsid w:val="00074409"/>
    <w:rsid w:val="000801B9"/>
    <w:rsid w:val="00081281"/>
    <w:rsid w:val="00081763"/>
    <w:rsid w:val="0008504E"/>
    <w:rsid w:val="0009061C"/>
    <w:rsid w:val="000911D4"/>
    <w:rsid w:val="000920E8"/>
    <w:rsid w:val="00095DF2"/>
    <w:rsid w:val="00097578"/>
    <w:rsid w:val="000A13CC"/>
    <w:rsid w:val="000A3A55"/>
    <w:rsid w:val="000A7E0C"/>
    <w:rsid w:val="000B111D"/>
    <w:rsid w:val="000B1C15"/>
    <w:rsid w:val="000B40AE"/>
    <w:rsid w:val="000B47A5"/>
    <w:rsid w:val="000B4BEA"/>
    <w:rsid w:val="000B597F"/>
    <w:rsid w:val="000B68D7"/>
    <w:rsid w:val="000C0D62"/>
    <w:rsid w:val="000C4753"/>
    <w:rsid w:val="000C5BD9"/>
    <w:rsid w:val="000C6778"/>
    <w:rsid w:val="000D4961"/>
    <w:rsid w:val="000D553D"/>
    <w:rsid w:val="000D6994"/>
    <w:rsid w:val="000D7AAC"/>
    <w:rsid w:val="000E2150"/>
    <w:rsid w:val="000E3889"/>
    <w:rsid w:val="000E39F3"/>
    <w:rsid w:val="000E3DD5"/>
    <w:rsid w:val="000E57DD"/>
    <w:rsid w:val="000E58AA"/>
    <w:rsid w:val="000E767D"/>
    <w:rsid w:val="000F2301"/>
    <w:rsid w:val="000F3DD4"/>
    <w:rsid w:val="000F3E9C"/>
    <w:rsid w:val="000F4431"/>
    <w:rsid w:val="000F4A5A"/>
    <w:rsid w:val="000F5FBE"/>
    <w:rsid w:val="000F61D0"/>
    <w:rsid w:val="000F68A2"/>
    <w:rsid w:val="00102F27"/>
    <w:rsid w:val="00104B33"/>
    <w:rsid w:val="0010534A"/>
    <w:rsid w:val="0010725D"/>
    <w:rsid w:val="0011078C"/>
    <w:rsid w:val="00110CB3"/>
    <w:rsid w:val="001119D9"/>
    <w:rsid w:val="00111B65"/>
    <w:rsid w:val="001121DB"/>
    <w:rsid w:val="00113E74"/>
    <w:rsid w:val="0011455D"/>
    <w:rsid w:val="00114D94"/>
    <w:rsid w:val="00117CE4"/>
    <w:rsid w:val="00120F6C"/>
    <w:rsid w:val="00125183"/>
    <w:rsid w:val="0012538C"/>
    <w:rsid w:val="00126588"/>
    <w:rsid w:val="001268CD"/>
    <w:rsid w:val="00127A39"/>
    <w:rsid w:val="00127E0E"/>
    <w:rsid w:val="001312D9"/>
    <w:rsid w:val="00131334"/>
    <w:rsid w:val="00132581"/>
    <w:rsid w:val="001331D4"/>
    <w:rsid w:val="001339F6"/>
    <w:rsid w:val="00133D55"/>
    <w:rsid w:val="00134D03"/>
    <w:rsid w:val="001352D0"/>
    <w:rsid w:val="0013664B"/>
    <w:rsid w:val="0013686F"/>
    <w:rsid w:val="001402A2"/>
    <w:rsid w:val="001405FB"/>
    <w:rsid w:val="00140EA2"/>
    <w:rsid w:val="00141D95"/>
    <w:rsid w:val="00144D3C"/>
    <w:rsid w:val="00145CA1"/>
    <w:rsid w:val="00145CBD"/>
    <w:rsid w:val="0014670D"/>
    <w:rsid w:val="00147DAA"/>
    <w:rsid w:val="0015075E"/>
    <w:rsid w:val="001507EC"/>
    <w:rsid w:val="00151FE3"/>
    <w:rsid w:val="001528F0"/>
    <w:rsid w:val="00152A6A"/>
    <w:rsid w:val="00154582"/>
    <w:rsid w:val="00154625"/>
    <w:rsid w:val="00155430"/>
    <w:rsid w:val="00155C5A"/>
    <w:rsid w:val="00157721"/>
    <w:rsid w:val="00160C29"/>
    <w:rsid w:val="001612C8"/>
    <w:rsid w:val="0016134C"/>
    <w:rsid w:val="00162006"/>
    <w:rsid w:val="00162320"/>
    <w:rsid w:val="00163E98"/>
    <w:rsid w:val="001645C0"/>
    <w:rsid w:val="001649BF"/>
    <w:rsid w:val="00170C93"/>
    <w:rsid w:val="001710BF"/>
    <w:rsid w:val="00173BF7"/>
    <w:rsid w:val="00175850"/>
    <w:rsid w:val="0017676A"/>
    <w:rsid w:val="0017710C"/>
    <w:rsid w:val="001814D9"/>
    <w:rsid w:val="00182806"/>
    <w:rsid w:val="00183FC8"/>
    <w:rsid w:val="00184909"/>
    <w:rsid w:val="0018696C"/>
    <w:rsid w:val="00186DA5"/>
    <w:rsid w:val="00187A09"/>
    <w:rsid w:val="00190567"/>
    <w:rsid w:val="001914B6"/>
    <w:rsid w:val="00192B8B"/>
    <w:rsid w:val="00193899"/>
    <w:rsid w:val="00194CD9"/>
    <w:rsid w:val="00195BF4"/>
    <w:rsid w:val="00197AB7"/>
    <w:rsid w:val="001A0716"/>
    <w:rsid w:val="001A0941"/>
    <w:rsid w:val="001A1046"/>
    <w:rsid w:val="001A2082"/>
    <w:rsid w:val="001A5769"/>
    <w:rsid w:val="001B0423"/>
    <w:rsid w:val="001B2B44"/>
    <w:rsid w:val="001B4863"/>
    <w:rsid w:val="001B4F4B"/>
    <w:rsid w:val="001B56DA"/>
    <w:rsid w:val="001B79D5"/>
    <w:rsid w:val="001C3C59"/>
    <w:rsid w:val="001C6320"/>
    <w:rsid w:val="001D2393"/>
    <w:rsid w:val="001D4876"/>
    <w:rsid w:val="001D48DF"/>
    <w:rsid w:val="001D6831"/>
    <w:rsid w:val="001D6A4A"/>
    <w:rsid w:val="001E11CA"/>
    <w:rsid w:val="001E24D0"/>
    <w:rsid w:val="001E369E"/>
    <w:rsid w:val="001E4435"/>
    <w:rsid w:val="001E542B"/>
    <w:rsid w:val="001F0D05"/>
    <w:rsid w:val="001F17B8"/>
    <w:rsid w:val="001F2208"/>
    <w:rsid w:val="001F279E"/>
    <w:rsid w:val="001F2BFF"/>
    <w:rsid w:val="001F2D49"/>
    <w:rsid w:val="001F66B1"/>
    <w:rsid w:val="001F69CF"/>
    <w:rsid w:val="002018D6"/>
    <w:rsid w:val="00201E83"/>
    <w:rsid w:val="00202BFD"/>
    <w:rsid w:val="00202FEA"/>
    <w:rsid w:val="002041F5"/>
    <w:rsid w:val="00205D85"/>
    <w:rsid w:val="00206EFC"/>
    <w:rsid w:val="00207252"/>
    <w:rsid w:val="002106D4"/>
    <w:rsid w:val="00211373"/>
    <w:rsid w:val="00214A61"/>
    <w:rsid w:val="00215BFF"/>
    <w:rsid w:val="00216FDD"/>
    <w:rsid w:val="0022059E"/>
    <w:rsid w:val="00220853"/>
    <w:rsid w:val="00222146"/>
    <w:rsid w:val="00222AD9"/>
    <w:rsid w:val="00223065"/>
    <w:rsid w:val="00223E46"/>
    <w:rsid w:val="00224308"/>
    <w:rsid w:val="0022573D"/>
    <w:rsid w:val="00225988"/>
    <w:rsid w:val="00225EF0"/>
    <w:rsid w:val="002269A7"/>
    <w:rsid w:val="00227CC9"/>
    <w:rsid w:val="00230282"/>
    <w:rsid w:val="00230396"/>
    <w:rsid w:val="0023062B"/>
    <w:rsid w:val="002332B0"/>
    <w:rsid w:val="00233E76"/>
    <w:rsid w:val="00234395"/>
    <w:rsid w:val="0023488C"/>
    <w:rsid w:val="00234D49"/>
    <w:rsid w:val="002356E8"/>
    <w:rsid w:val="00235F53"/>
    <w:rsid w:val="00244480"/>
    <w:rsid w:val="00251DDB"/>
    <w:rsid w:val="00251E0E"/>
    <w:rsid w:val="002529A9"/>
    <w:rsid w:val="00257643"/>
    <w:rsid w:val="00257B49"/>
    <w:rsid w:val="002614AF"/>
    <w:rsid w:val="00262061"/>
    <w:rsid w:val="00263652"/>
    <w:rsid w:val="0026576D"/>
    <w:rsid w:val="00267178"/>
    <w:rsid w:val="002714F5"/>
    <w:rsid w:val="00271821"/>
    <w:rsid w:val="00272091"/>
    <w:rsid w:val="00273271"/>
    <w:rsid w:val="00274E51"/>
    <w:rsid w:val="00274F0C"/>
    <w:rsid w:val="002753A1"/>
    <w:rsid w:val="002757C3"/>
    <w:rsid w:val="0027631A"/>
    <w:rsid w:val="002766F8"/>
    <w:rsid w:val="0027694F"/>
    <w:rsid w:val="00277C44"/>
    <w:rsid w:val="0028101F"/>
    <w:rsid w:val="002815E3"/>
    <w:rsid w:val="00281A61"/>
    <w:rsid w:val="002827CF"/>
    <w:rsid w:val="00283CB5"/>
    <w:rsid w:val="00284B63"/>
    <w:rsid w:val="00284BF3"/>
    <w:rsid w:val="002850D4"/>
    <w:rsid w:val="0028664D"/>
    <w:rsid w:val="0028711B"/>
    <w:rsid w:val="002876E6"/>
    <w:rsid w:val="00287A3A"/>
    <w:rsid w:val="00287ED5"/>
    <w:rsid w:val="00290229"/>
    <w:rsid w:val="00293256"/>
    <w:rsid w:val="002970EB"/>
    <w:rsid w:val="002A256D"/>
    <w:rsid w:val="002A264A"/>
    <w:rsid w:val="002A2F99"/>
    <w:rsid w:val="002A5C85"/>
    <w:rsid w:val="002A5DA5"/>
    <w:rsid w:val="002A6B00"/>
    <w:rsid w:val="002A6BF1"/>
    <w:rsid w:val="002A76DD"/>
    <w:rsid w:val="002B00CA"/>
    <w:rsid w:val="002B04AC"/>
    <w:rsid w:val="002B0C7C"/>
    <w:rsid w:val="002B1203"/>
    <w:rsid w:val="002B1B5B"/>
    <w:rsid w:val="002B3679"/>
    <w:rsid w:val="002B4966"/>
    <w:rsid w:val="002B559C"/>
    <w:rsid w:val="002B5CA6"/>
    <w:rsid w:val="002B717E"/>
    <w:rsid w:val="002B7AD1"/>
    <w:rsid w:val="002C0EC9"/>
    <w:rsid w:val="002C2927"/>
    <w:rsid w:val="002C4E13"/>
    <w:rsid w:val="002C5B8A"/>
    <w:rsid w:val="002C5F4D"/>
    <w:rsid w:val="002C7925"/>
    <w:rsid w:val="002D0248"/>
    <w:rsid w:val="002D0400"/>
    <w:rsid w:val="002D159C"/>
    <w:rsid w:val="002D2330"/>
    <w:rsid w:val="002D2878"/>
    <w:rsid w:val="002D3FF1"/>
    <w:rsid w:val="002D41B1"/>
    <w:rsid w:val="002D64B3"/>
    <w:rsid w:val="002D64F0"/>
    <w:rsid w:val="002D7002"/>
    <w:rsid w:val="002D7BFB"/>
    <w:rsid w:val="002D7DC5"/>
    <w:rsid w:val="002D7F33"/>
    <w:rsid w:val="002E0232"/>
    <w:rsid w:val="002E36D5"/>
    <w:rsid w:val="002E3C4E"/>
    <w:rsid w:val="002E43BD"/>
    <w:rsid w:val="002E4BE6"/>
    <w:rsid w:val="002E4E82"/>
    <w:rsid w:val="002E7B8B"/>
    <w:rsid w:val="002F16C6"/>
    <w:rsid w:val="002F3CA5"/>
    <w:rsid w:val="002F45FD"/>
    <w:rsid w:val="002F4B75"/>
    <w:rsid w:val="002F51D4"/>
    <w:rsid w:val="002F60C7"/>
    <w:rsid w:val="002F679E"/>
    <w:rsid w:val="002F767A"/>
    <w:rsid w:val="003004C2"/>
    <w:rsid w:val="00301184"/>
    <w:rsid w:val="00302F02"/>
    <w:rsid w:val="00303043"/>
    <w:rsid w:val="003038F2"/>
    <w:rsid w:val="00305248"/>
    <w:rsid w:val="00305F14"/>
    <w:rsid w:val="003073C3"/>
    <w:rsid w:val="00307B71"/>
    <w:rsid w:val="0031046F"/>
    <w:rsid w:val="00310608"/>
    <w:rsid w:val="00311778"/>
    <w:rsid w:val="00312B57"/>
    <w:rsid w:val="003133DB"/>
    <w:rsid w:val="003136CD"/>
    <w:rsid w:val="003137D4"/>
    <w:rsid w:val="003159C2"/>
    <w:rsid w:val="00315B5E"/>
    <w:rsid w:val="00316094"/>
    <w:rsid w:val="00316558"/>
    <w:rsid w:val="00317A65"/>
    <w:rsid w:val="00321429"/>
    <w:rsid w:val="003214CB"/>
    <w:rsid w:val="00321764"/>
    <w:rsid w:val="00322120"/>
    <w:rsid w:val="00323949"/>
    <w:rsid w:val="00323F22"/>
    <w:rsid w:val="003240B5"/>
    <w:rsid w:val="003251F8"/>
    <w:rsid w:val="00326F0B"/>
    <w:rsid w:val="003279A3"/>
    <w:rsid w:val="00331031"/>
    <w:rsid w:val="0033139C"/>
    <w:rsid w:val="00332066"/>
    <w:rsid w:val="003322BA"/>
    <w:rsid w:val="0033260F"/>
    <w:rsid w:val="00332CF5"/>
    <w:rsid w:val="00334DB8"/>
    <w:rsid w:val="0033798A"/>
    <w:rsid w:val="003408F4"/>
    <w:rsid w:val="0034136D"/>
    <w:rsid w:val="003413E7"/>
    <w:rsid w:val="00341B5C"/>
    <w:rsid w:val="0034584C"/>
    <w:rsid w:val="00345903"/>
    <w:rsid w:val="00345E54"/>
    <w:rsid w:val="003476A9"/>
    <w:rsid w:val="003478A0"/>
    <w:rsid w:val="00351B40"/>
    <w:rsid w:val="00352717"/>
    <w:rsid w:val="00352DE4"/>
    <w:rsid w:val="00354EE0"/>
    <w:rsid w:val="00354FA1"/>
    <w:rsid w:val="00356B19"/>
    <w:rsid w:val="00357051"/>
    <w:rsid w:val="0036098E"/>
    <w:rsid w:val="00361231"/>
    <w:rsid w:val="003612F4"/>
    <w:rsid w:val="00361416"/>
    <w:rsid w:val="0036310B"/>
    <w:rsid w:val="003634B9"/>
    <w:rsid w:val="003648C5"/>
    <w:rsid w:val="00364CEB"/>
    <w:rsid w:val="00365477"/>
    <w:rsid w:val="00365494"/>
    <w:rsid w:val="00366499"/>
    <w:rsid w:val="003672A4"/>
    <w:rsid w:val="00370BED"/>
    <w:rsid w:val="00371449"/>
    <w:rsid w:val="00372F1D"/>
    <w:rsid w:val="00373A6A"/>
    <w:rsid w:val="00373CE0"/>
    <w:rsid w:val="003748F5"/>
    <w:rsid w:val="00375254"/>
    <w:rsid w:val="003773FD"/>
    <w:rsid w:val="00377A40"/>
    <w:rsid w:val="00380397"/>
    <w:rsid w:val="003816E4"/>
    <w:rsid w:val="00381789"/>
    <w:rsid w:val="00381F72"/>
    <w:rsid w:val="00382686"/>
    <w:rsid w:val="00382777"/>
    <w:rsid w:val="0038303C"/>
    <w:rsid w:val="003835B5"/>
    <w:rsid w:val="00385757"/>
    <w:rsid w:val="00386142"/>
    <w:rsid w:val="003869FA"/>
    <w:rsid w:val="003915A6"/>
    <w:rsid w:val="00391DF7"/>
    <w:rsid w:val="00391F7B"/>
    <w:rsid w:val="00397027"/>
    <w:rsid w:val="003A2A28"/>
    <w:rsid w:val="003A44A3"/>
    <w:rsid w:val="003A45B8"/>
    <w:rsid w:val="003A467E"/>
    <w:rsid w:val="003A4716"/>
    <w:rsid w:val="003A6A80"/>
    <w:rsid w:val="003A7375"/>
    <w:rsid w:val="003B0057"/>
    <w:rsid w:val="003B09C4"/>
    <w:rsid w:val="003B0C56"/>
    <w:rsid w:val="003B269A"/>
    <w:rsid w:val="003B2B49"/>
    <w:rsid w:val="003B3FF3"/>
    <w:rsid w:val="003B58B7"/>
    <w:rsid w:val="003B6837"/>
    <w:rsid w:val="003C05DC"/>
    <w:rsid w:val="003C0C9F"/>
    <w:rsid w:val="003C0FF2"/>
    <w:rsid w:val="003C1E7B"/>
    <w:rsid w:val="003C5640"/>
    <w:rsid w:val="003C5835"/>
    <w:rsid w:val="003C61C2"/>
    <w:rsid w:val="003C65DC"/>
    <w:rsid w:val="003C6F10"/>
    <w:rsid w:val="003C6F5A"/>
    <w:rsid w:val="003D0858"/>
    <w:rsid w:val="003D1D3A"/>
    <w:rsid w:val="003D40C5"/>
    <w:rsid w:val="003D683C"/>
    <w:rsid w:val="003D73A3"/>
    <w:rsid w:val="003D76C2"/>
    <w:rsid w:val="003E00F2"/>
    <w:rsid w:val="003E110A"/>
    <w:rsid w:val="003E2B66"/>
    <w:rsid w:val="003E3C74"/>
    <w:rsid w:val="003E4D90"/>
    <w:rsid w:val="003E5CD6"/>
    <w:rsid w:val="003E712E"/>
    <w:rsid w:val="003E77BA"/>
    <w:rsid w:val="003F1726"/>
    <w:rsid w:val="003F1EA8"/>
    <w:rsid w:val="003F2667"/>
    <w:rsid w:val="003F428E"/>
    <w:rsid w:val="003F66FD"/>
    <w:rsid w:val="003F6C8A"/>
    <w:rsid w:val="004000A1"/>
    <w:rsid w:val="00400421"/>
    <w:rsid w:val="004013E7"/>
    <w:rsid w:val="00407078"/>
    <w:rsid w:val="0041056B"/>
    <w:rsid w:val="00410CC1"/>
    <w:rsid w:val="00412D7C"/>
    <w:rsid w:val="0041429B"/>
    <w:rsid w:val="004155A3"/>
    <w:rsid w:val="0041673E"/>
    <w:rsid w:val="0042420B"/>
    <w:rsid w:val="0042424A"/>
    <w:rsid w:val="00425E12"/>
    <w:rsid w:val="00431129"/>
    <w:rsid w:val="00431827"/>
    <w:rsid w:val="00431AE4"/>
    <w:rsid w:val="00432266"/>
    <w:rsid w:val="004335E2"/>
    <w:rsid w:val="004359BD"/>
    <w:rsid w:val="00435A96"/>
    <w:rsid w:val="00436C83"/>
    <w:rsid w:val="00436DE6"/>
    <w:rsid w:val="00437B57"/>
    <w:rsid w:val="00441351"/>
    <w:rsid w:val="00441AB0"/>
    <w:rsid w:val="004428A6"/>
    <w:rsid w:val="00444F3F"/>
    <w:rsid w:val="00445EF1"/>
    <w:rsid w:val="0044786C"/>
    <w:rsid w:val="00450222"/>
    <w:rsid w:val="00451C4A"/>
    <w:rsid w:val="00452B67"/>
    <w:rsid w:val="00453D62"/>
    <w:rsid w:val="0045547C"/>
    <w:rsid w:val="00455BDD"/>
    <w:rsid w:val="00456109"/>
    <w:rsid w:val="00460211"/>
    <w:rsid w:val="004603B0"/>
    <w:rsid w:val="004603CB"/>
    <w:rsid w:val="004607B9"/>
    <w:rsid w:val="00460E52"/>
    <w:rsid w:val="004632E1"/>
    <w:rsid w:val="004641A1"/>
    <w:rsid w:val="00467CC8"/>
    <w:rsid w:val="0047007E"/>
    <w:rsid w:val="004701EE"/>
    <w:rsid w:val="00471A9F"/>
    <w:rsid w:val="0047276F"/>
    <w:rsid w:val="004739E1"/>
    <w:rsid w:val="00474228"/>
    <w:rsid w:val="0047549E"/>
    <w:rsid w:val="00481B36"/>
    <w:rsid w:val="00483E66"/>
    <w:rsid w:val="004846C5"/>
    <w:rsid w:val="0048497C"/>
    <w:rsid w:val="00484A14"/>
    <w:rsid w:val="00484A69"/>
    <w:rsid w:val="00484C8C"/>
    <w:rsid w:val="004857E0"/>
    <w:rsid w:val="00491955"/>
    <w:rsid w:val="00491B8D"/>
    <w:rsid w:val="00491C1B"/>
    <w:rsid w:val="004921B1"/>
    <w:rsid w:val="00493CCA"/>
    <w:rsid w:val="00494D6D"/>
    <w:rsid w:val="00496EA6"/>
    <w:rsid w:val="00497712"/>
    <w:rsid w:val="00497941"/>
    <w:rsid w:val="00497C9E"/>
    <w:rsid w:val="004A0336"/>
    <w:rsid w:val="004A0768"/>
    <w:rsid w:val="004A1BFB"/>
    <w:rsid w:val="004A1ECD"/>
    <w:rsid w:val="004A25C7"/>
    <w:rsid w:val="004A2A2D"/>
    <w:rsid w:val="004A2F62"/>
    <w:rsid w:val="004A3211"/>
    <w:rsid w:val="004A33D1"/>
    <w:rsid w:val="004A3813"/>
    <w:rsid w:val="004A434D"/>
    <w:rsid w:val="004A5150"/>
    <w:rsid w:val="004A61ED"/>
    <w:rsid w:val="004A7425"/>
    <w:rsid w:val="004A7A73"/>
    <w:rsid w:val="004A7BD5"/>
    <w:rsid w:val="004A7BFD"/>
    <w:rsid w:val="004B0FCC"/>
    <w:rsid w:val="004B23A6"/>
    <w:rsid w:val="004B2CD6"/>
    <w:rsid w:val="004B385C"/>
    <w:rsid w:val="004B45C1"/>
    <w:rsid w:val="004B4616"/>
    <w:rsid w:val="004B4A80"/>
    <w:rsid w:val="004B5FB9"/>
    <w:rsid w:val="004C1254"/>
    <w:rsid w:val="004C12FC"/>
    <w:rsid w:val="004C1A3B"/>
    <w:rsid w:val="004C1F76"/>
    <w:rsid w:val="004C251F"/>
    <w:rsid w:val="004C2EF5"/>
    <w:rsid w:val="004C4D98"/>
    <w:rsid w:val="004C52C2"/>
    <w:rsid w:val="004C5616"/>
    <w:rsid w:val="004C5A99"/>
    <w:rsid w:val="004C721B"/>
    <w:rsid w:val="004D03DB"/>
    <w:rsid w:val="004D1A79"/>
    <w:rsid w:val="004D3825"/>
    <w:rsid w:val="004D65EF"/>
    <w:rsid w:val="004D70F9"/>
    <w:rsid w:val="004D744A"/>
    <w:rsid w:val="004E3599"/>
    <w:rsid w:val="004E4AA1"/>
    <w:rsid w:val="004E6838"/>
    <w:rsid w:val="004F0E45"/>
    <w:rsid w:val="004F1F76"/>
    <w:rsid w:val="004F24BC"/>
    <w:rsid w:val="004F263E"/>
    <w:rsid w:val="004F2DA5"/>
    <w:rsid w:val="004F44B7"/>
    <w:rsid w:val="004F46D2"/>
    <w:rsid w:val="004F5F74"/>
    <w:rsid w:val="004F630B"/>
    <w:rsid w:val="004F66C7"/>
    <w:rsid w:val="004F6D35"/>
    <w:rsid w:val="00500346"/>
    <w:rsid w:val="0050037E"/>
    <w:rsid w:val="00500737"/>
    <w:rsid w:val="0050096C"/>
    <w:rsid w:val="00501CD1"/>
    <w:rsid w:val="00502BAF"/>
    <w:rsid w:val="00503F2A"/>
    <w:rsid w:val="00503FB2"/>
    <w:rsid w:val="00504070"/>
    <w:rsid w:val="0050519E"/>
    <w:rsid w:val="00505620"/>
    <w:rsid w:val="005073D5"/>
    <w:rsid w:val="00512C94"/>
    <w:rsid w:val="00514064"/>
    <w:rsid w:val="0051469D"/>
    <w:rsid w:val="00516998"/>
    <w:rsid w:val="005176DA"/>
    <w:rsid w:val="00517B20"/>
    <w:rsid w:val="00520ED9"/>
    <w:rsid w:val="0052266E"/>
    <w:rsid w:val="00522758"/>
    <w:rsid w:val="005248C6"/>
    <w:rsid w:val="00524D45"/>
    <w:rsid w:val="00524D49"/>
    <w:rsid w:val="00527B89"/>
    <w:rsid w:val="0053049D"/>
    <w:rsid w:val="00533203"/>
    <w:rsid w:val="0053431D"/>
    <w:rsid w:val="0053602E"/>
    <w:rsid w:val="0053638E"/>
    <w:rsid w:val="00537248"/>
    <w:rsid w:val="005373B8"/>
    <w:rsid w:val="0054081D"/>
    <w:rsid w:val="005409E0"/>
    <w:rsid w:val="00540F22"/>
    <w:rsid w:val="00542CBB"/>
    <w:rsid w:val="00543263"/>
    <w:rsid w:val="00544763"/>
    <w:rsid w:val="005469DE"/>
    <w:rsid w:val="00550F83"/>
    <w:rsid w:val="00551407"/>
    <w:rsid w:val="00551602"/>
    <w:rsid w:val="00551AB7"/>
    <w:rsid w:val="00551EB2"/>
    <w:rsid w:val="0055213A"/>
    <w:rsid w:val="005524E5"/>
    <w:rsid w:val="00553122"/>
    <w:rsid w:val="005534B5"/>
    <w:rsid w:val="00553B19"/>
    <w:rsid w:val="005540F0"/>
    <w:rsid w:val="005547F9"/>
    <w:rsid w:val="00557419"/>
    <w:rsid w:val="00561218"/>
    <w:rsid w:val="00561E2C"/>
    <w:rsid w:val="00562436"/>
    <w:rsid w:val="00563EEE"/>
    <w:rsid w:val="0056406B"/>
    <w:rsid w:val="005642EF"/>
    <w:rsid w:val="00567292"/>
    <w:rsid w:val="0057033E"/>
    <w:rsid w:val="00571E2D"/>
    <w:rsid w:val="00575917"/>
    <w:rsid w:val="005820BC"/>
    <w:rsid w:val="00584139"/>
    <w:rsid w:val="00586051"/>
    <w:rsid w:val="005871D3"/>
    <w:rsid w:val="00587997"/>
    <w:rsid w:val="005902FA"/>
    <w:rsid w:val="00591050"/>
    <w:rsid w:val="0059123B"/>
    <w:rsid w:val="005931D7"/>
    <w:rsid w:val="00593544"/>
    <w:rsid w:val="00594F2F"/>
    <w:rsid w:val="005961C5"/>
    <w:rsid w:val="00596243"/>
    <w:rsid w:val="00597748"/>
    <w:rsid w:val="005A0F52"/>
    <w:rsid w:val="005A14A5"/>
    <w:rsid w:val="005A1528"/>
    <w:rsid w:val="005A206E"/>
    <w:rsid w:val="005A2168"/>
    <w:rsid w:val="005B0DD1"/>
    <w:rsid w:val="005B0F3B"/>
    <w:rsid w:val="005B22B0"/>
    <w:rsid w:val="005B23B8"/>
    <w:rsid w:val="005B3693"/>
    <w:rsid w:val="005B36B3"/>
    <w:rsid w:val="005B3707"/>
    <w:rsid w:val="005B76EB"/>
    <w:rsid w:val="005C0A6E"/>
    <w:rsid w:val="005C164B"/>
    <w:rsid w:val="005D2BD5"/>
    <w:rsid w:val="005D367B"/>
    <w:rsid w:val="005D57CF"/>
    <w:rsid w:val="005D63BA"/>
    <w:rsid w:val="005D68E1"/>
    <w:rsid w:val="005D6B39"/>
    <w:rsid w:val="005E0702"/>
    <w:rsid w:val="005E09AF"/>
    <w:rsid w:val="005E0DC1"/>
    <w:rsid w:val="005E24AD"/>
    <w:rsid w:val="005E2605"/>
    <w:rsid w:val="005E2D2F"/>
    <w:rsid w:val="005E31CF"/>
    <w:rsid w:val="005E3C93"/>
    <w:rsid w:val="005E5CE7"/>
    <w:rsid w:val="005E680C"/>
    <w:rsid w:val="005F0639"/>
    <w:rsid w:val="005F2076"/>
    <w:rsid w:val="005F2DF3"/>
    <w:rsid w:val="005F3140"/>
    <w:rsid w:val="005F3CE1"/>
    <w:rsid w:val="005F5564"/>
    <w:rsid w:val="005F7820"/>
    <w:rsid w:val="0060135E"/>
    <w:rsid w:val="006042B2"/>
    <w:rsid w:val="00604872"/>
    <w:rsid w:val="00606756"/>
    <w:rsid w:val="00612235"/>
    <w:rsid w:val="00612599"/>
    <w:rsid w:val="0061312E"/>
    <w:rsid w:val="0061645B"/>
    <w:rsid w:val="0061646C"/>
    <w:rsid w:val="0061675C"/>
    <w:rsid w:val="006211B4"/>
    <w:rsid w:val="00623FD1"/>
    <w:rsid w:val="00624B53"/>
    <w:rsid w:val="00625142"/>
    <w:rsid w:val="0062599D"/>
    <w:rsid w:val="00630136"/>
    <w:rsid w:val="0063192F"/>
    <w:rsid w:val="00632DBE"/>
    <w:rsid w:val="00636A7F"/>
    <w:rsid w:val="00636EC5"/>
    <w:rsid w:val="00640B28"/>
    <w:rsid w:val="0064374A"/>
    <w:rsid w:val="00644DAA"/>
    <w:rsid w:val="00646B3E"/>
    <w:rsid w:val="0064741F"/>
    <w:rsid w:val="006503F4"/>
    <w:rsid w:val="0065065D"/>
    <w:rsid w:val="00652495"/>
    <w:rsid w:val="0065260F"/>
    <w:rsid w:val="00653261"/>
    <w:rsid w:val="006548C9"/>
    <w:rsid w:val="00654BD1"/>
    <w:rsid w:val="0065503E"/>
    <w:rsid w:val="006550B0"/>
    <w:rsid w:val="0065669B"/>
    <w:rsid w:val="00656F04"/>
    <w:rsid w:val="00657ED6"/>
    <w:rsid w:val="00660A19"/>
    <w:rsid w:val="00660B83"/>
    <w:rsid w:val="00661CEB"/>
    <w:rsid w:val="00661E41"/>
    <w:rsid w:val="006654F8"/>
    <w:rsid w:val="00665744"/>
    <w:rsid w:val="00665AA0"/>
    <w:rsid w:val="00666507"/>
    <w:rsid w:val="00666F02"/>
    <w:rsid w:val="006710E2"/>
    <w:rsid w:val="00672E61"/>
    <w:rsid w:val="0067306A"/>
    <w:rsid w:val="00673D26"/>
    <w:rsid w:val="006752E6"/>
    <w:rsid w:val="00676FBF"/>
    <w:rsid w:val="00681617"/>
    <w:rsid w:val="006816A2"/>
    <w:rsid w:val="00682E81"/>
    <w:rsid w:val="006838CA"/>
    <w:rsid w:val="00683D8D"/>
    <w:rsid w:val="00684B92"/>
    <w:rsid w:val="006900EE"/>
    <w:rsid w:val="00690FA5"/>
    <w:rsid w:val="00691196"/>
    <w:rsid w:val="006930E3"/>
    <w:rsid w:val="006939DB"/>
    <w:rsid w:val="00697248"/>
    <w:rsid w:val="006A0BB7"/>
    <w:rsid w:val="006A1728"/>
    <w:rsid w:val="006A286D"/>
    <w:rsid w:val="006A55B6"/>
    <w:rsid w:val="006A6897"/>
    <w:rsid w:val="006A7DD5"/>
    <w:rsid w:val="006B03DE"/>
    <w:rsid w:val="006B293D"/>
    <w:rsid w:val="006B4F29"/>
    <w:rsid w:val="006B51A8"/>
    <w:rsid w:val="006B60E7"/>
    <w:rsid w:val="006B62D3"/>
    <w:rsid w:val="006B6479"/>
    <w:rsid w:val="006B69F3"/>
    <w:rsid w:val="006C02D3"/>
    <w:rsid w:val="006C06C9"/>
    <w:rsid w:val="006C3138"/>
    <w:rsid w:val="006C3333"/>
    <w:rsid w:val="006C480E"/>
    <w:rsid w:val="006C50EF"/>
    <w:rsid w:val="006C62BC"/>
    <w:rsid w:val="006D09EC"/>
    <w:rsid w:val="006D0C08"/>
    <w:rsid w:val="006D0D09"/>
    <w:rsid w:val="006D2944"/>
    <w:rsid w:val="006D3C87"/>
    <w:rsid w:val="006D4A10"/>
    <w:rsid w:val="006D4A44"/>
    <w:rsid w:val="006D5A6A"/>
    <w:rsid w:val="006E1170"/>
    <w:rsid w:val="006E1C94"/>
    <w:rsid w:val="006E2656"/>
    <w:rsid w:val="006E4294"/>
    <w:rsid w:val="006E4AC8"/>
    <w:rsid w:val="006E4FCD"/>
    <w:rsid w:val="006E660C"/>
    <w:rsid w:val="006E79FB"/>
    <w:rsid w:val="006F0909"/>
    <w:rsid w:val="006F1959"/>
    <w:rsid w:val="006F4832"/>
    <w:rsid w:val="006F655C"/>
    <w:rsid w:val="006F7298"/>
    <w:rsid w:val="00700802"/>
    <w:rsid w:val="00700CC8"/>
    <w:rsid w:val="007020CD"/>
    <w:rsid w:val="00704513"/>
    <w:rsid w:val="00705B75"/>
    <w:rsid w:val="00705D90"/>
    <w:rsid w:val="0070674F"/>
    <w:rsid w:val="00706772"/>
    <w:rsid w:val="00706840"/>
    <w:rsid w:val="00707C10"/>
    <w:rsid w:val="0071026C"/>
    <w:rsid w:val="00711446"/>
    <w:rsid w:val="0071146C"/>
    <w:rsid w:val="00711C49"/>
    <w:rsid w:val="00712753"/>
    <w:rsid w:val="007138E8"/>
    <w:rsid w:val="00714A61"/>
    <w:rsid w:val="00715CD0"/>
    <w:rsid w:val="00720030"/>
    <w:rsid w:val="00720FF5"/>
    <w:rsid w:val="0072285D"/>
    <w:rsid w:val="00723FD6"/>
    <w:rsid w:val="00724001"/>
    <w:rsid w:val="00724407"/>
    <w:rsid w:val="0072722F"/>
    <w:rsid w:val="0073232E"/>
    <w:rsid w:val="007326C4"/>
    <w:rsid w:val="00733582"/>
    <w:rsid w:val="00734CD6"/>
    <w:rsid w:val="007354F9"/>
    <w:rsid w:val="00737962"/>
    <w:rsid w:val="00737C77"/>
    <w:rsid w:val="00737F62"/>
    <w:rsid w:val="0074027E"/>
    <w:rsid w:val="007411A3"/>
    <w:rsid w:val="0074245C"/>
    <w:rsid w:val="00744C57"/>
    <w:rsid w:val="00744E31"/>
    <w:rsid w:val="00750779"/>
    <w:rsid w:val="00750788"/>
    <w:rsid w:val="00753C25"/>
    <w:rsid w:val="00754149"/>
    <w:rsid w:val="00755752"/>
    <w:rsid w:val="00755F5B"/>
    <w:rsid w:val="007617DB"/>
    <w:rsid w:val="00762912"/>
    <w:rsid w:val="00762CD9"/>
    <w:rsid w:val="00762E80"/>
    <w:rsid w:val="00763408"/>
    <w:rsid w:val="00763DA6"/>
    <w:rsid w:val="00765C04"/>
    <w:rsid w:val="00770A83"/>
    <w:rsid w:val="00770D91"/>
    <w:rsid w:val="00771236"/>
    <w:rsid w:val="007717E0"/>
    <w:rsid w:val="00771ECB"/>
    <w:rsid w:val="00772BB0"/>
    <w:rsid w:val="00775349"/>
    <w:rsid w:val="0077566A"/>
    <w:rsid w:val="0077671F"/>
    <w:rsid w:val="0078058E"/>
    <w:rsid w:val="007807E6"/>
    <w:rsid w:val="00780E7C"/>
    <w:rsid w:val="00781D22"/>
    <w:rsid w:val="0078290E"/>
    <w:rsid w:val="007831AD"/>
    <w:rsid w:val="007833E8"/>
    <w:rsid w:val="007846E9"/>
    <w:rsid w:val="00784E2C"/>
    <w:rsid w:val="00785393"/>
    <w:rsid w:val="00785FA3"/>
    <w:rsid w:val="0078761C"/>
    <w:rsid w:val="00787F77"/>
    <w:rsid w:val="00790962"/>
    <w:rsid w:val="007936A8"/>
    <w:rsid w:val="00793991"/>
    <w:rsid w:val="00793F7A"/>
    <w:rsid w:val="00793FC0"/>
    <w:rsid w:val="007947A1"/>
    <w:rsid w:val="00797F60"/>
    <w:rsid w:val="007A3663"/>
    <w:rsid w:val="007A38C4"/>
    <w:rsid w:val="007A3B42"/>
    <w:rsid w:val="007A54DA"/>
    <w:rsid w:val="007A5840"/>
    <w:rsid w:val="007A7247"/>
    <w:rsid w:val="007B06E5"/>
    <w:rsid w:val="007B090D"/>
    <w:rsid w:val="007B0C78"/>
    <w:rsid w:val="007B2AC9"/>
    <w:rsid w:val="007B2B41"/>
    <w:rsid w:val="007B3D23"/>
    <w:rsid w:val="007B43AB"/>
    <w:rsid w:val="007B6DB6"/>
    <w:rsid w:val="007C0B5E"/>
    <w:rsid w:val="007C0DD6"/>
    <w:rsid w:val="007C6CA8"/>
    <w:rsid w:val="007C77BC"/>
    <w:rsid w:val="007C7C04"/>
    <w:rsid w:val="007D03DB"/>
    <w:rsid w:val="007D43D8"/>
    <w:rsid w:val="007D4FFB"/>
    <w:rsid w:val="007D6AFF"/>
    <w:rsid w:val="007D774F"/>
    <w:rsid w:val="007E0A56"/>
    <w:rsid w:val="007E1612"/>
    <w:rsid w:val="007E1D89"/>
    <w:rsid w:val="007E23C0"/>
    <w:rsid w:val="007E47FB"/>
    <w:rsid w:val="007E4CEA"/>
    <w:rsid w:val="007E5C08"/>
    <w:rsid w:val="007E6F37"/>
    <w:rsid w:val="007E796D"/>
    <w:rsid w:val="007F1595"/>
    <w:rsid w:val="007F1606"/>
    <w:rsid w:val="007F1B78"/>
    <w:rsid w:val="007F57D2"/>
    <w:rsid w:val="007F7EC7"/>
    <w:rsid w:val="00800E9C"/>
    <w:rsid w:val="00801538"/>
    <w:rsid w:val="00801F5C"/>
    <w:rsid w:val="008034FB"/>
    <w:rsid w:val="0080480D"/>
    <w:rsid w:val="00804C04"/>
    <w:rsid w:val="0080586B"/>
    <w:rsid w:val="008061EC"/>
    <w:rsid w:val="00806A19"/>
    <w:rsid w:val="00807CF2"/>
    <w:rsid w:val="00811B51"/>
    <w:rsid w:val="00812380"/>
    <w:rsid w:val="00813157"/>
    <w:rsid w:val="0081417F"/>
    <w:rsid w:val="00814588"/>
    <w:rsid w:val="008145E5"/>
    <w:rsid w:val="00814638"/>
    <w:rsid w:val="00817E6B"/>
    <w:rsid w:val="00820DE0"/>
    <w:rsid w:val="008214B7"/>
    <w:rsid w:val="00822C50"/>
    <w:rsid w:val="008245B4"/>
    <w:rsid w:val="00824749"/>
    <w:rsid w:val="0082508A"/>
    <w:rsid w:val="00825CBB"/>
    <w:rsid w:val="00826C91"/>
    <w:rsid w:val="00831520"/>
    <w:rsid w:val="0083413D"/>
    <w:rsid w:val="00835202"/>
    <w:rsid w:val="008352FA"/>
    <w:rsid w:val="00836877"/>
    <w:rsid w:val="00836BAA"/>
    <w:rsid w:val="0084102A"/>
    <w:rsid w:val="008414BF"/>
    <w:rsid w:val="00845C44"/>
    <w:rsid w:val="00850537"/>
    <w:rsid w:val="00851764"/>
    <w:rsid w:val="0085589D"/>
    <w:rsid w:val="008578E6"/>
    <w:rsid w:val="00860B7D"/>
    <w:rsid w:val="00861578"/>
    <w:rsid w:val="00861FDC"/>
    <w:rsid w:val="00864119"/>
    <w:rsid w:val="00864B3E"/>
    <w:rsid w:val="00865A74"/>
    <w:rsid w:val="0086677A"/>
    <w:rsid w:val="00867032"/>
    <w:rsid w:val="00867375"/>
    <w:rsid w:val="0087066E"/>
    <w:rsid w:val="00870BC2"/>
    <w:rsid w:val="00871991"/>
    <w:rsid w:val="0087374C"/>
    <w:rsid w:val="008740DE"/>
    <w:rsid w:val="00874541"/>
    <w:rsid w:val="00874CF6"/>
    <w:rsid w:val="00877B48"/>
    <w:rsid w:val="008815A3"/>
    <w:rsid w:val="00882FDC"/>
    <w:rsid w:val="0088312D"/>
    <w:rsid w:val="008835C9"/>
    <w:rsid w:val="00885235"/>
    <w:rsid w:val="00887E57"/>
    <w:rsid w:val="008908F2"/>
    <w:rsid w:val="00890A8B"/>
    <w:rsid w:val="00891F64"/>
    <w:rsid w:val="00892575"/>
    <w:rsid w:val="008940E2"/>
    <w:rsid w:val="00897327"/>
    <w:rsid w:val="008976FB"/>
    <w:rsid w:val="008A1777"/>
    <w:rsid w:val="008A39E0"/>
    <w:rsid w:val="008A4371"/>
    <w:rsid w:val="008A7BD4"/>
    <w:rsid w:val="008B0EB5"/>
    <w:rsid w:val="008B1626"/>
    <w:rsid w:val="008B222B"/>
    <w:rsid w:val="008B2245"/>
    <w:rsid w:val="008B4A60"/>
    <w:rsid w:val="008B4C09"/>
    <w:rsid w:val="008B50F1"/>
    <w:rsid w:val="008B54D4"/>
    <w:rsid w:val="008B7BFF"/>
    <w:rsid w:val="008B7DCB"/>
    <w:rsid w:val="008B7FEC"/>
    <w:rsid w:val="008C01B0"/>
    <w:rsid w:val="008C24C0"/>
    <w:rsid w:val="008C29FE"/>
    <w:rsid w:val="008C36A5"/>
    <w:rsid w:val="008C5096"/>
    <w:rsid w:val="008C51FD"/>
    <w:rsid w:val="008C5757"/>
    <w:rsid w:val="008D03EA"/>
    <w:rsid w:val="008D1F62"/>
    <w:rsid w:val="008D51EC"/>
    <w:rsid w:val="008D5F96"/>
    <w:rsid w:val="008D6B9A"/>
    <w:rsid w:val="008D6CDD"/>
    <w:rsid w:val="008D6E05"/>
    <w:rsid w:val="008E0581"/>
    <w:rsid w:val="008E249E"/>
    <w:rsid w:val="008E292A"/>
    <w:rsid w:val="008E2FF4"/>
    <w:rsid w:val="008E3E12"/>
    <w:rsid w:val="008E5219"/>
    <w:rsid w:val="008E5ECF"/>
    <w:rsid w:val="008E6D58"/>
    <w:rsid w:val="008E7941"/>
    <w:rsid w:val="008E7A7C"/>
    <w:rsid w:val="008E7B18"/>
    <w:rsid w:val="008F12CC"/>
    <w:rsid w:val="008F147D"/>
    <w:rsid w:val="008F2055"/>
    <w:rsid w:val="008F23BB"/>
    <w:rsid w:val="008F2939"/>
    <w:rsid w:val="008F4401"/>
    <w:rsid w:val="008F6D36"/>
    <w:rsid w:val="009006B6"/>
    <w:rsid w:val="00901425"/>
    <w:rsid w:val="009023D0"/>
    <w:rsid w:val="00903D15"/>
    <w:rsid w:val="009045B4"/>
    <w:rsid w:val="00906B7C"/>
    <w:rsid w:val="009072EC"/>
    <w:rsid w:val="00910F22"/>
    <w:rsid w:val="009115FC"/>
    <w:rsid w:val="00913057"/>
    <w:rsid w:val="00914B69"/>
    <w:rsid w:val="009157A8"/>
    <w:rsid w:val="00915AE9"/>
    <w:rsid w:val="0091603A"/>
    <w:rsid w:val="00916240"/>
    <w:rsid w:val="00917A3A"/>
    <w:rsid w:val="00917D66"/>
    <w:rsid w:val="00920654"/>
    <w:rsid w:val="0092186D"/>
    <w:rsid w:val="00921A5D"/>
    <w:rsid w:val="00922139"/>
    <w:rsid w:val="00923098"/>
    <w:rsid w:val="009234AA"/>
    <w:rsid w:val="00924BEE"/>
    <w:rsid w:val="00924F5C"/>
    <w:rsid w:val="00925D96"/>
    <w:rsid w:val="0092605B"/>
    <w:rsid w:val="00927272"/>
    <w:rsid w:val="009311AF"/>
    <w:rsid w:val="00931227"/>
    <w:rsid w:val="0093143E"/>
    <w:rsid w:val="00931846"/>
    <w:rsid w:val="00931BFF"/>
    <w:rsid w:val="00933360"/>
    <w:rsid w:val="00935461"/>
    <w:rsid w:val="00936475"/>
    <w:rsid w:val="0093705F"/>
    <w:rsid w:val="00940EF2"/>
    <w:rsid w:val="00943CC8"/>
    <w:rsid w:val="00944B89"/>
    <w:rsid w:val="00944C27"/>
    <w:rsid w:val="009464CD"/>
    <w:rsid w:val="00946F85"/>
    <w:rsid w:val="00947E5D"/>
    <w:rsid w:val="00951E0B"/>
    <w:rsid w:val="0095231E"/>
    <w:rsid w:val="0095422F"/>
    <w:rsid w:val="0095545A"/>
    <w:rsid w:val="00956616"/>
    <w:rsid w:val="00957964"/>
    <w:rsid w:val="0096033A"/>
    <w:rsid w:val="0096185D"/>
    <w:rsid w:val="00961FD1"/>
    <w:rsid w:val="0096271F"/>
    <w:rsid w:val="00962D0E"/>
    <w:rsid w:val="00963293"/>
    <w:rsid w:val="0096527B"/>
    <w:rsid w:val="00965AB9"/>
    <w:rsid w:val="00966F7B"/>
    <w:rsid w:val="009679EF"/>
    <w:rsid w:val="00967D21"/>
    <w:rsid w:val="00967FC0"/>
    <w:rsid w:val="00970F0D"/>
    <w:rsid w:val="0097137B"/>
    <w:rsid w:val="00971725"/>
    <w:rsid w:val="0097221E"/>
    <w:rsid w:val="00972A7B"/>
    <w:rsid w:val="00973F39"/>
    <w:rsid w:val="00977028"/>
    <w:rsid w:val="00977334"/>
    <w:rsid w:val="0098009D"/>
    <w:rsid w:val="0098041B"/>
    <w:rsid w:val="00980E0B"/>
    <w:rsid w:val="00982031"/>
    <w:rsid w:val="0098404C"/>
    <w:rsid w:val="009841CF"/>
    <w:rsid w:val="009843F2"/>
    <w:rsid w:val="00984B28"/>
    <w:rsid w:val="00984E5E"/>
    <w:rsid w:val="00985E64"/>
    <w:rsid w:val="00985E93"/>
    <w:rsid w:val="009861AA"/>
    <w:rsid w:val="009868F0"/>
    <w:rsid w:val="009877FA"/>
    <w:rsid w:val="009912FA"/>
    <w:rsid w:val="009921E4"/>
    <w:rsid w:val="00992212"/>
    <w:rsid w:val="00992C25"/>
    <w:rsid w:val="00992D7A"/>
    <w:rsid w:val="00992E8A"/>
    <w:rsid w:val="00994FDA"/>
    <w:rsid w:val="0099506F"/>
    <w:rsid w:val="00995DDC"/>
    <w:rsid w:val="009960C1"/>
    <w:rsid w:val="00997A34"/>
    <w:rsid w:val="009A04A1"/>
    <w:rsid w:val="009A445A"/>
    <w:rsid w:val="009A4B83"/>
    <w:rsid w:val="009A6AE4"/>
    <w:rsid w:val="009B11DC"/>
    <w:rsid w:val="009B1D9E"/>
    <w:rsid w:val="009B28E3"/>
    <w:rsid w:val="009B2A68"/>
    <w:rsid w:val="009B2B75"/>
    <w:rsid w:val="009B4164"/>
    <w:rsid w:val="009B4E26"/>
    <w:rsid w:val="009B6442"/>
    <w:rsid w:val="009B7C71"/>
    <w:rsid w:val="009C01EA"/>
    <w:rsid w:val="009C0F52"/>
    <w:rsid w:val="009C10A4"/>
    <w:rsid w:val="009C1114"/>
    <w:rsid w:val="009C1157"/>
    <w:rsid w:val="009C21ED"/>
    <w:rsid w:val="009C31BF"/>
    <w:rsid w:val="009C66A5"/>
    <w:rsid w:val="009C7000"/>
    <w:rsid w:val="009D5AD9"/>
    <w:rsid w:val="009D71B1"/>
    <w:rsid w:val="009E08AB"/>
    <w:rsid w:val="009E2684"/>
    <w:rsid w:val="009E2DD5"/>
    <w:rsid w:val="009E3B44"/>
    <w:rsid w:val="009E73C4"/>
    <w:rsid w:val="009F00CD"/>
    <w:rsid w:val="009F0A4E"/>
    <w:rsid w:val="009F1500"/>
    <w:rsid w:val="009F3929"/>
    <w:rsid w:val="009F3ADA"/>
    <w:rsid w:val="009F3E70"/>
    <w:rsid w:val="009F6B80"/>
    <w:rsid w:val="00A006E6"/>
    <w:rsid w:val="00A01F1A"/>
    <w:rsid w:val="00A022C2"/>
    <w:rsid w:val="00A026EB"/>
    <w:rsid w:val="00A049E3"/>
    <w:rsid w:val="00A0595E"/>
    <w:rsid w:val="00A102E0"/>
    <w:rsid w:val="00A11237"/>
    <w:rsid w:val="00A11B7C"/>
    <w:rsid w:val="00A121D3"/>
    <w:rsid w:val="00A12AAA"/>
    <w:rsid w:val="00A132E7"/>
    <w:rsid w:val="00A158A1"/>
    <w:rsid w:val="00A164DB"/>
    <w:rsid w:val="00A16542"/>
    <w:rsid w:val="00A16A32"/>
    <w:rsid w:val="00A22B41"/>
    <w:rsid w:val="00A240D0"/>
    <w:rsid w:val="00A24B04"/>
    <w:rsid w:val="00A2595E"/>
    <w:rsid w:val="00A30068"/>
    <w:rsid w:val="00A30FB8"/>
    <w:rsid w:val="00A3102A"/>
    <w:rsid w:val="00A31FC2"/>
    <w:rsid w:val="00A332BF"/>
    <w:rsid w:val="00A33D73"/>
    <w:rsid w:val="00A33F8D"/>
    <w:rsid w:val="00A35D0A"/>
    <w:rsid w:val="00A36AB4"/>
    <w:rsid w:val="00A3740E"/>
    <w:rsid w:val="00A378D0"/>
    <w:rsid w:val="00A4102E"/>
    <w:rsid w:val="00A4207A"/>
    <w:rsid w:val="00A42A15"/>
    <w:rsid w:val="00A449DE"/>
    <w:rsid w:val="00A471AF"/>
    <w:rsid w:val="00A515B8"/>
    <w:rsid w:val="00A521D4"/>
    <w:rsid w:val="00A546CF"/>
    <w:rsid w:val="00A54FA0"/>
    <w:rsid w:val="00A56CD4"/>
    <w:rsid w:val="00A610D8"/>
    <w:rsid w:val="00A616D0"/>
    <w:rsid w:val="00A61F57"/>
    <w:rsid w:val="00A6360D"/>
    <w:rsid w:val="00A63D15"/>
    <w:rsid w:val="00A64384"/>
    <w:rsid w:val="00A647FD"/>
    <w:rsid w:val="00A65074"/>
    <w:rsid w:val="00A654D4"/>
    <w:rsid w:val="00A756BC"/>
    <w:rsid w:val="00A76A8F"/>
    <w:rsid w:val="00A770A1"/>
    <w:rsid w:val="00A80C63"/>
    <w:rsid w:val="00A82758"/>
    <w:rsid w:val="00A84047"/>
    <w:rsid w:val="00A85977"/>
    <w:rsid w:val="00A85A7B"/>
    <w:rsid w:val="00A866B2"/>
    <w:rsid w:val="00A905C3"/>
    <w:rsid w:val="00A926A7"/>
    <w:rsid w:val="00A92CF2"/>
    <w:rsid w:val="00A94367"/>
    <w:rsid w:val="00A96B21"/>
    <w:rsid w:val="00AA083A"/>
    <w:rsid w:val="00AA089A"/>
    <w:rsid w:val="00AA1696"/>
    <w:rsid w:val="00AA1852"/>
    <w:rsid w:val="00AA1EDA"/>
    <w:rsid w:val="00AA31BE"/>
    <w:rsid w:val="00AA36F8"/>
    <w:rsid w:val="00AA4354"/>
    <w:rsid w:val="00AA5F7A"/>
    <w:rsid w:val="00AB0B49"/>
    <w:rsid w:val="00AB142D"/>
    <w:rsid w:val="00AB19B0"/>
    <w:rsid w:val="00AB2EA8"/>
    <w:rsid w:val="00AB5291"/>
    <w:rsid w:val="00AB54C7"/>
    <w:rsid w:val="00AB5678"/>
    <w:rsid w:val="00AB714C"/>
    <w:rsid w:val="00AC0070"/>
    <w:rsid w:val="00AC0B32"/>
    <w:rsid w:val="00AC1BB9"/>
    <w:rsid w:val="00AC2622"/>
    <w:rsid w:val="00AC2F9C"/>
    <w:rsid w:val="00AC4C5C"/>
    <w:rsid w:val="00AC54D6"/>
    <w:rsid w:val="00AC5A9A"/>
    <w:rsid w:val="00AC601D"/>
    <w:rsid w:val="00AD023A"/>
    <w:rsid w:val="00AD2D48"/>
    <w:rsid w:val="00AD38F4"/>
    <w:rsid w:val="00AD3F9E"/>
    <w:rsid w:val="00AD4EF9"/>
    <w:rsid w:val="00AD789A"/>
    <w:rsid w:val="00AE18B0"/>
    <w:rsid w:val="00AE1A95"/>
    <w:rsid w:val="00AE41EF"/>
    <w:rsid w:val="00AE455D"/>
    <w:rsid w:val="00AE46AC"/>
    <w:rsid w:val="00AE63B5"/>
    <w:rsid w:val="00AE65F1"/>
    <w:rsid w:val="00AE6EAC"/>
    <w:rsid w:val="00AE7552"/>
    <w:rsid w:val="00AE7EBB"/>
    <w:rsid w:val="00AF03AB"/>
    <w:rsid w:val="00AF04FE"/>
    <w:rsid w:val="00AF1E04"/>
    <w:rsid w:val="00AF2776"/>
    <w:rsid w:val="00AF45A2"/>
    <w:rsid w:val="00AF4914"/>
    <w:rsid w:val="00AF4A09"/>
    <w:rsid w:val="00AF553E"/>
    <w:rsid w:val="00AF6587"/>
    <w:rsid w:val="00AF7621"/>
    <w:rsid w:val="00AF7F3C"/>
    <w:rsid w:val="00B00D1B"/>
    <w:rsid w:val="00B0118A"/>
    <w:rsid w:val="00B01A3B"/>
    <w:rsid w:val="00B0205C"/>
    <w:rsid w:val="00B0384D"/>
    <w:rsid w:val="00B0408E"/>
    <w:rsid w:val="00B052EA"/>
    <w:rsid w:val="00B0577B"/>
    <w:rsid w:val="00B06109"/>
    <w:rsid w:val="00B068BC"/>
    <w:rsid w:val="00B07907"/>
    <w:rsid w:val="00B1141D"/>
    <w:rsid w:val="00B11529"/>
    <w:rsid w:val="00B11534"/>
    <w:rsid w:val="00B12123"/>
    <w:rsid w:val="00B13683"/>
    <w:rsid w:val="00B14402"/>
    <w:rsid w:val="00B15B1B"/>
    <w:rsid w:val="00B178D7"/>
    <w:rsid w:val="00B17954"/>
    <w:rsid w:val="00B17E71"/>
    <w:rsid w:val="00B2222D"/>
    <w:rsid w:val="00B2281E"/>
    <w:rsid w:val="00B233B6"/>
    <w:rsid w:val="00B238AA"/>
    <w:rsid w:val="00B24880"/>
    <w:rsid w:val="00B24895"/>
    <w:rsid w:val="00B25210"/>
    <w:rsid w:val="00B26B45"/>
    <w:rsid w:val="00B304EF"/>
    <w:rsid w:val="00B338DE"/>
    <w:rsid w:val="00B33F5C"/>
    <w:rsid w:val="00B347FD"/>
    <w:rsid w:val="00B36042"/>
    <w:rsid w:val="00B3637E"/>
    <w:rsid w:val="00B364ED"/>
    <w:rsid w:val="00B36DBA"/>
    <w:rsid w:val="00B36EA9"/>
    <w:rsid w:val="00B370D7"/>
    <w:rsid w:val="00B37A1D"/>
    <w:rsid w:val="00B37ADC"/>
    <w:rsid w:val="00B40CE5"/>
    <w:rsid w:val="00B40DE5"/>
    <w:rsid w:val="00B44C7F"/>
    <w:rsid w:val="00B452C2"/>
    <w:rsid w:val="00B46619"/>
    <w:rsid w:val="00B47002"/>
    <w:rsid w:val="00B47771"/>
    <w:rsid w:val="00B54944"/>
    <w:rsid w:val="00B54BFC"/>
    <w:rsid w:val="00B55185"/>
    <w:rsid w:val="00B558A8"/>
    <w:rsid w:val="00B5634C"/>
    <w:rsid w:val="00B5686C"/>
    <w:rsid w:val="00B56C6E"/>
    <w:rsid w:val="00B56EA7"/>
    <w:rsid w:val="00B604E1"/>
    <w:rsid w:val="00B60947"/>
    <w:rsid w:val="00B613D2"/>
    <w:rsid w:val="00B62D4B"/>
    <w:rsid w:val="00B63249"/>
    <w:rsid w:val="00B652EB"/>
    <w:rsid w:val="00B65F52"/>
    <w:rsid w:val="00B72206"/>
    <w:rsid w:val="00B722F0"/>
    <w:rsid w:val="00B72407"/>
    <w:rsid w:val="00B726E4"/>
    <w:rsid w:val="00B73D03"/>
    <w:rsid w:val="00B75412"/>
    <w:rsid w:val="00B75BEA"/>
    <w:rsid w:val="00B76649"/>
    <w:rsid w:val="00B773A3"/>
    <w:rsid w:val="00B77723"/>
    <w:rsid w:val="00B85878"/>
    <w:rsid w:val="00B85917"/>
    <w:rsid w:val="00B85E23"/>
    <w:rsid w:val="00B86F22"/>
    <w:rsid w:val="00B91D1D"/>
    <w:rsid w:val="00B9206A"/>
    <w:rsid w:val="00B92346"/>
    <w:rsid w:val="00B9270C"/>
    <w:rsid w:val="00B93925"/>
    <w:rsid w:val="00B963AC"/>
    <w:rsid w:val="00BA0641"/>
    <w:rsid w:val="00BA16A5"/>
    <w:rsid w:val="00BA19EA"/>
    <w:rsid w:val="00BA3341"/>
    <w:rsid w:val="00BA42B4"/>
    <w:rsid w:val="00BA5842"/>
    <w:rsid w:val="00BA68A1"/>
    <w:rsid w:val="00BA7437"/>
    <w:rsid w:val="00BB060B"/>
    <w:rsid w:val="00BB112F"/>
    <w:rsid w:val="00BB2F23"/>
    <w:rsid w:val="00BB3C53"/>
    <w:rsid w:val="00BB4129"/>
    <w:rsid w:val="00BB4481"/>
    <w:rsid w:val="00BB4FD4"/>
    <w:rsid w:val="00BB7D79"/>
    <w:rsid w:val="00BC0035"/>
    <w:rsid w:val="00BC06FA"/>
    <w:rsid w:val="00BC20E0"/>
    <w:rsid w:val="00BC3B6D"/>
    <w:rsid w:val="00BC3DCB"/>
    <w:rsid w:val="00BC4461"/>
    <w:rsid w:val="00BC4F85"/>
    <w:rsid w:val="00BC6FA6"/>
    <w:rsid w:val="00BC753F"/>
    <w:rsid w:val="00BC7EDC"/>
    <w:rsid w:val="00BD057F"/>
    <w:rsid w:val="00BD0642"/>
    <w:rsid w:val="00BD0AD7"/>
    <w:rsid w:val="00BD205E"/>
    <w:rsid w:val="00BD2C75"/>
    <w:rsid w:val="00BD319B"/>
    <w:rsid w:val="00BD73A6"/>
    <w:rsid w:val="00BE02E1"/>
    <w:rsid w:val="00BE13B9"/>
    <w:rsid w:val="00BE1722"/>
    <w:rsid w:val="00BE3FD4"/>
    <w:rsid w:val="00BE43BB"/>
    <w:rsid w:val="00BE677B"/>
    <w:rsid w:val="00BE6A7E"/>
    <w:rsid w:val="00BE7960"/>
    <w:rsid w:val="00BF0089"/>
    <w:rsid w:val="00BF1C1F"/>
    <w:rsid w:val="00BF2CF8"/>
    <w:rsid w:val="00BF60B0"/>
    <w:rsid w:val="00BF6B04"/>
    <w:rsid w:val="00BF6C6D"/>
    <w:rsid w:val="00BF70BA"/>
    <w:rsid w:val="00C0032B"/>
    <w:rsid w:val="00C006C6"/>
    <w:rsid w:val="00C01DC2"/>
    <w:rsid w:val="00C0374B"/>
    <w:rsid w:val="00C05576"/>
    <w:rsid w:val="00C05BF9"/>
    <w:rsid w:val="00C071DA"/>
    <w:rsid w:val="00C07B3C"/>
    <w:rsid w:val="00C10477"/>
    <w:rsid w:val="00C10BE5"/>
    <w:rsid w:val="00C10EFE"/>
    <w:rsid w:val="00C1101E"/>
    <w:rsid w:val="00C11695"/>
    <w:rsid w:val="00C1332A"/>
    <w:rsid w:val="00C147DB"/>
    <w:rsid w:val="00C17B00"/>
    <w:rsid w:val="00C204FF"/>
    <w:rsid w:val="00C208C6"/>
    <w:rsid w:val="00C20A83"/>
    <w:rsid w:val="00C2354A"/>
    <w:rsid w:val="00C23A13"/>
    <w:rsid w:val="00C24E99"/>
    <w:rsid w:val="00C2529F"/>
    <w:rsid w:val="00C25A29"/>
    <w:rsid w:val="00C263C4"/>
    <w:rsid w:val="00C26B50"/>
    <w:rsid w:val="00C30DD2"/>
    <w:rsid w:val="00C30DFF"/>
    <w:rsid w:val="00C31302"/>
    <w:rsid w:val="00C33186"/>
    <w:rsid w:val="00C33724"/>
    <w:rsid w:val="00C33C2D"/>
    <w:rsid w:val="00C36A33"/>
    <w:rsid w:val="00C36C51"/>
    <w:rsid w:val="00C374D4"/>
    <w:rsid w:val="00C379CE"/>
    <w:rsid w:val="00C41782"/>
    <w:rsid w:val="00C42F7C"/>
    <w:rsid w:val="00C44C73"/>
    <w:rsid w:val="00C45042"/>
    <w:rsid w:val="00C47452"/>
    <w:rsid w:val="00C50856"/>
    <w:rsid w:val="00C50C88"/>
    <w:rsid w:val="00C51EB2"/>
    <w:rsid w:val="00C5208B"/>
    <w:rsid w:val="00C52F00"/>
    <w:rsid w:val="00C5425C"/>
    <w:rsid w:val="00C54518"/>
    <w:rsid w:val="00C54DE2"/>
    <w:rsid w:val="00C55931"/>
    <w:rsid w:val="00C55A49"/>
    <w:rsid w:val="00C55C65"/>
    <w:rsid w:val="00C601C6"/>
    <w:rsid w:val="00C61001"/>
    <w:rsid w:val="00C61573"/>
    <w:rsid w:val="00C61F17"/>
    <w:rsid w:val="00C65B82"/>
    <w:rsid w:val="00C66424"/>
    <w:rsid w:val="00C70225"/>
    <w:rsid w:val="00C71A68"/>
    <w:rsid w:val="00C72919"/>
    <w:rsid w:val="00C7670A"/>
    <w:rsid w:val="00C813B6"/>
    <w:rsid w:val="00C81614"/>
    <w:rsid w:val="00C819F5"/>
    <w:rsid w:val="00C82732"/>
    <w:rsid w:val="00C82FCA"/>
    <w:rsid w:val="00C831E6"/>
    <w:rsid w:val="00C8470C"/>
    <w:rsid w:val="00C848C6"/>
    <w:rsid w:val="00C859D1"/>
    <w:rsid w:val="00C87C6A"/>
    <w:rsid w:val="00C9077A"/>
    <w:rsid w:val="00C91380"/>
    <w:rsid w:val="00C91A1C"/>
    <w:rsid w:val="00C91E2C"/>
    <w:rsid w:val="00C9235D"/>
    <w:rsid w:val="00C92566"/>
    <w:rsid w:val="00C93900"/>
    <w:rsid w:val="00C94982"/>
    <w:rsid w:val="00C94C37"/>
    <w:rsid w:val="00C969CD"/>
    <w:rsid w:val="00C96C95"/>
    <w:rsid w:val="00CA250A"/>
    <w:rsid w:val="00CA3671"/>
    <w:rsid w:val="00CA3989"/>
    <w:rsid w:val="00CA5627"/>
    <w:rsid w:val="00CA6052"/>
    <w:rsid w:val="00CA62F1"/>
    <w:rsid w:val="00CB01DF"/>
    <w:rsid w:val="00CB0FD5"/>
    <w:rsid w:val="00CB3818"/>
    <w:rsid w:val="00CB4118"/>
    <w:rsid w:val="00CB5BD7"/>
    <w:rsid w:val="00CB616E"/>
    <w:rsid w:val="00CB6724"/>
    <w:rsid w:val="00CC0F16"/>
    <w:rsid w:val="00CC1B7A"/>
    <w:rsid w:val="00CC1D8C"/>
    <w:rsid w:val="00CC21BC"/>
    <w:rsid w:val="00CC271D"/>
    <w:rsid w:val="00CC2DB8"/>
    <w:rsid w:val="00CC2FC7"/>
    <w:rsid w:val="00CC3FBD"/>
    <w:rsid w:val="00CC450E"/>
    <w:rsid w:val="00CC7F68"/>
    <w:rsid w:val="00CD053E"/>
    <w:rsid w:val="00CD1F4F"/>
    <w:rsid w:val="00CD287C"/>
    <w:rsid w:val="00CD3CB6"/>
    <w:rsid w:val="00CD47AA"/>
    <w:rsid w:val="00CD5518"/>
    <w:rsid w:val="00CD773E"/>
    <w:rsid w:val="00CD7777"/>
    <w:rsid w:val="00CE07C6"/>
    <w:rsid w:val="00CE0E5C"/>
    <w:rsid w:val="00CE36CE"/>
    <w:rsid w:val="00CE3A47"/>
    <w:rsid w:val="00CE444C"/>
    <w:rsid w:val="00CE5784"/>
    <w:rsid w:val="00CE5D9C"/>
    <w:rsid w:val="00CF00CC"/>
    <w:rsid w:val="00CF01C7"/>
    <w:rsid w:val="00CF3E85"/>
    <w:rsid w:val="00CF5C7E"/>
    <w:rsid w:val="00CF64F3"/>
    <w:rsid w:val="00CF6EA3"/>
    <w:rsid w:val="00CF70AB"/>
    <w:rsid w:val="00CF780C"/>
    <w:rsid w:val="00CF788E"/>
    <w:rsid w:val="00D01066"/>
    <w:rsid w:val="00D01938"/>
    <w:rsid w:val="00D027EA"/>
    <w:rsid w:val="00D03BBC"/>
    <w:rsid w:val="00D045EE"/>
    <w:rsid w:val="00D04D19"/>
    <w:rsid w:val="00D06F2B"/>
    <w:rsid w:val="00D07412"/>
    <w:rsid w:val="00D160C4"/>
    <w:rsid w:val="00D162E1"/>
    <w:rsid w:val="00D163F5"/>
    <w:rsid w:val="00D16B91"/>
    <w:rsid w:val="00D17E51"/>
    <w:rsid w:val="00D20228"/>
    <w:rsid w:val="00D2193E"/>
    <w:rsid w:val="00D21E5E"/>
    <w:rsid w:val="00D22071"/>
    <w:rsid w:val="00D22D07"/>
    <w:rsid w:val="00D2459A"/>
    <w:rsid w:val="00D251F2"/>
    <w:rsid w:val="00D25512"/>
    <w:rsid w:val="00D3059B"/>
    <w:rsid w:val="00D3067A"/>
    <w:rsid w:val="00D30AC5"/>
    <w:rsid w:val="00D30B3D"/>
    <w:rsid w:val="00D3309F"/>
    <w:rsid w:val="00D343FD"/>
    <w:rsid w:val="00D35409"/>
    <w:rsid w:val="00D364F5"/>
    <w:rsid w:val="00D36629"/>
    <w:rsid w:val="00D369AD"/>
    <w:rsid w:val="00D37155"/>
    <w:rsid w:val="00D37679"/>
    <w:rsid w:val="00D3769D"/>
    <w:rsid w:val="00D37EAB"/>
    <w:rsid w:val="00D402AA"/>
    <w:rsid w:val="00D406E3"/>
    <w:rsid w:val="00D407C3"/>
    <w:rsid w:val="00D43A17"/>
    <w:rsid w:val="00D43E97"/>
    <w:rsid w:val="00D45AE0"/>
    <w:rsid w:val="00D46FA3"/>
    <w:rsid w:val="00D4744F"/>
    <w:rsid w:val="00D508D2"/>
    <w:rsid w:val="00D524EA"/>
    <w:rsid w:val="00D53AAB"/>
    <w:rsid w:val="00D53C66"/>
    <w:rsid w:val="00D53D1E"/>
    <w:rsid w:val="00D547A7"/>
    <w:rsid w:val="00D54AF3"/>
    <w:rsid w:val="00D54B52"/>
    <w:rsid w:val="00D5613B"/>
    <w:rsid w:val="00D56AEC"/>
    <w:rsid w:val="00D60046"/>
    <w:rsid w:val="00D62018"/>
    <w:rsid w:val="00D62307"/>
    <w:rsid w:val="00D62A9D"/>
    <w:rsid w:val="00D62ECF"/>
    <w:rsid w:val="00D639BB"/>
    <w:rsid w:val="00D63F22"/>
    <w:rsid w:val="00D645C5"/>
    <w:rsid w:val="00D6478D"/>
    <w:rsid w:val="00D64B1E"/>
    <w:rsid w:val="00D65E38"/>
    <w:rsid w:val="00D66017"/>
    <w:rsid w:val="00D664A6"/>
    <w:rsid w:val="00D66AA5"/>
    <w:rsid w:val="00D66CEC"/>
    <w:rsid w:val="00D67B0D"/>
    <w:rsid w:val="00D70332"/>
    <w:rsid w:val="00D706A2"/>
    <w:rsid w:val="00D71A74"/>
    <w:rsid w:val="00D71FFB"/>
    <w:rsid w:val="00D7352B"/>
    <w:rsid w:val="00D745F7"/>
    <w:rsid w:val="00D76F7B"/>
    <w:rsid w:val="00D771B3"/>
    <w:rsid w:val="00D80724"/>
    <w:rsid w:val="00D80783"/>
    <w:rsid w:val="00D8207A"/>
    <w:rsid w:val="00D82518"/>
    <w:rsid w:val="00D82587"/>
    <w:rsid w:val="00D833CB"/>
    <w:rsid w:val="00D83F89"/>
    <w:rsid w:val="00D85E8B"/>
    <w:rsid w:val="00D86EE5"/>
    <w:rsid w:val="00D90EA1"/>
    <w:rsid w:val="00D92DE5"/>
    <w:rsid w:val="00D9330B"/>
    <w:rsid w:val="00D94103"/>
    <w:rsid w:val="00D948E4"/>
    <w:rsid w:val="00D97609"/>
    <w:rsid w:val="00D97D08"/>
    <w:rsid w:val="00DA110B"/>
    <w:rsid w:val="00DA135F"/>
    <w:rsid w:val="00DA377D"/>
    <w:rsid w:val="00DA4340"/>
    <w:rsid w:val="00DA6448"/>
    <w:rsid w:val="00DA666A"/>
    <w:rsid w:val="00DB0D3D"/>
    <w:rsid w:val="00DB3674"/>
    <w:rsid w:val="00DB41F6"/>
    <w:rsid w:val="00DB7669"/>
    <w:rsid w:val="00DC0E2B"/>
    <w:rsid w:val="00DC1E3A"/>
    <w:rsid w:val="00DC305A"/>
    <w:rsid w:val="00DC6692"/>
    <w:rsid w:val="00DC69E5"/>
    <w:rsid w:val="00DC7227"/>
    <w:rsid w:val="00DC7557"/>
    <w:rsid w:val="00DC76D5"/>
    <w:rsid w:val="00DC7988"/>
    <w:rsid w:val="00DD0641"/>
    <w:rsid w:val="00DD27B2"/>
    <w:rsid w:val="00DD2C07"/>
    <w:rsid w:val="00DD2CB6"/>
    <w:rsid w:val="00DD4EAE"/>
    <w:rsid w:val="00DD5E51"/>
    <w:rsid w:val="00DD7554"/>
    <w:rsid w:val="00DD797D"/>
    <w:rsid w:val="00DD7AAF"/>
    <w:rsid w:val="00DE0599"/>
    <w:rsid w:val="00DE149B"/>
    <w:rsid w:val="00DE1E4E"/>
    <w:rsid w:val="00DE2986"/>
    <w:rsid w:val="00DE33A7"/>
    <w:rsid w:val="00DE3A14"/>
    <w:rsid w:val="00DE3F86"/>
    <w:rsid w:val="00DE6058"/>
    <w:rsid w:val="00DE715C"/>
    <w:rsid w:val="00DE72F6"/>
    <w:rsid w:val="00DE79A2"/>
    <w:rsid w:val="00DF07D5"/>
    <w:rsid w:val="00DF10A8"/>
    <w:rsid w:val="00DF2032"/>
    <w:rsid w:val="00DF2ADC"/>
    <w:rsid w:val="00DF2F5E"/>
    <w:rsid w:val="00DF339C"/>
    <w:rsid w:val="00DF4CBE"/>
    <w:rsid w:val="00DF6B74"/>
    <w:rsid w:val="00DF7587"/>
    <w:rsid w:val="00E006E1"/>
    <w:rsid w:val="00E03DCE"/>
    <w:rsid w:val="00E04399"/>
    <w:rsid w:val="00E04EDF"/>
    <w:rsid w:val="00E059C2"/>
    <w:rsid w:val="00E05FCF"/>
    <w:rsid w:val="00E06173"/>
    <w:rsid w:val="00E071B7"/>
    <w:rsid w:val="00E10AF9"/>
    <w:rsid w:val="00E13A57"/>
    <w:rsid w:val="00E13E28"/>
    <w:rsid w:val="00E1559C"/>
    <w:rsid w:val="00E1597C"/>
    <w:rsid w:val="00E15AE6"/>
    <w:rsid w:val="00E16690"/>
    <w:rsid w:val="00E16EC8"/>
    <w:rsid w:val="00E17605"/>
    <w:rsid w:val="00E208E8"/>
    <w:rsid w:val="00E209B2"/>
    <w:rsid w:val="00E22438"/>
    <w:rsid w:val="00E235D8"/>
    <w:rsid w:val="00E24A0E"/>
    <w:rsid w:val="00E25A71"/>
    <w:rsid w:val="00E270D1"/>
    <w:rsid w:val="00E27BF4"/>
    <w:rsid w:val="00E31691"/>
    <w:rsid w:val="00E316AB"/>
    <w:rsid w:val="00E327DF"/>
    <w:rsid w:val="00E32947"/>
    <w:rsid w:val="00E33AF6"/>
    <w:rsid w:val="00E351D2"/>
    <w:rsid w:val="00E35315"/>
    <w:rsid w:val="00E36163"/>
    <w:rsid w:val="00E36352"/>
    <w:rsid w:val="00E417B6"/>
    <w:rsid w:val="00E42863"/>
    <w:rsid w:val="00E42A64"/>
    <w:rsid w:val="00E43C18"/>
    <w:rsid w:val="00E44467"/>
    <w:rsid w:val="00E44D13"/>
    <w:rsid w:val="00E45091"/>
    <w:rsid w:val="00E45F76"/>
    <w:rsid w:val="00E47E62"/>
    <w:rsid w:val="00E47E65"/>
    <w:rsid w:val="00E5098B"/>
    <w:rsid w:val="00E51B6C"/>
    <w:rsid w:val="00E51D6C"/>
    <w:rsid w:val="00E52091"/>
    <w:rsid w:val="00E52A75"/>
    <w:rsid w:val="00E53352"/>
    <w:rsid w:val="00E5411B"/>
    <w:rsid w:val="00E54286"/>
    <w:rsid w:val="00E54979"/>
    <w:rsid w:val="00E54AAC"/>
    <w:rsid w:val="00E54C26"/>
    <w:rsid w:val="00E54FE3"/>
    <w:rsid w:val="00E55E34"/>
    <w:rsid w:val="00E56532"/>
    <w:rsid w:val="00E57E22"/>
    <w:rsid w:val="00E602DE"/>
    <w:rsid w:val="00E64BAE"/>
    <w:rsid w:val="00E6558C"/>
    <w:rsid w:val="00E65A30"/>
    <w:rsid w:val="00E66143"/>
    <w:rsid w:val="00E6623F"/>
    <w:rsid w:val="00E665D0"/>
    <w:rsid w:val="00E671A1"/>
    <w:rsid w:val="00E67AD4"/>
    <w:rsid w:val="00E7158D"/>
    <w:rsid w:val="00E71EB5"/>
    <w:rsid w:val="00E720ED"/>
    <w:rsid w:val="00E731E5"/>
    <w:rsid w:val="00E74CD0"/>
    <w:rsid w:val="00E75599"/>
    <w:rsid w:val="00E76C6B"/>
    <w:rsid w:val="00E77CB3"/>
    <w:rsid w:val="00E800D0"/>
    <w:rsid w:val="00E80298"/>
    <w:rsid w:val="00E80FF5"/>
    <w:rsid w:val="00E81262"/>
    <w:rsid w:val="00E81767"/>
    <w:rsid w:val="00E81D72"/>
    <w:rsid w:val="00E827E2"/>
    <w:rsid w:val="00E8329A"/>
    <w:rsid w:val="00E85158"/>
    <w:rsid w:val="00E85688"/>
    <w:rsid w:val="00E85B84"/>
    <w:rsid w:val="00E86385"/>
    <w:rsid w:val="00E86E24"/>
    <w:rsid w:val="00E87499"/>
    <w:rsid w:val="00E90D61"/>
    <w:rsid w:val="00E9135F"/>
    <w:rsid w:val="00E91EA7"/>
    <w:rsid w:val="00E9273E"/>
    <w:rsid w:val="00E93F3D"/>
    <w:rsid w:val="00EA0266"/>
    <w:rsid w:val="00EA330B"/>
    <w:rsid w:val="00EA3620"/>
    <w:rsid w:val="00EA364F"/>
    <w:rsid w:val="00EA5172"/>
    <w:rsid w:val="00EA5DE5"/>
    <w:rsid w:val="00EA7560"/>
    <w:rsid w:val="00EB0376"/>
    <w:rsid w:val="00EB1BD3"/>
    <w:rsid w:val="00EB3629"/>
    <w:rsid w:val="00EB3D94"/>
    <w:rsid w:val="00EB4ABC"/>
    <w:rsid w:val="00EB5021"/>
    <w:rsid w:val="00EB58E0"/>
    <w:rsid w:val="00EB5998"/>
    <w:rsid w:val="00EB757C"/>
    <w:rsid w:val="00EB7846"/>
    <w:rsid w:val="00EB797D"/>
    <w:rsid w:val="00EC0812"/>
    <w:rsid w:val="00EC082F"/>
    <w:rsid w:val="00EC12FC"/>
    <w:rsid w:val="00EC1D6D"/>
    <w:rsid w:val="00EC2BB2"/>
    <w:rsid w:val="00EC4407"/>
    <w:rsid w:val="00EC5EB9"/>
    <w:rsid w:val="00ED04A0"/>
    <w:rsid w:val="00ED0532"/>
    <w:rsid w:val="00ED1066"/>
    <w:rsid w:val="00ED371A"/>
    <w:rsid w:val="00ED3849"/>
    <w:rsid w:val="00ED3900"/>
    <w:rsid w:val="00ED4AD8"/>
    <w:rsid w:val="00ED61C2"/>
    <w:rsid w:val="00ED6437"/>
    <w:rsid w:val="00ED6E76"/>
    <w:rsid w:val="00EE17BF"/>
    <w:rsid w:val="00EE187D"/>
    <w:rsid w:val="00EE1910"/>
    <w:rsid w:val="00EE2027"/>
    <w:rsid w:val="00EE303F"/>
    <w:rsid w:val="00EE5129"/>
    <w:rsid w:val="00EE655E"/>
    <w:rsid w:val="00EE6BD6"/>
    <w:rsid w:val="00EF00F2"/>
    <w:rsid w:val="00EF1F47"/>
    <w:rsid w:val="00EF23DF"/>
    <w:rsid w:val="00EF43CC"/>
    <w:rsid w:val="00EF441D"/>
    <w:rsid w:val="00EF479A"/>
    <w:rsid w:val="00EF4D28"/>
    <w:rsid w:val="00EF55DD"/>
    <w:rsid w:val="00EF568B"/>
    <w:rsid w:val="00EF7996"/>
    <w:rsid w:val="00F00284"/>
    <w:rsid w:val="00F00C27"/>
    <w:rsid w:val="00F01DD4"/>
    <w:rsid w:val="00F0285B"/>
    <w:rsid w:val="00F03480"/>
    <w:rsid w:val="00F042AD"/>
    <w:rsid w:val="00F05985"/>
    <w:rsid w:val="00F05A15"/>
    <w:rsid w:val="00F10307"/>
    <w:rsid w:val="00F107CC"/>
    <w:rsid w:val="00F11F38"/>
    <w:rsid w:val="00F13625"/>
    <w:rsid w:val="00F1471C"/>
    <w:rsid w:val="00F148D9"/>
    <w:rsid w:val="00F15247"/>
    <w:rsid w:val="00F15337"/>
    <w:rsid w:val="00F15B39"/>
    <w:rsid w:val="00F15B4B"/>
    <w:rsid w:val="00F16A91"/>
    <w:rsid w:val="00F21311"/>
    <w:rsid w:val="00F22999"/>
    <w:rsid w:val="00F23E85"/>
    <w:rsid w:val="00F24CD5"/>
    <w:rsid w:val="00F258FB"/>
    <w:rsid w:val="00F26665"/>
    <w:rsid w:val="00F27716"/>
    <w:rsid w:val="00F30B78"/>
    <w:rsid w:val="00F31F6D"/>
    <w:rsid w:val="00F32DD1"/>
    <w:rsid w:val="00F34C5F"/>
    <w:rsid w:val="00F357F5"/>
    <w:rsid w:val="00F37B30"/>
    <w:rsid w:val="00F37F2D"/>
    <w:rsid w:val="00F42A85"/>
    <w:rsid w:val="00F43766"/>
    <w:rsid w:val="00F43BFB"/>
    <w:rsid w:val="00F44186"/>
    <w:rsid w:val="00F4474B"/>
    <w:rsid w:val="00F44C26"/>
    <w:rsid w:val="00F44E33"/>
    <w:rsid w:val="00F453CF"/>
    <w:rsid w:val="00F45954"/>
    <w:rsid w:val="00F45DDC"/>
    <w:rsid w:val="00F45FBA"/>
    <w:rsid w:val="00F4723F"/>
    <w:rsid w:val="00F475E8"/>
    <w:rsid w:val="00F47724"/>
    <w:rsid w:val="00F522CA"/>
    <w:rsid w:val="00F57E59"/>
    <w:rsid w:val="00F60221"/>
    <w:rsid w:val="00F60576"/>
    <w:rsid w:val="00F60C19"/>
    <w:rsid w:val="00F61304"/>
    <w:rsid w:val="00F61EF4"/>
    <w:rsid w:val="00F64AA6"/>
    <w:rsid w:val="00F64DB8"/>
    <w:rsid w:val="00F65FEF"/>
    <w:rsid w:val="00F6646E"/>
    <w:rsid w:val="00F676BF"/>
    <w:rsid w:val="00F72790"/>
    <w:rsid w:val="00F7384D"/>
    <w:rsid w:val="00F738A2"/>
    <w:rsid w:val="00F73E15"/>
    <w:rsid w:val="00F75DE4"/>
    <w:rsid w:val="00F76098"/>
    <w:rsid w:val="00F7678C"/>
    <w:rsid w:val="00F773D4"/>
    <w:rsid w:val="00F8072B"/>
    <w:rsid w:val="00F8184A"/>
    <w:rsid w:val="00F82BEB"/>
    <w:rsid w:val="00F84D42"/>
    <w:rsid w:val="00F84F90"/>
    <w:rsid w:val="00F85FD1"/>
    <w:rsid w:val="00F86313"/>
    <w:rsid w:val="00F8692F"/>
    <w:rsid w:val="00F86B5F"/>
    <w:rsid w:val="00F9167C"/>
    <w:rsid w:val="00F939B0"/>
    <w:rsid w:val="00F943EE"/>
    <w:rsid w:val="00F956DA"/>
    <w:rsid w:val="00F95C38"/>
    <w:rsid w:val="00F95D5A"/>
    <w:rsid w:val="00F96145"/>
    <w:rsid w:val="00F96C47"/>
    <w:rsid w:val="00FA0E67"/>
    <w:rsid w:val="00FA18C9"/>
    <w:rsid w:val="00FA23B6"/>
    <w:rsid w:val="00FA2B1D"/>
    <w:rsid w:val="00FA4438"/>
    <w:rsid w:val="00FA4B38"/>
    <w:rsid w:val="00FA61C5"/>
    <w:rsid w:val="00FB0900"/>
    <w:rsid w:val="00FB10F5"/>
    <w:rsid w:val="00FB1E18"/>
    <w:rsid w:val="00FB22ED"/>
    <w:rsid w:val="00FB2AFD"/>
    <w:rsid w:val="00FB2F48"/>
    <w:rsid w:val="00FB3686"/>
    <w:rsid w:val="00FB4056"/>
    <w:rsid w:val="00FB60F4"/>
    <w:rsid w:val="00FC0DFD"/>
    <w:rsid w:val="00FC1B1D"/>
    <w:rsid w:val="00FC32FE"/>
    <w:rsid w:val="00FC3682"/>
    <w:rsid w:val="00FC3B12"/>
    <w:rsid w:val="00FC3C41"/>
    <w:rsid w:val="00FC4CFF"/>
    <w:rsid w:val="00FC5F0A"/>
    <w:rsid w:val="00FC79CE"/>
    <w:rsid w:val="00FC7BD0"/>
    <w:rsid w:val="00FD2087"/>
    <w:rsid w:val="00FD5B47"/>
    <w:rsid w:val="00FD5DEA"/>
    <w:rsid w:val="00FD6CE7"/>
    <w:rsid w:val="00FE02B2"/>
    <w:rsid w:val="00FE0D08"/>
    <w:rsid w:val="00FE1FE2"/>
    <w:rsid w:val="00FE2996"/>
    <w:rsid w:val="00FE33CB"/>
    <w:rsid w:val="00FE4D28"/>
    <w:rsid w:val="00FE5AAE"/>
    <w:rsid w:val="00FE5E46"/>
    <w:rsid w:val="00FE6579"/>
    <w:rsid w:val="00FE7B08"/>
    <w:rsid w:val="00FF0B83"/>
    <w:rsid w:val="00FF0CA1"/>
    <w:rsid w:val="00FF144C"/>
    <w:rsid w:val="00FF14C9"/>
    <w:rsid w:val="00FF24A0"/>
    <w:rsid w:val="00FF2C71"/>
    <w:rsid w:val="00FF39AE"/>
    <w:rsid w:val="00FF3C46"/>
    <w:rsid w:val="00FF4779"/>
    <w:rsid w:val="00FF5975"/>
    <w:rsid w:val="00FF6D7D"/>
    <w:rsid w:val="00FF7C73"/>
    <w:rsid w:val="01508B29"/>
    <w:rsid w:val="0168B27A"/>
    <w:rsid w:val="023B2DB4"/>
    <w:rsid w:val="02B182DB"/>
    <w:rsid w:val="02FE6750"/>
    <w:rsid w:val="033B0C12"/>
    <w:rsid w:val="0374196C"/>
    <w:rsid w:val="03833EEF"/>
    <w:rsid w:val="03DFBF81"/>
    <w:rsid w:val="03E08874"/>
    <w:rsid w:val="042EDC55"/>
    <w:rsid w:val="0600EA39"/>
    <w:rsid w:val="06AF78D4"/>
    <w:rsid w:val="076A9314"/>
    <w:rsid w:val="07DE5C24"/>
    <w:rsid w:val="0856FFF9"/>
    <w:rsid w:val="08865B5B"/>
    <w:rsid w:val="08DAC6B9"/>
    <w:rsid w:val="090AF601"/>
    <w:rsid w:val="098997BD"/>
    <w:rsid w:val="099EFA62"/>
    <w:rsid w:val="09FE80DA"/>
    <w:rsid w:val="0A759AFB"/>
    <w:rsid w:val="0A833788"/>
    <w:rsid w:val="0B4B3D63"/>
    <w:rsid w:val="0BE46DDA"/>
    <w:rsid w:val="0BEBA07B"/>
    <w:rsid w:val="0BEF2784"/>
    <w:rsid w:val="0BFADE48"/>
    <w:rsid w:val="0C26B764"/>
    <w:rsid w:val="0C37830A"/>
    <w:rsid w:val="0D06C1E6"/>
    <w:rsid w:val="0D100CE1"/>
    <w:rsid w:val="0D869148"/>
    <w:rsid w:val="0E4A3572"/>
    <w:rsid w:val="0ED487F7"/>
    <w:rsid w:val="0F344049"/>
    <w:rsid w:val="0F864886"/>
    <w:rsid w:val="10949F06"/>
    <w:rsid w:val="11855EA2"/>
    <w:rsid w:val="1380586D"/>
    <w:rsid w:val="13DB80C9"/>
    <w:rsid w:val="14D4FC38"/>
    <w:rsid w:val="14E21E5A"/>
    <w:rsid w:val="185BBBBC"/>
    <w:rsid w:val="1957C9A5"/>
    <w:rsid w:val="1964AFF4"/>
    <w:rsid w:val="19C3CA64"/>
    <w:rsid w:val="1A4C24AB"/>
    <w:rsid w:val="1B0BC378"/>
    <w:rsid w:val="1B7FC08F"/>
    <w:rsid w:val="1B9B7639"/>
    <w:rsid w:val="1BF5E80C"/>
    <w:rsid w:val="1CC81149"/>
    <w:rsid w:val="1D32813D"/>
    <w:rsid w:val="1DC2E02A"/>
    <w:rsid w:val="1DE673DE"/>
    <w:rsid w:val="1E17C77E"/>
    <w:rsid w:val="1E60BDE3"/>
    <w:rsid w:val="1EF6618A"/>
    <w:rsid w:val="1FFAFAAD"/>
    <w:rsid w:val="206EE75C"/>
    <w:rsid w:val="2149E794"/>
    <w:rsid w:val="21699ABB"/>
    <w:rsid w:val="21ACCB42"/>
    <w:rsid w:val="2210905D"/>
    <w:rsid w:val="221C6E01"/>
    <w:rsid w:val="2275571B"/>
    <w:rsid w:val="23A48FE0"/>
    <w:rsid w:val="23A88BEF"/>
    <w:rsid w:val="23CF85A8"/>
    <w:rsid w:val="24818856"/>
    <w:rsid w:val="24912FA9"/>
    <w:rsid w:val="24929C00"/>
    <w:rsid w:val="24AF1D50"/>
    <w:rsid w:val="24EC8CE6"/>
    <w:rsid w:val="25A53D28"/>
    <w:rsid w:val="26AB9BB8"/>
    <w:rsid w:val="27BCF8EA"/>
    <w:rsid w:val="293BD11C"/>
    <w:rsid w:val="2AC19FD9"/>
    <w:rsid w:val="2BC467B8"/>
    <w:rsid w:val="2C06065C"/>
    <w:rsid w:val="2CDB9CCB"/>
    <w:rsid w:val="2CFD5FBC"/>
    <w:rsid w:val="2D802A5D"/>
    <w:rsid w:val="2E754E16"/>
    <w:rsid w:val="2E9620EB"/>
    <w:rsid w:val="2F899911"/>
    <w:rsid w:val="2F9C02D8"/>
    <w:rsid w:val="301ECFB4"/>
    <w:rsid w:val="303E4ECA"/>
    <w:rsid w:val="304AF61A"/>
    <w:rsid w:val="30635EC6"/>
    <w:rsid w:val="308C2AFC"/>
    <w:rsid w:val="309D5E9E"/>
    <w:rsid w:val="30FCF3E4"/>
    <w:rsid w:val="3100BE1D"/>
    <w:rsid w:val="315919F7"/>
    <w:rsid w:val="31AC248F"/>
    <w:rsid w:val="31D39366"/>
    <w:rsid w:val="320ED762"/>
    <w:rsid w:val="32583202"/>
    <w:rsid w:val="3261E1FA"/>
    <w:rsid w:val="33365572"/>
    <w:rsid w:val="333949CF"/>
    <w:rsid w:val="336F30F6"/>
    <w:rsid w:val="337FAD17"/>
    <w:rsid w:val="34FFBB34"/>
    <w:rsid w:val="35454934"/>
    <w:rsid w:val="35464553"/>
    <w:rsid w:val="3561D3D7"/>
    <w:rsid w:val="3589A8AB"/>
    <w:rsid w:val="358BA0E9"/>
    <w:rsid w:val="36842939"/>
    <w:rsid w:val="371EBA76"/>
    <w:rsid w:val="3782B934"/>
    <w:rsid w:val="3797B89A"/>
    <w:rsid w:val="381346B7"/>
    <w:rsid w:val="394737D5"/>
    <w:rsid w:val="3AB3C415"/>
    <w:rsid w:val="3AB8BC05"/>
    <w:rsid w:val="3B0203ED"/>
    <w:rsid w:val="3C023CED"/>
    <w:rsid w:val="3CAC16E9"/>
    <w:rsid w:val="3DFDC55C"/>
    <w:rsid w:val="3E53C54C"/>
    <w:rsid w:val="3EBE0EEF"/>
    <w:rsid w:val="3EF30565"/>
    <w:rsid w:val="3FD308B9"/>
    <w:rsid w:val="409CFFF0"/>
    <w:rsid w:val="40C9C009"/>
    <w:rsid w:val="40E15F67"/>
    <w:rsid w:val="40EE8544"/>
    <w:rsid w:val="41343829"/>
    <w:rsid w:val="422D7F2F"/>
    <w:rsid w:val="429E44B0"/>
    <w:rsid w:val="42AC7F97"/>
    <w:rsid w:val="42F7DB0D"/>
    <w:rsid w:val="430321EC"/>
    <w:rsid w:val="4316EA43"/>
    <w:rsid w:val="4337D9CE"/>
    <w:rsid w:val="433B33CD"/>
    <w:rsid w:val="437EC8FB"/>
    <w:rsid w:val="43C0FD63"/>
    <w:rsid w:val="44A84044"/>
    <w:rsid w:val="44BBB0C2"/>
    <w:rsid w:val="4519432E"/>
    <w:rsid w:val="451E30C4"/>
    <w:rsid w:val="45938E7F"/>
    <w:rsid w:val="4692843B"/>
    <w:rsid w:val="46D84F2C"/>
    <w:rsid w:val="47D4339E"/>
    <w:rsid w:val="47FED577"/>
    <w:rsid w:val="48218138"/>
    <w:rsid w:val="4859FC0C"/>
    <w:rsid w:val="4954A832"/>
    <w:rsid w:val="49BF14BF"/>
    <w:rsid w:val="49D643E3"/>
    <w:rsid w:val="4A3D391E"/>
    <w:rsid w:val="4A45A89E"/>
    <w:rsid w:val="4A5057B0"/>
    <w:rsid w:val="4ACFB1A4"/>
    <w:rsid w:val="4BC94CC1"/>
    <w:rsid w:val="4C72BBF0"/>
    <w:rsid w:val="4E3FB637"/>
    <w:rsid w:val="4E85D2FF"/>
    <w:rsid w:val="4E92EA89"/>
    <w:rsid w:val="4F188249"/>
    <w:rsid w:val="4F19C32D"/>
    <w:rsid w:val="4F714E5D"/>
    <w:rsid w:val="50243DAE"/>
    <w:rsid w:val="5026BD72"/>
    <w:rsid w:val="50D24064"/>
    <w:rsid w:val="50F4A71F"/>
    <w:rsid w:val="51058C42"/>
    <w:rsid w:val="51287CC2"/>
    <w:rsid w:val="51492170"/>
    <w:rsid w:val="5183CDF4"/>
    <w:rsid w:val="53F18312"/>
    <w:rsid w:val="54452522"/>
    <w:rsid w:val="54B3822B"/>
    <w:rsid w:val="55690CC5"/>
    <w:rsid w:val="55B3F801"/>
    <w:rsid w:val="564C003E"/>
    <w:rsid w:val="56AAAF51"/>
    <w:rsid w:val="56AB9F70"/>
    <w:rsid w:val="577045D2"/>
    <w:rsid w:val="577FE25A"/>
    <w:rsid w:val="578FDDE2"/>
    <w:rsid w:val="57EA8B75"/>
    <w:rsid w:val="58188516"/>
    <w:rsid w:val="5820D743"/>
    <w:rsid w:val="5857934B"/>
    <w:rsid w:val="588C72C0"/>
    <w:rsid w:val="58CB0F18"/>
    <w:rsid w:val="59CBEA3D"/>
    <w:rsid w:val="5A34F1A2"/>
    <w:rsid w:val="5A6C6FC7"/>
    <w:rsid w:val="5A82D7F9"/>
    <w:rsid w:val="5AC2A18D"/>
    <w:rsid w:val="5AEEDCD2"/>
    <w:rsid w:val="5BBAC536"/>
    <w:rsid w:val="5BFACE8F"/>
    <w:rsid w:val="5C58EDDB"/>
    <w:rsid w:val="5C613F0D"/>
    <w:rsid w:val="5C85E584"/>
    <w:rsid w:val="5E359CEA"/>
    <w:rsid w:val="5E58078C"/>
    <w:rsid w:val="5E59150A"/>
    <w:rsid w:val="5EC33D67"/>
    <w:rsid w:val="5EE917AC"/>
    <w:rsid w:val="5F1D6B3C"/>
    <w:rsid w:val="5F262210"/>
    <w:rsid w:val="5F4C0FD6"/>
    <w:rsid w:val="5F7DD787"/>
    <w:rsid w:val="5FF9F129"/>
    <w:rsid w:val="5FFE86FF"/>
    <w:rsid w:val="6027F8AC"/>
    <w:rsid w:val="608F84AE"/>
    <w:rsid w:val="60A36D3F"/>
    <w:rsid w:val="60F302E5"/>
    <w:rsid w:val="613F2D6C"/>
    <w:rsid w:val="615D1B26"/>
    <w:rsid w:val="619788B1"/>
    <w:rsid w:val="61985E27"/>
    <w:rsid w:val="619EB611"/>
    <w:rsid w:val="62225798"/>
    <w:rsid w:val="623B4C29"/>
    <w:rsid w:val="6271D72A"/>
    <w:rsid w:val="62E8DEA5"/>
    <w:rsid w:val="6303408A"/>
    <w:rsid w:val="6471E098"/>
    <w:rsid w:val="6484AF06"/>
    <w:rsid w:val="6485E88E"/>
    <w:rsid w:val="65679BC9"/>
    <w:rsid w:val="657DDEB7"/>
    <w:rsid w:val="65F05AB7"/>
    <w:rsid w:val="6651DD9F"/>
    <w:rsid w:val="665D89CB"/>
    <w:rsid w:val="66A0618B"/>
    <w:rsid w:val="6763F2F3"/>
    <w:rsid w:val="68242672"/>
    <w:rsid w:val="687046CB"/>
    <w:rsid w:val="689A1D1F"/>
    <w:rsid w:val="69152D0B"/>
    <w:rsid w:val="695FA80D"/>
    <w:rsid w:val="6994F7BC"/>
    <w:rsid w:val="69B21B2D"/>
    <w:rsid w:val="6BA05FA9"/>
    <w:rsid w:val="6BAD9E71"/>
    <w:rsid w:val="6BE3C206"/>
    <w:rsid w:val="6C613A6A"/>
    <w:rsid w:val="6DB70D25"/>
    <w:rsid w:val="6E6BAE3A"/>
    <w:rsid w:val="6E7DFABE"/>
    <w:rsid w:val="6E8923B8"/>
    <w:rsid w:val="6F1B62C8"/>
    <w:rsid w:val="6F3BF469"/>
    <w:rsid w:val="6FC0A412"/>
    <w:rsid w:val="702E4265"/>
    <w:rsid w:val="70614245"/>
    <w:rsid w:val="71164E94"/>
    <w:rsid w:val="713A636C"/>
    <w:rsid w:val="71ADC33B"/>
    <w:rsid w:val="71C0C47A"/>
    <w:rsid w:val="71DAE8F6"/>
    <w:rsid w:val="71FA28C4"/>
    <w:rsid w:val="720523F1"/>
    <w:rsid w:val="72561652"/>
    <w:rsid w:val="72AE2D7E"/>
    <w:rsid w:val="730DCBC0"/>
    <w:rsid w:val="73D13E84"/>
    <w:rsid w:val="73D9DA6E"/>
    <w:rsid w:val="74707097"/>
    <w:rsid w:val="74B2B120"/>
    <w:rsid w:val="74C63CBB"/>
    <w:rsid w:val="74F8653C"/>
    <w:rsid w:val="7504433E"/>
    <w:rsid w:val="7542FD82"/>
    <w:rsid w:val="76069EBB"/>
    <w:rsid w:val="7643A687"/>
    <w:rsid w:val="76FF39A2"/>
    <w:rsid w:val="770E1699"/>
    <w:rsid w:val="785B8B72"/>
    <w:rsid w:val="7891FD65"/>
    <w:rsid w:val="78F2D368"/>
    <w:rsid w:val="7941F7C1"/>
    <w:rsid w:val="7953BAD0"/>
    <w:rsid w:val="7AAF8C70"/>
    <w:rsid w:val="7AF18F02"/>
    <w:rsid w:val="7AF778B7"/>
    <w:rsid w:val="7B478DF7"/>
    <w:rsid w:val="7B8FDEE5"/>
    <w:rsid w:val="7C2D3B27"/>
    <w:rsid w:val="7D1BD09D"/>
    <w:rsid w:val="7D57E94D"/>
    <w:rsid w:val="7D62C462"/>
    <w:rsid w:val="7D6F4474"/>
    <w:rsid w:val="7EA90C5E"/>
    <w:rsid w:val="7F0CDB3D"/>
    <w:rsid w:val="7F5969CC"/>
    <w:rsid w:val="7FC6238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BB217"/>
  <w15:chartTrackingRefBased/>
  <w15:docId w15:val="{081FCF60-3E0B-4208-8706-D47DD240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semiHidden/>
    <w:unhideWhenUsed/>
    <w:rsid w:val="00A96B21"/>
    <w:rPr>
      <w:sz w:val="20"/>
      <w:szCs w:val="20"/>
    </w:rPr>
  </w:style>
  <w:style w:type="character" w:customStyle="1" w:styleId="FootnoteTextChar">
    <w:name w:val="Footnote Text Char"/>
    <w:basedOn w:val="DefaultParagraphFont"/>
    <w:link w:val="FootnoteText"/>
    <w:uiPriority w:val="99"/>
    <w:semiHidden/>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7A7247"/>
    <w:pPr>
      <w:numPr>
        <w:numId w:val="2"/>
      </w:numPr>
      <w:tabs>
        <w:tab w:val="left" w:pos="1134"/>
      </w:tabs>
      <w:spacing w:before="120" w:after="120"/>
      <w:ind w:left="927"/>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C54DE2"/>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6E4294"/>
    <w:pPr>
      <w:tabs>
        <w:tab w:val="left" w:pos="1701"/>
      </w:tabs>
      <w:spacing w:before="120" w:after="12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styleId="ListParagraph">
    <w:name w:val="List Paragraph"/>
    <w:basedOn w:val="Normal"/>
    <w:uiPriority w:val="34"/>
    <w:qFormat/>
    <w:rsid w:val="005D2BD5"/>
    <w:pPr>
      <w:ind w:left="720"/>
      <w:contextualSpacing/>
    </w:pPr>
  </w:style>
  <w:style w:type="character" w:customStyle="1" w:styleId="Para1Char">
    <w:name w:val="Para1 Char"/>
    <w:link w:val="Para1"/>
    <w:locked/>
    <w:rsid w:val="003133DB"/>
    <w:rPr>
      <w:rFonts w:ascii="Times New Roman" w:eastAsia="Times New Roman" w:hAnsi="Times New Roman" w:cs="Times New Roman"/>
      <w:szCs w:val="18"/>
      <w:lang w:val="en-GB"/>
    </w:rPr>
  </w:style>
  <w:style w:type="paragraph" w:customStyle="1" w:styleId="Para1">
    <w:name w:val="Para1"/>
    <w:basedOn w:val="Normal"/>
    <w:link w:val="Para1Char"/>
    <w:rsid w:val="003133DB"/>
    <w:pPr>
      <w:numPr>
        <w:numId w:val="23"/>
      </w:numPr>
      <w:snapToGrid w:val="0"/>
      <w:spacing w:before="120" w:after="120"/>
    </w:pPr>
    <w:rPr>
      <w:kern w:val="2"/>
      <w:szCs w:val="18"/>
      <w14:ligatures w14:val="standardContextual"/>
    </w:rPr>
  </w:style>
  <w:style w:type="character" w:styleId="Hyperlink">
    <w:name w:val="Hyperlink"/>
    <w:rsid w:val="00B54944"/>
    <w:rPr>
      <w:color w:val="0000FF"/>
      <w:sz w:val="18"/>
      <w:u w:val="single"/>
    </w:rPr>
  </w:style>
  <w:style w:type="paragraph" w:customStyle="1" w:styleId="Para30">
    <w:name w:val="Para3"/>
    <w:basedOn w:val="Normal"/>
    <w:rsid w:val="007C0DD6"/>
    <w:pPr>
      <w:tabs>
        <w:tab w:val="num" w:pos="1440"/>
        <w:tab w:val="left" w:pos="1980"/>
      </w:tabs>
      <w:spacing w:before="80" w:after="80"/>
      <w:ind w:left="1440" w:hanging="360"/>
    </w:pPr>
    <w:rPr>
      <w:szCs w:val="20"/>
    </w:rPr>
  </w:style>
  <w:style w:type="paragraph" w:styleId="Revision">
    <w:name w:val="Revision"/>
    <w:hidden/>
    <w:uiPriority w:val="99"/>
    <w:semiHidden/>
    <w:rsid w:val="00B85878"/>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FA23B6"/>
    <w:rPr>
      <w:color w:val="605E5C"/>
      <w:shd w:val="clear" w:color="auto" w:fill="E1DFDD"/>
    </w:rPr>
  </w:style>
  <w:style w:type="character" w:styleId="FollowedHyperlink">
    <w:name w:val="FollowedHyperlink"/>
    <w:basedOn w:val="DefaultParagraphFont"/>
    <w:uiPriority w:val="99"/>
    <w:semiHidden/>
    <w:unhideWhenUsed/>
    <w:rsid w:val="00154582"/>
    <w:rPr>
      <w:color w:val="954F72" w:themeColor="followedHyperlink"/>
      <w:u w:val="single"/>
    </w:rPr>
  </w:style>
  <w:style w:type="numbering" w:customStyle="1" w:styleId="Listeactuelle1">
    <w:name w:val="Liste actuelle1"/>
    <w:uiPriority w:val="99"/>
    <w:rsid w:val="00B24880"/>
    <w:pPr>
      <w:numPr>
        <w:numId w:val="66"/>
      </w:numPr>
    </w:pPr>
  </w:style>
  <w:style w:type="paragraph" w:customStyle="1" w:styleId="CBDTitle">
    <w:name w:val="CBD_Title"/>
    <w:basedOn w:val="Normal"/>
    <w:next w:val="Normal"/>
    <w:qFormat/>
    <w:rsid w:val="00097578"/>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44117">
      <w:bodyDiv w:val="1"/>
      <w:marLeft w:val="0"/>
      <w:marRight w:val="0"/>
      <w:marTop w:val="0"/>
      <w:marBottom w:val="0"/>
      <w:divBdr>
        <w:top w:val="none" w:sz="0" w:space="0" w:color="auto"/>
        <w:left w:val="none" w:sz="0" w:space="0" w:color="auto"/>
        <w:bottom w:val="none" w:sz="0" w:space="0" w:color="auto"/>
        <w:right w:val="none" w:sz="0" w:space="0" w:color="auto"/>
      </w:divBdr>
    </w:div>
    <w:div w:id="407651264">
      <w:bodyDiv w:val="1"/>
      <w:marLeft w:val="0"/>
      <w:marRight w:val="0"/>
      <w:marTop w:val="0"/>
      <w:marBottom w:val="0"/>
      <w:divBdr>
        <w:top w:val="none" w:sz="0" w:space="0" w:color="auto"/>
        <w:left w:val="none" w:sz="0" w:space="0" w:color="auto"/>
        <w:bottom w:val="none" w:sz="0" w:space="0" w:color="auto"/>
        <w:right w:val="none" w:sz="0" w:space="0" w:color="auto"/>
      </w:divBdr>
    </w:div>
    <w:div w:id="641539625">
      <w:bodyDiv w:val="1"/>
      <w:marLeft w:val="0"/>
      <w:marRight w:val="0"/>
      <w:marTop w:val="0"/>
      <w:marBottom w:val="0"/>
      <w:divBdr>
        <w:top w:val="none" w:sz="0" w:space="0" w:color="auto"/>
        <w:left w:val="none" w:sz="0" w:space="0" w:color="auto"/>
        <w:bottom w:val="none" w:sz="0" w:space="0" w:color="auto"/>
        <w:right w:val="none" w:sz="0" w:space="0" w:color="auto"/>
      </w:divBdr>
    </w:div>
    <w:div w:id="692998589">
      <w:bodyDiv w:val="1"/>
      <w:marLeft w:val="0"/>
      <w:marRight w:val="0"/>
      <w:marTop w:val="0"/>
      <w:marBottom w:val="0"/>
      <w:divBdr>
        <w:top w:val="none" w:sz="0" w:space="0" w:color="auto"/>
        <w:left w:val="none" w:sz="0" w:space="0" w:color="auto"/>
        <w:bottom w:val="none" w:sz="0" w:space="0" w:color="auto"/>
        <w:right w:val="none" w:sz="0" w:space="0" w:color="auto"/>
      </w:divBdr>
    </w:div>
    <w:div w:id="889848237">
      <w:bodyDiv w:val="1"/>
      <w:marLeft w:val="0"/>
      <w:marRight w:val="0"/>
      <w:marTop w:val="0"/>
      <w:marBottom w:val="0"/>
      <w:divBdr>
        <w:top w:val="none" w:sz="0" w:space="0" w:color="auto"/>
        <w:left w:val="none" w:sz="0" w:space="0" w:color="auto"/>
        <w:bottom w:val="none" w:sz="0" w:space="0" w:color="auto"/>
        <w:right w:val="none" w:sz="0" w:space="0" w:color="auto"/>
      </w:divBdr>
    </w:div>
    <w:div w:id="1336768141">
      <w:bodyDiv w:val="1"/>
      <w:marLeft w:val="0"/>
      <w:marRight w:val="0"/>
      <w:marTop w:val="0"/>
      <w:marBottom w:val="0"/>
      <w:divBdr>
        <w:top w:val="none" w:sz="0" w:space="0" w:color="auto"/>
        <w:left w:val="none" w:sz="0" w:space="0" w:color="auto"/>
        <w:bottom w:val="none" w:sz="0" w:space="0" w:color="auto"/>
        <w:right w:val="none" w:sz="0" w:space="0" w:color="auto"/>
      </w:divBdr>
    </w:div>
    <w:div w:id="1385720107">
      <w:bodyDiv w:val="1"/>
      <w:marLeft w:val="0"/>
      <w:marRight w:val="0"/>
      <w:marTop w:val="0"/>
      <w:marBottom w:val="0"/>
      <w:divBdr>
        <w:top w:val="none" w:sz="0" w:space="0" w:color="auto"/>
        <w:left w:val="none" w:sz="0" w:space="0" w:color="auto"/>
        <w:bottom w:val="none" w:sz="0" w:space="0" w:color="auto"/>
        <w:right w:val="none" w:sz="0" w:space="0" w:color="auto"/>
      </w:divBdr>
    </w:div>
    <w:div w:id="1607419185">
      <w:bodyDiv w:val="1"/>
      <w:marLeft w:val="0"/>
      <w:marRight w:val="0"/>
      <w:marTop w:val="0"/>
      <w:marBottom w:val="0"/>
      <w:divBdr>
        <w:top w:val="none" w:sz="0" w:space="0" w:color="auto"/>
        <w:left w:val="none" w:sz="0" w:space="0" w:color="auto"/>
        <w:bottom w:val="none" w:sz="0" w:space="0" w:color="auto"/>
        <w:right w:val="none" w:sz="0" w:space="0" w:color="auto"/>
      </w:divBdr>
    </w:div>
    <w:div w:id="1675262156">
      <w:bodyDiv w:val="1"/>
      <w:marLeft w:val="0"/>
      <w:marRight w:val="0"/>
      <w:marTop w:val="0"/>
      <w:marBottom w:val="0"/>
      <w:divBdr>
        <w:top w:val="none" w:sz="0" w:space="0" w:color="auto"/>
        <w:left w:val="none" w:sz="0" w:space="0" w:color="auto"/>
        <w:bottom w:val="none" w:sz="0" w:space="0" w:color="auto"/>
        <w:right w:val="none" w:sz="0" w:space="0" w:color="auto"/>
      </w:divBdr>
    </w:div>
    <w:div w:id="1767188401">
      <w:bodyDiv w:val="1"/>
      <w:marLeft w:val="0"/>
      <w:marRight w:val="0"/>
      <w:marTop w:val="0"/>
      <w:marBottom w:val="0"/>
      <w:divBdr>
        <w:top w:val="none" w:sz="0" w:space="0" w:color="auto"/>
        <w:left w:val="none" w:sz="0" w:space="0" w:color="auto"/>
        <w:bottom w:val="none" w:sz="0" w:space="0" w:color="auto"/>
        <w:right w:val="none" w:sz="0" w:space="0" w:color="auto"/>
      </w:divBdr>
    </w:div>
    <w:div w:id="2011063482">
      <w:bodyDiv w:val="1"/>
      <w:marLeft w:val="0"/>
      <w:marRight w:val="0"/>
      <w:marTop w:val="0"/>
      <w:marBottom w:val="0"/>
      <w:divBdr>
        <w:top w:val="none" w:sz="0" w:space="0" w:color="auto"/>
        <w:left w:val="none" w:sz="0" w:space="0" w:color="auto"/>
        <w:bottom w:val="none" w:sz="0" w:space="0" w:color="auto"/>
        <w:right w:val="none" w:sz="0" w:space="0" w:color="auto"/>
      </w:divBdr>
    </w:div>
    <w:div w:id="20596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p-mop-09/cp-mop-09-dec-13-fr.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10/cp-mop-10-dec-10-fr.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13E5511BB84B98AFFDB1154431C6D7"/>
        <w:category>
          <w:name w:val="General"/>
          <w:gallery w:val="placeholder"/>
        </w:category>
        <w:types>
          <w:type w:val="bbPlcHdr"/>
        </w:types>
        <w:behaviors>
          <w:behavior w:val="content"/>
        </w:behaviors>
        <w:guid w:val="{20A14D42-A7CC-48D3-89E5-FC6F9D14B4EC}"/>
      </w:docPartPr>
      <w:docPartBody>
        <w:p w:rsidR="00223604" w:rsidRDefault="00471A9F">
          <w:pPr>
            <w:pStyle w:val="AE13E5511BB84B98AFFDB1154431C6D7"/>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E3"/>
    <w:rsid w:val="00014BC4"/>
    <w:rsid w:val="000A364B"/>
    <w:rsid w:val="000F6199"/>
    <w:rsid w:val="00223604"/>
    <w:rsid w:val="00226CB9"/>
    <w:rsid w:val="00243259"/>
    <w:rsid w:val="003214CB"/>
    <w:rsid w:val="0034584C"/>
    <w:rsid w:val="003748F5"/>
    <w:rsid w:val="00396E38"/>
    <w:rsid w:val="00471A9F"/>
    <w:rsid w:val="00584F94"/>
    <w:rsid w:val="005B1EBC"/>
    <w:rsid w:val="005C3388"/>
    <w:rsid w:val="005E653D"/>
    <w:rsid w:val="00690D6F"/>
    <w:rsid w:val="00740A35"/>
    <w:rsid w:val="0078761C"/>
    <w:rsid w:val="007D7039"/>
    <w:rsid w:val="007E009A"/>
    <w:rsid w:val="00825438"/>
    <w:rsid w:val="008307C4"/>
    <w:rsid w:val="00835651"/>
    <w:rsid w:val="008608A2"/>
    <w:rsid w:val="008A50AA"/>
    <w:rsid w:val="009163A3"/>
    <w:rsid w:val="0093637B"/>
    <w:rsid w:val="00994CA2"/>
    <w:rsid w:val="00A059E3"/>
    <w:rsid w:val="00A126C4"/>
    <w:rsid w:val="00A14322"/>
    <w:rsid w:val="00A248DB"/>
    <w:rsid w:val="00AA083A"/>
    <w:rsid w:val="00B16B83"/>
    <w:rsid w:val="00B2427B"/>
    <w:rsid w:val="00B24F51"/>
    <w:rsid w:val="00BD5809"/>
    <w:rsid w:val="00C04715"/>
    <w:rsid w:val="00C24CC4"/>
    <w:rsid w:val="00C556B2"/>
    <w:rsid w:val="00D66CEC"/>
    <w:rsid w:val="00DC6692"/>
    <w:rsid w:val="00E15AE6"/>
    <w:rsid w:val="00E2316B"/>
    <w:rsid w:val="00E55718"/>
    <w:rsid w:val="00E74CD0"/>
    <w:rsid w:val="00F10E4C"/>
    <w:rsid w:val="00FF28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F94"/>
    <w:rPr>
      <w:color w:val="808080"/>
    </w:rPr>
  </w:style>
  <w:style w:type="paragraph" w:customStyle="1" w:styleId="AE13E5511BB84B98AFFDB1154431C6D7">
    <w:name w:val="AE13E5511BB84B98AFFDB1154431C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Veronique Lefebvre</DisplayName>
        <AccountId>25</AccountId>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F003D1E8-D880-49DF-BD05-C25B8FECA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1811</Words>
  <Characters>10251</Characters>
  <Application>Microsoft Office Word</Application>
  <DocSecurity>0</DocSecurity>
  <Lines>186</Lines>
  <Paragraphs>94</Paragraphs>
  <ScaleCrop>false</ScaleCrop>
  <HeadingPairs>
    <vt:vector size="2" baseType="variant">
      <vt:variant>
        <vt:lpstr>Title</vt:lpstr>
      </vt:variant>
      <vt:variant>
        <vt:i4>1</vt:i4>
      </vt:variant>
    </vt:vector>
  </HeadingPairs>
  <TitlesOfParts>
    <vt:vector size="1" baseType="lpstr">
      <vt:lpstr>Risk assessment and risk management</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26/5.	Évaluation et gestion des risques</dc:title>
  <dc:subject>CBD/SBSTTA/REC/26/5</dc:subject>
  <dc:creator>Secretariat of the Convention on Biological Diversity</dc:creator>
  <cp:keywords/>
  <dc:description/>
  <cp:lastModifiedBy>Francois Belanger</cp:lastModifiedBy>
  <cp:revision>20</cp:revision>
  <cp:lastPrinted>2024-05-16T10:20:00Z</cp:lastPrinted>
  <dcterms:created xsi:type="dcterms:W3CDTF">2024-05-18T14:44:00Z</dcterms:created>
  <dcterms:modified xsi:type="dcterms:W3CDTF">2024-06-28T23:29:00Z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