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528"/>
      </w:tblGrid>
      <w:tr w:rsidR="00A96B21" w:rsidRPr="00032789" w14:paraId="47FA2BC1" w14:textId="77777777" w:rsidTr="00CA3050">
        <w:trPr>
          <w:trHeight w:val="851"/>
        </w:trPr>
        <w:tc>
          <w:tcPr>
            <w:tcW w:w="472" w:type="pct"/>
            <w:tcBorders>
              <w:bottom w:val="single" w:sz="8" w:space="0" w:color="auto"/>
            </w:tcBorders>
            <w:vAlign w:val="bottom"/>
          </w:tcPr>
          <w:p w14:paraId="1D1C8DEC" w14:textId="60561DCF" w:rsidR="00A96B21" w:rsidRPr="00032789" w:rsidRDefault="00A96B21" w:rsidP="00B60E5F">
            <w:pPr>
              <w:spacing w:after="120"/>
              <w:jc w:val="left"/>
            </w:pPr>
            <w:bookmarkStart w:id="0" w:name="_Hlk137651738"/>
            <w:r>
              <w:rPr>
                <w:noProof/>
              </w:rPr>
              <w:drawing>
                <wp:inline distT="0" distB="0" distL="0" distR="0" wp14:anchorId="5BAE8B41" wp14:editId="5221158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6B7D6974" w14:textId="7D272341" w:rsidR="00A96B21" w:rsidRPr="00032789" w:rsidRDefault="00583675" w:rsidP="00B60E5F">
            <w:pPr>
              <w:spacing w:after="120"/>
              <w:jc w:val="left"/>
            </w:pPr>
            <w:r w:rsidRPr="00583675">
              <w:rPr>
                <w:noProof/>
                <w14:ligatures w14:val="standardContextual"/>
              </w:rPr>
              <w:drawing>
                <wp:inline distT="0" distB="0" distL="0" distR="0" wp14:anchorId="61808154" wp14:editId="66D26574">
                  <wp:extent cx="611015" cy="349151"/>
                  <wp:effectExtent l="0" t="0" r="0" b="0"/>
                  <wp:docPr id="8592162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1621"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71" w:type="pct"/>
            <w:tcBorders>
              <w:bottom w:val="single" w:sz="8" w:space="0" w:color="auto"/>
            </w:tcBorders>
            <w:vAlign w:val="bottom"/>
          </w:tcPr>
          <w:p w14:paraId="4543755C" w14:textId="7DFEC435" w:rsidR="00A96B21" w:rsidRPr="00032789" w:rsidRDefault="00A96B21" w:rsidP="00184909">
            <w:pPr>
              <w:spacing w:after="120"/>
              <w:ind w:left="2021"/>
              <w:jc w:val="right"/>
              <w:rPr>
                <w:szCs w:val="22"/>
              </w:rPr>
            </w:pPr>
            <w:r>
              <w:rPr>
                <w:sz w:val="40"/>
              </w:rPr>
              <w:t>CBD</w:t>
            </w:r>
            <w:r>
              <w:t>/SBSTTA/REC/25/5</w:t>
            </w:r>
          </w:p>
        </w:tc>
      </w:tr>
      <w:tr w:rsidR="00A96B21" w:rsidRPr="00032789" w14:paraId="0F8BCA1B" w14:textId="77777777" w:rsidTr="00CA3050">
        <w:tc>
          <w:tcPr>
            <w:tcW w:w="2329" w:type="pct"/>
            <w:gridSpan w:val="2"/>
            <w:tcBorders>
              <w:top w:val="single" w:sz="8" w:space="0" w:color="auto"/>
              <w:bottom w:val="single" w:sz="12" w:space="0" w:color="auto"/>
            </w:tcBorders>
          </w:tcPr>
          <w:p w14:paraId="636D6314" w14:textId="4C699004" w:rsidR="00A96B21" w:rsidRPr="00032789" w:rsidRDefault="00583675" w:rsidP="00B60E5F">
            <w:pPr>
              <w:pStyle w:val="Cornernotation"/>
              <w:suppressLineNumbers/>
              <w:suppressAutoHyphens/>
              <w:spacing w:before="120" w:after="120"/>
              <w:ind w:right="0"/>
            </w:pPr>
            <w:r>
              <w:rPr>
                <w:noProof/>
                <w14:ligatures w14:val="standardContextual"/>
              </w:rPr>
              <w:drawing>
                <wp:inline distT="0" distB="0" distL="0" distR="0" wp14:anchorId="08C6D5F4" wp14:editId="4C7E66CF">
                  <wp:extent cx="2901948" cy="1066892"/>
                  <wp:effectExtent l="0" t="0" r="0" b="0"/>
                  <wp:docPr id="84022576"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22576"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71" w:type="pct"/>
            <w:tcBorders>
              <w:top w:val="single" w:sz="8" w:space="0" w:color="auto"/>
              <w:bottom w:val="single" w:sz="12" w:space="0" w:color="auto"/>
            </w:tcBorders>
          </w:tcPr>
          <w:p w14:paraId="767ED98B" w14:textId="31BA2B9A" w:rsidR="00A96B21" w:rsidRPr="00032789" w:rsidRDefault="00A96B21" w:rsidP="003C6F10">
            <w:pPr>
              <w:ind w:left="2584"/>
              <w:rPr>
                <w:sz w:val="22"/>
                <w:szCs w:val="22"/>
              </w:rPr>
            </w:pPr>
            <w:r>
              <w:rPr>
                <w:sz w:val="22"/>
              </w:rPr>
              <w:t xml:space="preserve">Distr. </w:t>
            </w:r>
            <w:r w:rsidRPr="00EE6394">
              <w:rPr>
                <w:caps/>
                <w:sz w:val="22"/>
              </w:rPr>
              <w:t>g</w:t>
            </w:r>
            <w:r>
              <w:rPr>
                <w:sz w:val="22"/>
              </w:rPr>
              <w:t>eneral</w:t>
            </w:r>
          </w:p>
          <w:p w14:paraId="7B6C9D2F" w14:textId="4E2780A5" w:rsidR="00A96B21" w:rsidRPr="00032789" w:rsidRDefault="00924AEA" w:rsidP="003C6F10">
            <w:pPr>
              <w:ind w:left="2584"/>
              <w:rPr>
                <w:sz w:val="22"/>
                <w:szCs w:val="22"/>
              </w:rPr>
            </w:pPr>
            <w:r>
              <w:rPr>
                <w:sz w:val="22"/>
              </w:rPr>
              <w:t>19 de octubre de 2023</w:t>
            </w:r>
          </w:p>
          <w:p w14:paraId="10D6FF4D" w14:textId="77777777" w:rsidR="00A96B21" w:rsidRPr="00032789" w:rsidRDefault="00A96B21" w:rsidP="003C6F10">
            <w:pPr>
              <w:ind w:left="2584"/>
              <w:rPr>
                <w:sz w:val="22"/>
                <w:szCs w:val="22"/>
              </w:rPr>
            </w:pPr>
          </w:p>
          <w:p w14:paraId="5E5ABB7C" w14:textId="77777777" w:rsidR="00583675" w:rsidRDefault="00A96B21" w:rsidP="003C6F10">
            <w:pPr>
              <w:ind w:left="2584"/>
              <w:rPr>
                <w:sz w:val="22"/>
              </w:rPr>
            </w:pPr>
            <w:r>
              <w:rPr>
                <w:sz w:val="22"/>
              </w:rPr>
              <w:t>Español</w:t>
            </w:r>
          </w:p>
          <w:p w14:paraId="230CDDC1" w14:textId="36FB3631" w:rsidR="00A96B21" w:rsidRPr="00032789" w:rsidRDefault="00A96B21" w:rsidP="003C6F10">
            <w:pPr>
              <w:ind w:left="2584"/>
              <w:rPr>
                <w:sz w:val="22"/>
                <w:szCs w:val="22"/>
              </w:rPr>
            </w:pPr>
            <w:r>
              <w:rPr>
                <w:sz w:val="22"/>
              </w:rPr>
              <w:t>Original: inglés</w:t>
            </w:r>
          </w:p>
          <w:p w14:paraId="3FA3F21B" w14:textId="77777777" w:rsidR="00A96B21" w:rsidRPr="00032789" w:rsidRDefault="00A96B21" w:rsidP="00B60E5F"/>
        </w:tc>
      </w:tr>
    </w:tbl>
    <w:p w14:paraId="00D52E8D" w14:textId="77777777" w:rsidR="00874541" w:rsidRPr="00032789" w:rsidRDefault="00BF60B0" w:rsidP="00202BFD">
      <w:pPr>
        <w:pStyle w:val="Cornernotation"/>
        <w:ind w:right="5249"/>
        <w:rPr>
          <w:bCs/>
        </w:rPr>
      </w:pPr>
      <w:r>
        <w:t>Órgano Subsidiario de Asesoramiento Científico, Técnico y Tecnológico</w:t>
      </w:r>
    </w:p>
    <w:p w14:paraId="0D67884E" w14:textId="77777777" w:rsidR="00A96B21" w:rsidRPr="00032789" w:rsidRDefault="00D163F5" w:rsidP="00A96B21">
      <w:pPr>
        <w:pStyle w:val="Cornernotation"/>
        <w:rPr>
          <w:bCs/>
          <w:sz w:val="22"/>
          <w:szCs w:val="22"/>
        </w:rPr>
      </w:pPr>
      <w:r>
        <w:rPr>
          <w:sz w:val="22"/>
        </w:rPr>
        <w:t xml:space="preserve">25ª reunión </w:t>
      </w:r>
    </w:p>
    <w:p w14:paraId="57E4CAD6" w14:textId="78EFE65C" w:rsidR="00A96B21" w:rsidRPr="00032789" w:rsidRDefault="00435A96" w:rsidP="00A96B21">
      <w:pPr>
        <w:pStyle w:val="Venuedate"/>
      </w:pPr>
      <w:r>
        <w:t>Nairobi, 15 a 19</w:t>
      </w:r>
      <w:r w:rsidR="001B4748">
        <w:t> </w:t>
      </w:r>
      <w:r>
        <w:t>de octubre de 2023</w:t>
      </w:r>
    </w:p>
    <w:p w14:paraId="7F46696A" w14:textId="207119BF" w:rsidR="00A96B21" w:rsidRPr="00032789" w:rsidRDefault="008032A6" w:rsidP="00A96B21">
      <w:pPr>
        <w:pStyle w:val="Cornernotation-Item"/>
        <w:rPr>
          <w:b w:val="0"/>
          <w:bCs w:val="0"/>
        </w:rPr>
      </w:pPr>
      <w:r>
        <w:rPr>
          <w:b w:val="0"/>
        </w:rPr>
        <w:t>Tema 4 del programa</w:t>
      </w:r>
    </w:p>
    <w:p w14:paraId="4B46FECB" w14:textId="1023C770" w:rsidR="00A96B21" w:rsidRDefault="00A713BC" w:rsidP="00CA3050">
      <w:pPr>
        <w:pStyle w:val="Cornernotation-Item"/>
        <w:ind w:right="3264"/>
      </w:pPr>
      <w:r>
        <w:t>Conclusiones de las evaluaciones realizadas por la Plataforma Intergubernamental Científico-Normativa sobre Diversidad Biológica y Servicios de los Ecosistemas y el Grupo Intergubernamental de Expertos sobre el Cambio Climático y sus repercusiones en la labor realizada en el contexto del Convenio</w:t>
      </w:r>
    </w:p>
    <w:p w14:paraId="1907B4EF" w14:textId="3A23F4F3" w:rsidR="00754410" w:rsidRPr="004E315F" w:rsidRDefault="00754410" w:rsidP="00BD6A48">
      <w:pPr>
        <w:pStyle w:val="Title"/>
        <w:jc w:val="left"/>
        <w:rPr>
          <w:rFonts w:hint="eastAsia"/>
        </w:rPr>
      </w:pPr>
      <w:r>
        <w:t>Recomendación adoptada por el Órgano Subsidiario de Asesoramiento Científico, Técnico y Tecnológico el 19 de octubre de 2023</w:t>
      </w:r>
    </w:p>
    <w:p w14:paraId="7A2601E2" w14:textId="08BE8DA1" w:rsidR="00682118" w:rsidRPr="00BD6A48" w:rsidRDefault="00754410" w:rsidP="0044682C">
      <w:pPr>
        <w:pStyle w:val="Heading2"/>
        <w:ind w:right="146" w:firstLine="0"/>
        <w:jc w:val="left"/>
        <w:rPr>
          <w:sz w:val="28"/>
          <w:szCs w:val="28"/>
        </w:rPr>
      </w:pPr>
      <w:r>
        <w:t>25/5.</w:t>
      </w:r>
      <w:r>
        <w:tab/>
      </w:r>
      <w:bookmarkEnd w:id="0"/>
      <w:r>
        <w:rPr>
          <w:sz w:val="28"/>
        </w:rPr>
        <w:t xml:space="preserve">Revisión de las conclusiones del informe de evaluación titulado </w:t>
      </w:r>
      <w:r>
        <w:rPr>
          <w:i/>
          <w:iCs/>
          <w:sz w:val="28"/>
        </w:rPr>
        <w:t>The Methodological Assessment Report on the Diverse Values and Valuation of Nature</w:t>
      </w:r>
      <w:r>
        <w:rPr>
          <w:sz w:val="28"/>
        </w:rPr>
        <w:t xml:space="preserve"> de la Plataforma Intergubernamental Científico-Normativa sobre Diversidad Biológica y Servicios de los Ecosistemas y sus repercusiones en la labor realizada en el contexto del Convenio</w:t>
      </w:r>
    </w:p>
    <w:p w14:paraId="2D820E80" w14:textId="524500CC" w:rsidR="00377242" w:rsidRPr="00032789" w:rsidRDefault="00D55BFB" w:rsidP="00D55BFB">
      <w:pPr>
        <w:pStyle w:val="Para1"/>
        <w:numPr>
          <w:ilvl w:val="0"/>
          <w:numId w:val="0"/>
        </w:numPr>
        <w:ind w:left="562"/>
      </w:pPr>
      <w:r>
        <w:tab/>
        <w:t>El Órgano Subsidiario recomienda que, en su 16ª reunión, la Conferencia de las Partes adopte una decisión del siguiente tenor:</w:t>
      </w:r>
    </w:p>
    <w:p w14:paraId="151CFD2A" w14:textId="77777777" w:rsidR="00C36099" w:rsidRPr="00032789" w:rsidRDefault="00C36099" w:rsidP="006D76A0">
      <w:pPr>
        <w:pStyle w:val="Para1"/>
        <w:numPr>
          <w:ilvl w:val="0"/>
          <w:numId w:val="0"/>
        </w:numPr>
        <w:ind w:left="562"/>
        <w:sectPr w:rsidR="00C36099" w:rsidRPr="00032789" w:rsidSect="00DF271B">
          <w:headerReference w:type="even" r:id="rId14"/>
          <w:headerReference w:type="default" r:id="rId15"/>
          <w:footerReference w:type="even" r:id="rId16"/>
          <w:footerReference w:type="default" r:id="rId17"/>
          <w:type w:val="continuous"/>
          <w:pgSz w:w="12240" w:h="15840"/>
          <w:pgMar w:top="1134" w:right="1440" w:bottom="1134" w:left="1440" w:header="709" w:footer="709" w:gutter="0"/>
          <w:cols w:space="708"/>
          <w:titlePg/>
          <w:docGrid w:linePitch="360"/>
        </w:sectPr>
      </w:pPr>
    </w:p>
    <w:p w14:paraId="6A0431CD" w14:textId="2A271A64" w:rsidR="00107753" w:rsidRPr="00032789" w:rsidRDefault="002B0AB1" w:rsidP="006D76A0">
      <w:pPr>
        <w:pStyle w:val="Para1"/>
        <w:numPr>
          <w:ilvl w:val="0"/>
          <w:numId w:val="0"/>
        </w:numPr>
        <w:ind w:left="562"/>
      </w:pPr>
      <w:r>
        <w:tab/>
      </w:r>
      <w:r>
        <w:rPr>
          <w:i/>
        </w:rPr>
        <w:t>La Conferencia de las Partes</w:t>
      </w:r>
      <w:r>
        <w:t>,</w:t>
      </w:r>
    </w:p>
    <w:p w14:paraId="4E087EBD" w14:textId="4F62151F" w:rsidR="00003213" w:rsidRPr="00032789" w:rsidRDefault="00AC7FCB" w:rsidP="006D76A0">
      <w:pPr>
        <w:pStyle w:val="Para1"/>
        <w:numPr>
          <w:ilvl w:val="0"/>
          <w:numId w:val="0"/>
        </w:numPr>
        <w:ind w:left="562"/>
        <w:rPr>
          <w:i/>
          <w:iCs/>
        </w:rPr>
      </w:pPr>
      <w:r>
        <w:rPr>
          <w:i/>
        </w:rPr>
        <w:tab/>
        <w:t>Recordando</w:t>
      </w:r>
      <w:r>
        <w:t xml:space="preserve"> el preámbulo del Convenio sobre la Diversidad Biológica</w:t>
      </w:r>
      <w:r w:rsidR="00E51EF4" w:rsidRPr="00032789">
        <w:rPr>
          <w:rStyle w:val="FootnoteReference"/>
        </w:rPr>
        <w:footnoteReference w:id="2"/>
      </w:r>
      <w:r>
        <w:t>, en el que las Partes reconocen que son conscientes del valor intrínseco de la diversidad biológica y de los valores ecológicos, genéticos, sociales, económicos, científicos, educativos, culturales, recreativos y estéticos de la diversidad biológica y sus componentes,</w:t>
      </w:r>
    </w:p>
    <w:p w14:paraId="0C716C35" w14:textId="275D2D3F" w:rsidR="00274BF9" w:rsidRPr="00032789" w:rsidRDefault="00003213" w:rsidP="006D76A0">
      <w:pPr>
        <w:pStyle w:val="Para1"/>
        <w:numPr>
          <w:ilvl w:val="0"/>
          <w:numId w:val="0"/>
        </w:numPr>
        <w:ind w:left="562"/>
      </w:pPr>
      <w:r>
        <w:rPr>
          <w:i/>
        </w:rPr>
        <w:tab/>
        <w:t xml:space="preserve">Recordando también </w:t>
      </w:r>
      <w:r>
        <w:t>su</w:t>
      </w:r>
      <w:r>
        <w:rPr>
          <w:i/>
        </w:rPr>
        <w:t xml:space="preserve"> </w:t>
      </w:r>
      <w:r>
        <w:t>decisión </w:t>
      </w:r>
      <w:hyperlink r:id="rId18" w:history="1">
        <w:r>
          <w:rPr>
            <w:rStyle w:val="Hyperlink"/>
          </w:rPr>
          <w:t>15/19</w:t>
        </w:r>
      </w:hyperlink>
      <w:r>
        <w:t>, de 19 de diciembre de 2022,</w:t>
      </w:r>
    </w:p>
    <w:p w14:paraId="5849AD8F" w14:textId="18E4CAE5" w:rsidR="000F7276" w:rsidRPr="00032789" w:rsidRDefault="00AC7FCB" w:rsidP="006D76A0">
      <w:pPr>
        <w:pStyle w:val="Para1"/>
        <w:numPr>
          <w:ilvl w:val="0"/>
          <w:numId w:val="0"/>
        </w:numPr>
        <w:ind w:left="562"/>
      </w:pPr>
      <w:r>
        <w:rPr>
          <w:i/>
        </w:rPr>
        <w:tab/>
        <w:t xml:space="preserve">Poniendo de relieve </w:t>
      </w:r>
      <w:r>
        <w:t>el hecho de que en el Marco Mundial de Biodiversidad de Kunming‑Montreal</w:t>
      </w:r>
      <w:r w:rsidR="00C36099" w:rsidRPr="00032789">
        <w:rPr>
          <w:rStyle w:val="FootnoteReference"/>
        </w:rPr>
        <w:footnoteReference w:id="3"/>
      </w:r>
      <w:r>
        <w:t xml:space="preserve"> se reconocen y tienen en cuenta como parte integral de la implementación satisfactoria del Marco los diversos sistemas de valores y conceptos, incluidos, para aquellos países que los reconocen, los derechos de la naturaleza y los derechos de la Madre Tierra,</w:t>
      </w:r>
    </w:p>
    <w:p w14:paraId="570573B1" w14:textId="7D431A46" w:rsidR="000F7276" w:rsidRPr="00032789" w:rsidRDefault="00AC7FCB" w:rsidP="006D76A0">
      <w:pPr>
        <w:pStyle w:val="Para1"/>
        <w:numPr>
          <w:ilvl w:val="0"/>
          <w:numId w:val="0"/>
        </w:numPr>
        <w:ind w:left="562"/>
      </w:pPr>
      <w:r>
        <w:rPr>
          <w:i/>
        </w:rPr>
        <w:lastRenderedPageBreak/>
        <w:tab/>
        <w:t>Poniendo de relieve también</w:t>
      </w:r>
      <w:r>
        <w:t xml:space="preserve"> que la meta 14 del Marco requiere la integración plena de la biodiversidad y sus múltiples valores en la toma de decisiones en todos los niveles y todos los sectores,</w:t>
      </w:r>
    </w:p>
    <w:p w14:paraId="77EDD4D0" w14:textId="152F096E" w:rsidR="000F7276" w:rsidRPr="00032789" w:rsidRDefault="00700482" w:rsidP="00CA3050">
      <w:pPr>
        <w:pStyle w:val="Para1"/>
        <w:numPr>
          <w:ilvl w:val="0"/>
          <w:numId w:val="0"/>
        </w:numPr>
        <w:tabs>
          <w:tab w:val="clear" w:pos="1134"/>
          <w:tab w:val="left" w:pos="1701"/>
        </w:tabs>
        <w:ind w:left="567" w:firstLine="567"/>
      </w:pPr>
      <w:r>
        <w:t>1.</w:t>
      </w:r>
      <w:r>
        <w:tab/>
      </w:r>
      <w:r>
        <w:rPr>
          <w:i/>
        </w:rPr>
        <w:t xml:space="preserve">Acoge </w:t>
      </w:r>
      <w:r>
        <w:t>[</w:t>
      </w:r>
      <w:r>
        <w:rPr>
          <w:i/>
        </w:rPr>
        <w:t>con satisfacción</w:t>
      </w:r>
      <w:r>
        <w:t>] [</w:t>
      </w:r>
      <w:r>
        <w:rPr>
          <w:i/>
          <w:iCs/>
        </w:rPr>
        <w:t>con aprecio</w:t>
      </w:r>
      <w:r>
        <w:t xml:space="preserve">] el informe de evaluación titulado </w:t>
      </w:r>
      <w:r>
        <w:rPr>
          <w:i/>
          <w:iCs/>
        </w:rPr>
        <w:t>The Methodological Assessment Report on the Diverse Values and Valuation of Nature</w:t>
      </w:r>
      <w:r>
        <w:t xml:space="preserve"> (Informe de la evaluación temática de los diversos valores y valoración de la naturaleza) de la Plataforma Intergubernamental Científico-Normativa sobre Diversidad Biológica y Servicios de los Ecosistemas</w:t>
      </w:r>
      <w:r w:rsidR="00283BDD" w:rsidRPr="00032789">
        <w:rPr>
          <w:rStyle w:val="FootnoteReference"/>
        </w:rPr>
        <w:footnoteReference w:id="4"/>
      </w:r>
      <w:r>
        <w:t>, incluido el resumen para los encargados de la formulación de políticas [y sus mensajes principales], aprobado por el Plenario de la Plataforma Intergubernamental Científico-Normativa sobre Diversidad Biológica y Servicios de los Ecosistemas en su noveno período de sesiones;</w:t>
      </w:r>
    </w:p>
    <w:p w14:paraId="754173A7" w14:textId="2AFD74C4" w:rsidR="000F7276" w:rsidRPr="00FF342F" w:rsidRDefault="00700482" w:rsidP="00CA3050">
      <w:pPr>
        <w:pStyle w:val="Para1"/>
        <w:numPr>
          <w:ilvl w:val="0"/>
          <w:numId w:val="0"/>
        </w:numPr>
        <w:tabs>
          <w:tab w:val="clear" w:pos="1134"/>
          <w:tab w:val="left" w:pos="1701"/>
        </w:tabs>
        <w:ind w:left="567" w:firstLine="567"/>
      </w:pPr>
      <w:r>
        <w:t>2.</w:t>
      </w:r>
      <w:r>
        <w:tab/>
      </w:r>
      <w:r>
        <w:rPr>
          <w:i/>
        </w:rPr>
        <w:t>Observa</w:t>
      </w:r>
      <w:r>
        <w:t xml:space="preserve"> la pertinencia de las conclusiones de la evaluación, que plantea la necesidad de reconocer y tener en cuenta la integración de diversos sistemas de conocimientos y valores, métodos de valoración y conceptos y cosmovisiones de la naturaleza en los procesos de formulación de políticas y toma de decisiones a fin de potenciar un cambio transformador hacia futuros sostenibles y justos para las personas y la naturaleza y, por lo tanto, su pertinencia para la implementación del Marco Mundial de Biodiversidad de Kunming‑Montreal adoptado por el Convenio sobre la Diversidad Biológica, incluida la consecución de sus objetivos y metas y la Visión de la Diversidad Biológica para 2050</w:t>
      </w:r>
      <w:r w:rsidR="009F4B34">
        <w:rPr>
          <w:rStyle w:val="FootnoteReference"/>
        </w:rPr>
        <w:footnoteReference w:id="5"/>
      </w:r>
      <w:r>
        <w:t>, y la Agenda 2030 para el Desarrollo Sostenible</w:t>
      </w:r>
      <w:r w:rsidR="00672947" w:rsidRPr="00FF342F">
        <w:rPr>
          <w:rStyle w:val="FootnoteReference"/>
        </w:rPr>
        <w:footnoteReference w:id="6"/>
      </w:r>
      <w:r>
        <w:t>;</w:t>
      </w:r>
    </w:p>
    <w:p w14:paraId="5AC84649" w14:textId="3C9BB3F6" w:rsidR="000F7276" w:rsidRPr="00032789" w:rsidRDefault="00554827" w:rsidP="00CA3050">
      <w:pPr>
        <w:pStyle w:val="Para1"/>
        <w:numPr>
          <w:ilvl w:val="0"/>
          <w:numId w:val="0"/>
        </w:numPr>
        <w:tabs>
          <w:tab w:val="clear" w:pos="1134"/>
          <w:tab w:val="left" w:pos="1701"/>
        </w:tabs>
        <w:ind w:left="567" w:firstLine="567"/>
      </w:pPr>
      <w:r>
        <w:t>[3.</w:t>
      </w:r>
      <w:r>
        <w:tab/>
        <w:t>[</w:t>
      </w:r>
      <w:r>
        <w:rPr>
          <w:i/>
          <w:iCs/>
        </w:rPr>
        <w:t>Acoge con satisfacción</w:t>
      </w:r>
      <w:r>
        <w:t>] [</w:t>
      </w:r>
      <w:r>
        <w:rPr>
          <w:i/>
          <w:iCs/>
        </w:rPr>
        <w:t>Hace suyos</w:t>
      </w:r>
      <w:r>
        <w:t>] los mensajes principales contenidos en el resumen para los encargados de la formulación de políticas de la evaluación</w:t>
      </w:r>
      <w:r w:rsidR="006A4BE5" w:rsidRPr="00FF342F">
        <w:rPr>
          <w:rStyle w:val="FootnoteReference"/>
        </w:rPr>
        <w:footnoteReference w:id="7"/>
      </w:r>
      <w:r>
        <w:t>;]</w:t>
      </w:r>
    </w:p>
    <w:p w14:paraId="45CBDDB6" w14:textId="205DA843" w:rsidR="003B64A8" w:rsidRPr="00032789" w:rsidRDefault="00700482" w:rsidP="00BA0461">
      <w:pPr>
        <w:pStyle w:val="Para1"/>
        <w:numPr>
          <w:ilvl w:val="0"/>
          <w:numId w:val="0"/>
        </w:numPr>
        <w:tabs>
          <w:tab w:val="clear" w:pos="1134"/>
          <w:tab w:val="left" w:pos="1701"/>
        </w:tabs>
        <w:ind w:left="567" w:firstLine="567"/>
        <w:rPr>
          <w:szCs w:val="22"/>
        </w:rPr>
      </w:pPr>
      <w:r>
        <w:t>4.</w:t>
      </w:r>
      <w:r>
        <w:tab/>
      </w:r>
      <w:r>
        <w:rPr>
          <w:i/>
        </w:rPr>
        <w:t>Reconoce</w:t>
      </w:r>
      <w:r>
        <w:t xml:space="preserve"> la pertinencia de la evaluación como una aportación importante para la puesta en práctica del programa de trabajo sobre la aplicación del artículo 8 j) y otras disposiciones del Convenio</w:t>
      </w:r>
      <w:r w:rsidR="00602D3B" w:rsidRPr="00032789">
        <w:rPr>
          <w:rStyle w:val="FootnoteReference"/>
        </w:rPr>
        <w:footnoteReference w:id="8"/>
      </w:r>
      <w:r>
        <w:rPr>
          <w:vertAlign w:val="superscript"/>
        </w:rPr>
        <w:t>,</w:t>
      </w:r>
      <w:r w:rsidR="00B2335B" w:rsidRPr="00032789">
        <w:rPr>
          <w:rStyle w:val="FootnoteReference"/>
        </w:rPr>
        <w:footnoteReference w:id="9"/>
      </w:r>
      <w:r>
        <w:t xml:space="preserve"> y el Programa de Trabajo Conjunto sobre los Vínculos entre la Diversidad Biológica y la Diversidad Cultural</w:t>
      </w:r>
      <w:r w:rsidR="00D9214C" w:rsidRPr="00032789">
        <w:rPr>
          <w:rStyle w:val="FootnoteReference"/>
        </w:rPr>
        <w:footnoteReference w:id="10"/>
      </w:r>
      <w:r>
        <w:t xml:space="preserve">; </w:t>
      </w:r>
    </w:p>
    <w:p w14:paraId="06A2DB6E" w14:textId="749C52AA" w:rsidR="000F7276" w:rsidRPr="00032789" w:rsidRDefault="00700482" w:rsidP="005D2432">
      <w:pPr>
        <w:pStyle w:val="Para1"/>
        <w:numPr>
          <w:ilvl w:val="0"/>
          <w:numId w:val="0"/>
        </w:numPr>
        <w:tabs>
          <w:tab w:val="clear" w:pos="1134"/>
          <w:tab w:val="left" w:pos="1701"/>
        </w:tabs>
        <w:ind w:left="567" w:firstLine="567"/>
      </w:pPr>
      <w:r>
        <w:t>5.</w:t>
      </w:r>
      <w:r>
        <w:tab/>
      </w:r>
      <w:r>
        <w:rPr>
          <w:i/>
        </w:rPr>
        <w:t>Alienta</w:t>
      </w:r>
      <w:r>
        <w:t xml:space="preserve"> a las Partes, otros Gobiernos en todos los niveles, organizaciones pertinentes, pueblos indígenas y comunidades locales e interesados a utilizar, según proceda, la información contenida en la evaluación para la aplicación del Convenio y la implementación del Marco, incluido en la planificación, el seguimiento, la presentación de informes y la revisión, entre otras formas, mediante la actualización y revisión de las estrategias y planes de acción nacionales en materia de biodiversidad, y en la preparación del séptimo informe nacional y los informes nacionales subsiguientes;</w:t>
      </w:r>
    </w:p>
    <w:p w14:paraId="22F64111" w14:textId="35B7DD5A" w:rsidR="000F7276" w:rsidRPr="00BD6A48" w:rsidRDefault="00700482" w:rsidP="00CA3050">
      <w:pPr>
        <w:pStyle w:val="Para1"/>
        <w:numPr>
          <w:ilvl w:val="0"/>
          <w:numId w:val="0"/>
        </w:numPr>
        <w:tabs>
          <w:tab w:val="clear" w:pos="1134"/>
          <w:tab w:val="left" w:pos="1701"/>
        </w:tabs>
        <w:ind w:left="567" w:firstLine="567"/>
      </w:pPr>
      <w:r>
        <w:t>6.</w:t>
      </w:r>
      <w:r>
        <w:tab/>
      </w:r>
      <w:r>
        <w:rPr>
          <w:i/>
        </w:rPr>
        <w:t>Alienta</w:t>
      </w:r>
      <w:r>
        <w:t xml:space="preserve"> a las Partes a desarrollar capacidades, según proceda, para tomar en cuenta y considerar las conclusiones de la evaluación en procesos de implementación nacional pertinentes, incluido el empleo de las metodologías propuestas para medir los progresos en la implementación nacional, e insta a las Partes que son países desarrollados, otras Partes y otros Gobiernos que estén en condiciones de hacerlo, así como a organizaciones pertinentes, a prestar apoyo a los países en desarrollo a este respecto, entre otras formas, mediante creación de capacidad, financiación y transferencia de tecnología; </w:t>
      </w:r>
    </w:p>
    <w:p w14:paraId="5C2ADC5A" w14:textId="428AFEB3" w:rsidR="000F7276" w:rsidRPr="00032789" w:rsidRDefault="00700482" w:rsidP="00CA3050">
      <w:pPr>
        <w:pStyle w:val="Para1"/>
        <w:numPr>
          <w:ilvl w:val="0"/>
          <w:numId w:val="0"/>
        </w:numPr>
        <w:tabs>
          <w:tab w:val="clear" w:pos="1134"/>
          <w:tab w:val="left" w:pos="1701"/>
        </w:tabs>
        <w:ind w:left="567" w:firstLine="567"/>
      </w:pPr>
      <w:r>
        <w:lastRenderedPageBreak/>
        <w:t>7.</w:t>
      </w:r>
      <w:r>
        <w:tab/>
      </w:r>
      <w:r>
        <w:rPr>
          <w:i/>
        </w:rPr>
        <w:t>Alienta también</w:t>
      </w:r>
      <w:r>
        <w:t xml:space="preserve"> a las Partes, según sus necesidades, capacidades y circunstancias nacionales, y de acuerdo con las obligaciones internacionales pertinentes, a adoptar medidas, según proceda, para lo siguiente:</w:t>
      </w:r>
    </w:p>
    <w:p w14:paraId="735444DB" w14:textId="4A6DB155" w:rsidR="000F7276" w:rsidRPr="00032789" w:rsidRDefault="00700482" w:rsidP="00CB0AD8">
      <w:pPr>
        <w:pStyle w:val="Para2"/>
        <w:numPr>
          <w:ilvl w:val="0"/>
          <w:numId w:val="0"/>
        </w:numPr>
        <w:ind w:left="567" w:firstLine="567"/>
      </w:pPr>
      <w:r>
        <w:t>a)</w:t>
      </w:r>
      <w:r>
        <w:tab/>
        <w:t>Abordar los diversos valores de la naturaleza en procesos de valoración en curso y nuevos, entre otras cosas, como parte de evaluaciones de los ecosistemas, reconociendo al mismo tiempo que, dada la diversidad de los contextos sociales, económicos y ecológicos, no hay un método de valoración único, y que los métodos de valoración disponibles pueden adaptarse para abordar las diferentes realidades locales;</w:t>
      </w:r>
    </w:p>
    <w:p w14:paraId="02E26F70" w14:textId="49D75D3D" w:rsidR="000F7276" w:rsidRPr="00032789" w:rsidRDefault="00700482" w:rsidP="00CA3050">
      <w:pPr>
        <w:pStyle w:val="Para2"/>
        <w:numPr>
          <w:ilvl w:val="0"/>
          <w:numId w:val="0"/>
        </w:numPr>
        <w:ind w:left="634" w:firstLine="500"/>
      </w:pPr>
      <w:r>
        <w:t>b)</w:t>
      </w:r>
      <w:r>
        <w:tab/>
        <w:t>Incluir de manera significativa los diversos valores intrínsecos, relacionales e instrumentales de la naturaleza en la toma de decisiones;</w:t>
      </w:r>
    </w:p>
    <w:p w14:paraId="13F92670" w14:textId="45A048A7" w:rsidR="000F7276" w:rsidRPr="00FF342F" w:rsidRDefault="00711D60" w:rsidP="00CA3050">
      <w:pPr>
        <w:pStyle w:val="Para2"/>
        <w:numPr>
          <w:ilvl w:val="0"/>
          <w:numId w:val="0"/>
        </w:numPr>
        <w:ind w:left="634" w:firstLine="500"/>
      </w:pPr>
      <w:r>
        <w:t>[c)</w:t>
      </w:r>
      <w:r>
        <w:tab/>
        <w:t>Reformar políticas e instituciones, y las normas y objetivos sociales en los que se sustentan, a efectos de internalizar los diversos valores intrínsecos, relacionales e instrumentales de la naturaleza y articularlos con los objetivos mundiales de sostenibilidad y justicia ambiental a través de un proceso gradual a mediano y largo plazo;]</w:t>
      </w:r>
    </w:p>
    <w:p w14:paraId="7F07B320" w14:textId="7E1000C5" w:rsidR="00EC02D1" w:rsidRPr="007523BB" w:rsidRDefault="0021784A" w:rsidP="00CA3050">
      <w:pPr>
        <w:pStyle w:val="Para2"/>
        <w:numPr>
          <w:ilvl w:val="0"/>
          <w:numId w:val="0"/>
        </w:numPr>
        <w:ind w:left="634" w:firstLine="500"/>
      </w:pPr>
      <w:r>
        <w:t>[c)</w:t>
      </w:r>
      <w:r w:rsidR="00583675">
        <w:t> Alt.</w:t>
      </w:r>
      <w:r>
        <w:tab/>
        <w:t>Apoyar procesos participativos para promover diversas vías de sostenibilidad;]</w:t>
      </w:r>
    </w:p>
    <w:p w14:paraId="0EB383B0" w14:textId="75BCCB6F" w:rsidR="00C85A8C" w:rsidRPr="0098513A" w:rsidRDefault="00B2335B" w:rsidP="00CB0AD8">
      <w:pPr>
        <w:tabs>
          <w:tab w:val="left" w:pos="1701"/>
        </w:tabs>
        <w:ind w:left="630" w:firstLine="495"/>
        <w:textAlignment w:val="baseline"/>
        <w:rPr>
          <w:rFonts w:asciiTheme="majorBidi" w:hAnsiTheme="majorBidi" w:cstheme="majorBidi"/>
          <w:szCs w:val="22"/>
        </w:rPr>
      </w:pPr>
      <w:r>
        <w:t>d)</w:t>
      </w:r>
      <w:r>
        <w:tab/>
        <w:t>Considerar la posibilidad de realizar una evaluación de diversos valores cuando se elaboren medidas tendientes a apoyar la consecución de la meta 14 del Marco;</w:t>
      </w:r>
    </w:p>
    <w:p w14:paraId="584454E0" w14:textId="207FF546" w:rsidR="000F7276" w:rsidRPr="00032789" w:rsidRDefault="00700482" w:rsidP="00CA3050">
      <w:pPr>
        <w:pStyle w:val="Para1"/>
        <w:numPr>
          <w:ilvl w:val="0"/>
          <w:numId w:val="0"/>
        </w:numPr>
        <w:tabs>
          <w:tab w:val="clear" w:pos="1134"/>
          <w:tab w:val="left" w:pos="1701"/>
        </w:tabs>
        <w:ind w:left="567" w:firstLine="567"/>
      </w:pPr>
      <w:r>
        <w:t>8.</w:t>
      </w:r>
      <w:r>
        <w:tab/>
      </w:r>
      <w:r>
        <w:rPr>
          <w:i/>
        </w:rPr>
        <w:t>Alienta asimismo</w:t>
      </w:r>
      <w:r>
        <w:t xml:space="preserve"> a las Partes e invita a otros Gobiernos a garantizar la participación plena y efectiva de los pueblos indígenas y las comunidades locales, las mujeres y las niñas, la infancia y la juventud y las personas con discapacidad, en consonancia con las metas 22 y 23 del Marco, en la incorporación de los diversos valores intrínsecos, relacionales e instrumentales y perspectivas de la naturaleza y sistemas de conocimientos en la toma de decisiones.</w:t>
      </w:r>
    </w:p>
    <w:p w14:paraId="24CA457B" w14:textId="77777777" w:rsidR="001A0F93" w:rsidRPr="00032789" w:rsidRDefault="001A0F93" w:rsidP="00CA3050">
      <w:pPr>
        <w:pStyle w:val="Para1"/>
        <w:numPr>
          <w:ilvl w:val="0"/>
          <w:numId w:val="0"/>
        </w:numPr>
        <w:tabs>
          <w:tab w:val="clear" w:pos="1134"/>
          <w:tab w:val="left" w:pos="1701"/>
        </w:tabs>
        <w:ind w:left="567" w:firstLine="567"/>
      </w:pPr>
    </w:p>
    <w:p w14:paraId="6CCBA60F" w14:textId="081EFA6E" w:rsidR="002B559C" w:rsidRPr="00032789" w:rsidRDefault="00ED3849" w:rsidP="006D76A0">
      <w:pPr>
        <w:pStyle w:val="Para1"/>
        <w:numPr>
          <w:ilvl w:val="0"/>
          <w:numId w:val="0"/>
        </w:numPr>
        <w:tabs>
          <w:tab w:val="clear" w:pos="1134"/>
        </w:tabs>
        <w:jc w:val="center"/>
      </w:pPr>
      <w:r>
        <w:t>__________</w:t>
      </w:r>
    </w:p>
    <w:sectPr w:rsidR="002B559C" w:rsidRPr="00032789" w:rsidSect="00DF271B">
      <w:headerReference w:type="even" r:id="rId19"/>
      <w:headerReference w:type="default" r:id="rId20"/>
      <w:footerReference w:type="even" r:id="rId21"/>
      <w:footerReference w:type="default" r:id="rId22"/>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7797" w14:textId="77777777" w:rsidR="000317F8" w:rsidRDefault="000317F8" w:rsidP="00A96B21">
      <w:r>
        <w:separator/>
      </w:r>
    </w:p>
  </w:endnote>
  <w:endnote w:type="continuationSeparator" w:id="0">
    <w:p w14:paraId="1B8455FD" w14:textId="77777777" w:rsidR="000317F8" w:rsidRDefault="000317F8" w:rsidP="00A96B21">
      <w:r>
        <w:continuationSeparator/>
      </w:r>
    </w:p>
  </w:endnote>
  <w:endnote w:type="continuationNotice" w:id="1">
    <w:p w14:paraId="383AF039" w14:textId="77777777" w:rsidR="000317F8" w:rsidRDefault="0003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457B" w14:textId="5FF75017"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001F508F">
      <w:rPr>
        <w:sz w:val="20"/>
      </w:rPr>
      <w:t>6</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F508F">
      <w:rPr>
        <w:sz w:val="20"/>
      </w:rPr>
      <w:t>7</w:t>
    </w:r>
    <w:r w:rsidRPr="002B559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042247A" w14:textId="02C66743"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001F508F">
              <w:rPr>
                <w:sz w:val="20"/>
              </w:rPr>
              <w:t>5</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F508F">
              <w:rPr>
                <w:sz w:val="20"/>
              </w:rPr>
              <w:t>7</w:t>
            </w:r>
            <w:r w:rsidRPr="002B559C">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4437" w14:textId="77777777" w:rsidR="00FC3CCF" w:rsidRDefault="00FC3CCF">
    <w:pPr>
      <w:pBdr>
        <w:top w:val="nil"/>
        <w:left w:val="nil"/>
        <w:bottom w:val="nil"/>
        <w:right w:val="nil"/>
        <w:between w:val="nil"/>
      </w:pBdr>
      <w:tabs>
        <w:tab w:val="center" w:pos="4680"/>
        <w:tab w:val="right" w:pos="9360"/>
      </w:tabs>
      <w:rPr>
        <w:color w:val="000000"/>
        <w:szCs w:val="22"/>
      </w:rPr>
    </w:pPr>
    <w:r>
      <w:rPr>
        <w:color w:val="000000"/>
        <w:sz w:val="20"/>
      </w:rPr>
      <w:fldChar w:fldCharType="begin"/>
    </w:r>
    <w:r>
      <w:rPr>
        <w:color w:val="000000"/>
        <w:sz w:val="20"/>
      </w:rPr>
      <w:instrText>PAGE</w:instrText>
    </w:r>
    <w:r>
      <w:rPr>
        <w:color w:val="000000"/>
        <w:sz w:val="20"/>
      </w:rPr>
      <w:fldChar w:fldCharType="separate"/>
    </w:r>
    <w:r>
      <w:rPr>
        <w:color w:val="000000"/>
        <w:sz w:val="20"/>
      </w:rPr>
      <w:t>2</w:t>
    </w:r>
    <w:r>
      <w:rPr>
        <w:color w:val="000000"/>
        <w:sz w:val="20"/>
      </w:rPr>
      <w:fldChar w:fldCharType="end"/>
    </w:r>
    <w:r>
      <w:rPr>
        <w:color w:val="000000"/>
        <w:sz w:val="20"/>
      </w:rPr>
      <w:t>/</w:t>
    </w:r>
    <w:r>
      <w:rPr>
        <w:color w:val="000000"/>
        <w:sz w:val="20"/>
      </w:rPr>
      <w:fldChar w:fldCharType="begin"/>
    </w:r>
    <w:r>
      <w:rPr>
        <w:color w:val="000000"/>
        <w:sz w:val="20"/>
      </w:rPr>
      <w:instrText>NUMPAGES</w:instrText>
    </w:r>
    <w:r>
      <w:rPr>
        <w:color w:val="000000"/>
        <w:sz w:val="20"/>
      </w:rPr>
      <w:fldChar w:fldCharType="separate"/>
    </w:r>
    <w:r>
      <w:rPr>
        <w:color w:val="000000"/>
        <w:sz w:val="20"/>
      </w:rPr>
      <w:t>3</w:t>
    </w:r>
    <w:r>
      <w:rPr>
        <w:color w:val="000000"/>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8346" w14:textId="77777777" w:rsidR="00FC3CCF" w:rsidRPr="0046767D" w:rsidRDefault="00FC3CCF" w:rsidP="0046767D">
    <w:pPr>
      <w:pBdr>
        <w:top w:val="nil"/>
        <w:left w:val="nil"/>
        <w:bottom w:val="nil"/>
        <w:right w:val="nil"/>
        <w:between w:val="nil"/>
      </w:pBdr>
      <w:tabs>
        <w:tab w:val="center" w:pos="4680"/>
        <w:tab w:val="right" w:pos="9360"/>
      </w:tabs>
      <w:jc w:val="right"/>
      <w:rPr>
        <w:color w:val="000000"/>
        <w:szCs w:val="22"/>
      </w:rPr>
    </w:pPr>
    <w:r>
      <w:rPr>
        <w:color w:val="000000"/>
        <w:sz w:val="20"/>
      </w:rPr>
      <w:fldChar w:fldCharType="begin"/>
    </w:r>
    <w:r>
      <w:rPr>
        <w:color w:val="000000"/>
        <w:sz w:val="20"/>
      </w:rPr>
      <w:instrText>PAGE</w:instrText>
    </w:r>
    <w:r>
      <w:rPr>
        <w:color w:val="000000"/>
        <w:sz w:val="20"/>
      </w:rPr>
      <w:fldChar w:fldCharType="separate"/>
    </w:r>
    <w:r>
      <w:rPr>
        <w:color w:val="000000"/>
        <w:sz w:val="20"/>
      </w:rPr>
      <w:t>2</w:t>
    </w:r>
    <w:r>
      <w:rPr>
        <w:color w:val="000000"/>
        <w:sz w:val="20"/>
      </w:rPr>
      <w:fldChar w:fldCharType="end"/>
    </w:r>
    <w:r>
      <w:rPr>
        <w:color w:val="000000"/>
        <w:sz w:val="20"/>
      </w:rPr>
      <w:t>/</w:t>
    </w:r>
    <w:r>
      <w:rPr>
        <w:color w:val="000000"/>
        <w:sz w:val="20"/>
      </w:rPr>
      <w:fldChar w:fldCharType="begin"/>
    </w:r>
    <w:r>
      <w:rPr>
        <w:color w:val="000000"/>
        <w:sz w:val="20"/>
      </w:rPr>
      <w:instrText>NUMPAGES</w:instrText>
    </w:r>
    <w:r>
      <w:rPr>
        <w:color w:val="000000"/>
        <w:sz w:val="20"/>
      </w:rPr>
      <w:fldChar w:fldCharType="separate"/>
    </w:r>
    <w:r>
      <w:rPr>
        <w:color w:val="000000"/>
        <w:sz w:val="20"/>
      </w:rPr>
      <w:t>9</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0B6D" w14:textId="77777777" w:rsidR="000317F8" w:rsidRDefault="000317F8" w:rsidP="00A96B21">
      <w:r>
        <w:separator/>
      </w:r>
    </w:p>
  </w:footnote>
  <w:footnote w:type="continuationSeparator" w:id="0">
    <w:p w14:paraId="7185E488" w14:textId="77777777" w:rsidR="000317F8" w:rsidRDefault="000317F8" w:rsidP="00A96B21">
      <w:r>
        <w:continuationSeparator/>
      </w:r>
    </w:p>
  </w:footnote>
  <w:footnote w:type="continuationNotice" w:id="1">
    <w:p w14:paraId="00AE83FA" w14:textId="77777777" w:rsidR="000317F8" w:rsidRDefault="000317F8"/>
  </w:footnote>
  <w:footnote w:id="2">
    <w:p w14:paraId="3342E643" w14:textId="1564A1AC" w:rsidR="00E51EF4" w:rsidRPr="00CB0AD8" w:rsidRDefault="00E51EF4">
      <w:pPr>
        <w:pStyle w:val="FootnoteText"/>
        <w:rPr>
          <w:sz w:val="18"/>
          <w:szCs w:val="18"/>
        </w:rPr>
      </w:pPr>
      <w:r>
        <w:rPr>
          <w:rStyle w:val="FootnoteReference"/>
        </w:rPr>
        <w:footnoteRef/>
      </w:r>
      <w:r>
        <w:t xml:space="preserve"> </w:t>
      </w:r>
      <w:r>
        <w:rPr>
          <w:rStyle w:val="ui-provider"/>
          <w:sz w:val="18"/>
        </w:rPr>
        <w:t xml:space="preserve">Naciones Unidas, </w:t>
      </w:r>
      <w:r>
        <w:rPr>
          <w:rStyle w:val="ui-provider"/>
          <w:i/>
          <w:sz w:val="18"/>
        </w:rPr>
        <w:t>Treaty Series</w:t>
      </w:r>
      <w:r>
        <w:rPr>
          <w:rStyle w:val="ui-provider"/>
          <w:sz w:val="18"/>
        </w:rPr>
        <w:t>, vol. 1760, núm. 30619.</w:t>
      </w:r>
    </w:p>
  </w:footnote>
  <w:footnote w:id="3">
    <w:p w14:paraId="3A0CA62D" w14:textId="020FDCC1" w:rsidR="00C36099" w:rsidRPr="00BD6A48" w:rsidRDefault="00C36099">
      <w:pPr>
        <w:pStyle w:val="FootnoteText"/>
      </w:pPr>
      <w:r>
        <w:rPr>
          <w:rStyle w:val="FootnoteReference"/>
        </w:rPr>
        <w:footnoteRef/>
      </w:r>
      <w:r>
        <w:t xml:space="preserve"> </w:t>
      </w:r>
      <w:r>
        <w:rPr>
          <w:sz w:val="18"/>
        </w:rPr>
        <w:t>Decisión </w:t>
      </w:r>
      <w:hyperlink r:id="rId1" w:history="1">
        <w:r>
          <w:rPr>
            <w:rStyle w:val="Hyperlink"/>
            <w:sz w:val="18"/>
          </w:rPr>
          <w:t>15/4</w:t>
        </w:r>
      </w:hyperlink>
      <w:r>
        <w:rPr>
          <w:sz w:val="18"/>
        </w:rPr>
        <w:t>, anexo.</w:t>
      </w:r>
    </w:p>
  </w:footnote>
  <w:footnote w:id="4">
    <w:p w14:paraId="76C755AA" w14:textId="2DDFE4B3" w:rsidR="00283BDD" w:rsidRPr="00BD6A48" w:rsidRDefault="00283BDD">
      <w:pPr>
        <w:pStyle w:val="FootnoteText"/>
        <w:rPr>
          <w:sz w:val="18"/>
          <w:szCs w:val="18"/>
        </w:rPr>
      </w:pPr>
      <w:r>
        <w:rPr>
          <w:rStyle w:val="FootnoteReference"/>
        </w:rPr>
        <w:footnoteRef/>
      </w:r>
      <w:r>
        <w:t xml:space="preserve"> </w:t>
      </w:r>
      <w:r>
        <w:rPr>
          <w:sz w:val="18"/>
        </w:rPr>
        <w:t xml:space="preserve">Patricia Balvanera y otros (eds.), </w:t>
      </w:r>
      <w:r>
        <w:rPr>
          <w:i/>
          <w:sz w:val="18"/>
        </w:rPr>
        <w:t>The</w:t>
      </w:r>
      <w:r>
        <w:rPr>
          <w:sz w:val="18"/>
        </w:rPr>
        <w:t xml:space="preserve"> </w:t>
      </w:r>
      <w:r>
        <w:rPr>
          <w:i/>
          <w:sz w:val="18"/>
        </w:rPr>
        <w:t xml:space="preserve">Methodological Assessment Report on the Diverse Values and Valuation of Nature </w:t>
      </w:r>
      <w:r>
        <w:rPr>
          <w:sz w:val="18"/>
        </w:rPr>
        <w:t>(Bonn [Alemania], Secretaría de la Plataforma Intergubernamental Científico-Normativa sobre Diversidad Biológica y Servicios de los Ecosistemas, 2022).</w:t>
      </w:r>
    </w:p>
  </w:footnote>
  <w:footnote w:id="5">
    <w:p w14:paraId="587548A9" w14:textId="770D592A" w:rsidR="009F4B34" w:rsidRPr="00BD6A48" w:rsidRDefault="009F4B34">
      <w:pPr>
        <w:pStyle w:val="FootnoteText"/>
        <w:rPr>
          <w:sz w:val="18"/>
          <w:szCs w:val="18"/>
        </w:rPr>
      </w:pPr>
      <w:r>
        <w:rPr>
          <w:rStyle w:val="FootnoteReference"/>
          <w:sz w:val="18"/>
          <w:szCs w:val="18"/>
        </w:rPr>
        <w:footnoteRef/>
      </w:r>
      <w:r>
        <w:t xml:space="preserve"> </w:t>
      </w:r>
      <w:r>
        <w:rPr>
          <w:sz w:val="18"/>
        </w:rPr>
        <w:t>Decisión X/2, anexo</w:t>
      </w:r>
      <w:r>
        <w:t>.</w:t>
      </w:r>
    </w:p>
  </w:footnote>
  <w:footnote w:id="6">
    <w:p w14:paraId="4F447230" w14:textId="6CAF4C16" w:rsidR="00672947" w:rsidRPr="00BD6A48" w:rsidRDefault="00672947">
      <w:pPr>
        <w:pStyle w:val="FootnoteText"/>
        <w:rPr>
          <w:sz w:val="18"/>
          <w:szCs w:val="18"/>
        </w:rPr>
      </w:pPr>
      <w:r>
        <w:rPr>
          <w:rStyle w:val="FootnoteReference"/>
          <w:sz w:val="18"/>
          <w:szCs w:val="18"/>
        </w:rPr>
        <w:footnoteRef/>
      </w:r>
      <w:r>
        <w:t xml:space="preserve"> </w:t>
      </w:r>
      <w:r w:rsidRPr="00583675">
        <w:rPr>
          <w:sz w:val="18"/>
          <w:szCs w:val="18"/>
        </w:rPr>
        <w:t>Resolución 70/1 de la Asamblea General</w:t>
      </w:r>
      <w:r>
        <w:t>.</w:t>
      </w:r>
    </w:p>
  </w:footnote>
  <w:footnote w:id="7">
    <w:p w14:paraId="669010E6" w14:textId="0155623A" w:rsidR="006A4BE5" w:rsidRPr="00BD6A48" w:rsidRDefault="006A4BE5" w:rsidP="00E605EE">
      <w:pPr>
        <w:pStyle w:val="FootnoteText"/>
        <w:rPr>
          <w:sz w:val="18"/>
          <w:szCs w:val="18"/>
        </w:rPr>
      </w:pPr>
      <w:r>
        <w:rPr>
          <w:rStyle w:val="FootnoteReference"/>
          <w:sz w:val="18"/>
          <w:szCs w:val="18"/>
        </w:rPr>
        <w:footnoteRef/>
      </w:r>
      <w:r>
        <w:rPr>
          <w:sz w:val="18"/>
        </w:rPr>
        <w:t xml:space="preserve"> Unai Pascual y otros, </w:t>
      </w:r>
      <w:r>
        <w:rPr>
          <w:i/>
          <w:sz w:val="18"/>
        </w:rPr>
        <w:t>The Methodological Assessment Report on the Diverse Values and Valuation of Nature: Summary for Policymakers</w:t>
      </w:r>
      <w:r>
        <w:rPr>
          <w:sz w:val="18"/>
        </w:rPr>
        <w:t xml:space="preserve"> (Bonn [Alemania], Secretaría de la Plataforma Intergubernamental Científico-Normativa sobre Diversidad Biológica y Servicios de los Ecosistemas, 2022).</w:t>
      </w:r>
    </w:p>
  </w:footnote>
  <w:footnote w:id="8">
    <w:p w14:paraId="0776AE75" w14:textId="7282BCE7" w:rsidR="00602D3B" w:rsidRPr="00BD6A48" w:rsidRDefault="00602D3B">
      <w:pPr>
        <w:pStyle w:val="FootnoteText"/>
        <w:rPr>
          <w:sz w:val="18"/>
          <w:szCs w:val="18"/>
        </w:rPr>
      </w:pPr>
      <w:r>
        <w:rPr>
          <w:rStyle w:val="FootnoteReference"/>
          <w:sz w:val="18"/>
          <w:szCs w:val="18"/>
        </w:rPr>
        <w:footnoteRef/>
      </w:r>
      <w:r>
        <w:rPr>
          <w:sz w:val="18"/>
        </w:rPr>
        <w:t xml:space="preserve"> Decisión V/16, anexo.</w:t>
      </w:r>
    </w:p>
  </w:footnote>
  <w:footnote w:id="9">
    <w:p w14:paraId="16285302" w14:textId="6838C3EB" w:rsidR="00B2335B" w:rsidRPr="00BD6A48" w:rsidRDefault="00B2335B">
      <w:pPr>
        <w:pStyle w:val="FootnoteText"/>
        <w:rPr>
          <w:sz w:val="18"/>
          <w:szCs w:val="18"/>
        </w:rPr>
      </w:pPr>
      <w:r>
        <w:rPr>
          <w:rStyle w:val="FootnoteReference"/>
          <w:sz w:val="18"/>
          <w:szCs w:val="18"/>
        </w:rPr>
        <w:footnoteRef/>
      </w:r>
      <w:r>
        <w:rPr>
          <w:sz w:val="18"/>
        </w:rPr>
        <w:t xml:space="preserve"> Sujeto a la consideración del nuevo programa de trabajo por la Conferencia de las Partes en su 16ª reunión</w:t>
      </w:r>
      <w:r>
        <w:t>.</w:t>
      </w:r>
    </w:p>
  </w:footnote>
  <w:footnote w:id="10">
    <w:p w14:paraId="3F016880" w14:textId="7C70F5A0" w:rsidR="00D9214C" w:rsidRPr="00583675" w:rsidRDefault="00D9214C">
      <w:pPr>
        <w:pStyle w:val="FootnoteText"/>
        <w:rPr>
          <w:lang w:val="en-US"/>
        </w:rPr>
      </w:pPr>
      <w:r>
        <w:rPr>
          <w:rStyle w:val="FootnoteReference"/>
          <w:sz w:val="18"/>
          <w:szCs w:val="18"/>
        </w:rPr>
        <w:footnoteRef/>
      </w:r>
      <w:r w:rsidRPr="00583675">
        <w:rPr>
          <w:lang w:val="en-US"/>
        </w:rPr>
        <w:t xml:space="preserve"> UNEP/CBD/COP/10/INF/3, </w:t>
      </w:r>
      <w:proofErr w:type="spellStart"/>
      <w:r w:rsidRPr="00583675">
        <w:rPr>
          <w:lang w:val="en-US"/>
        </w:rPr>
        <w:t>anexo</w:t>
      </w:r>
      <w:proofErr w:type="spellEnd"/>
      <w:r w:rsidRPr="00583675">
        <w:rPr>
          <w:lang w:val="en-US"/>
        </w:rPr>
        <w:t xml:space="preserv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49879A3A" w14:textId="2503BA83" w:rsidR="002B559C" w:rsidRPr="00107753" w:rsidRDefault="00EE6394" w:rsidP="002B559C">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74D75" w:rsidRPr="002B210A">
          <w:rPr>
            <w:sz w:val="20"/>
            <w:szCs w:val="20"/>
          </w:rPr>
          <w:t>CBD/SBSTTA/25/</w:t>
        </w:r>
        <w:r w:rsidR="00860380">
          <w:rPr>
            <w:sz w:val="20"/>
            <w:szCs w:val="20"/>
          </w:rPr>
          <w:t>CRP.xx</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48312FA" w14:textId="52D78C65" w:rsidR="002B559C" w:rsidRPr="002B559C" w:rsidRDefault="00860380" w:rsidP="002B559C">
        <w:pPr>
          <w:pStyle w:val="Header"/>
          <w:pBdr>
            <w:bottom w:val="single" w:sz="4" w:space="1" w:color="auto"/>
          </w:pBdr>
          <w:spacing w:after="240"/>
          <w:jc w:val="right"/>
          <w:rPr>
            <w:sz w:val="20"/>
            <w:szCs w:val="20"/>
            <w:lang w:val="fr-FR"/>
          </w:rPr>
        </w:pPr>
        <w:r>
          <w:rPr>
            <w:sz w:val="20"/>
            <w:szCs w:val="20"/>
            <w:lang w:val="fr-FR"/>
          </w:rPr>
          <w:t>CBD/SBSTTA/25/CRP.xx</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4B6E" w14:textId="008D9A48" w:rsidR="00FC3CCF" w:rsidRPr="006403B8" w:rsidRDefault="00FC3CCF" w:rsidP="006403B8">
    <w:pPr>
      <w:pBdr>
        <w:bottom w:val="single" w:sz="4" w:space="1" w:color="auto"/>
      </w:pBdr>
      <w:spacing w:after="240"/>
      <w:jc w:val="left"/>
      <w:rPr>
        <w:sz w:val="20"/>
        <w:szCs w:val="20"/>
      </w:rPr>
    </w:pPr>
    <w:r>
      <w:rPr>
        <w:sz w:val="20"/>
      </w:rPr>
      <w:t>CBD/SBSTTA/REC/25/5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81B" w14:textId="53645F39" w:rsidR="00FC3CCF" w:rsidRPr="006403B8" w:rsidRDefault="00FC3CCF" w:rsidP="006403B8">
    <w:pPr>
      <w:pBdr>
        <w:bottom w:val="single" w:sz="4" w:space="1" w:color="auto"/>
      </w:pBdr>
      <w:spacing w:after="240"/>
      <w:jc w:val="right"/>
      <w:rPr>
        <w:sz w:val="20"/>
        <w:szCs w:val="20"/>
      </w:rPr>
    </w:pPr>
    <w:r>
      <w:rPr>
        <w:sz w:val="20"/>
      </w:rPr>
      <w:t>CBD/SBSTTA/REC/25/5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B88"/>
    <w:multiLevelType w:val="hybridMultilevel"/>
    <w:tmpl w:val="E6362CE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1E9B54DC"/>
    <w:multiLevelType w:val="hybridMultilevel"/>
    <w:tmpl w:val="3A646F4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A7298F"/>
    <w:multiLevelType w:val="hybridMultilevel"/>
    <w:tmpl w:val="213C440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180578"/>
    <w:multiLevelType w:val="hybridMultilevel"/>
    <w:tmpl w:val="9FBC5876"/>
    <w:lvl w:ilvl="0" w:tplc="8862B882">
      <w:start w:val="1"/>
      <w:numFmt w:val="lowerLetter"/>
      <w:pStyle w:val="Para2"/>
      <w:lvlText w:val="(%1)"/>
      <w:lvlJc w:val="left"/>
      <w:pPr>
        <w:ind w:left="1692"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start w:val="1"/>
      <w:numFmt w:val="lowerLetter"/>
      <w:lvlText w:val="%2."/>
      <w:lvlJc w:val="left"/>
      <w:pPr>
        <w:ind w:left="3231" w:hanging="360"/>
      </w:pPr>
    </w:lvl>
    <w:lvl w:ilvl="2" w:tplc="1009001B" w:tentative="1">
      <w:start w:val="1"/>
      <w:numFmt w:val="lowerRoman"/>
      <w:lvlText w:val="%3."/>
      <w:lvlJc w:val="right"/>
      <w:pPr>
        <w:ind w:left="3951" w:hanging="180"/>
      </w:pPr>
    </w:lvl>
    <w:lvl w:ilvl="3" w:tplc="1009000F" w:tentative="1">
      <w:start w:val="1"/>
      <w:numFmt w:val="decimal"/>
      <w:lvlText w:val="%4."/>
      <w:lvlJc w:val="left"/>
      <w:pPr>
        <w:ind w:left="4671" w:hanging="360"/>
      </w:pPr>
    </w:lvl>
    <w:lvl w:ilvl="4" w:tplc="10090019" w:tentative="1">
      <w:start w:val="1"/>
      <w:numFmt w:val="lowerLetter"/>
      <w:lvlText w:val="%5."/>
      <w:lvlJc w:val="left"/>
      <w:pPr>
        <w:ind w:left="5391" w:hanging="360"/>
      </w:pPr>
    </w:lvl>
    <w:lvl w:ilvl="5" w:tplc="1009001B" w:tentative="1">
      <w:start w:val="1"/>
      <w:numFmt w:val="lowerRoman"/>
      <w:lvlText w:val="%6."/>
      <w:lvlJc w:val="right"/>
      <w:pPr>
        <w:ind w:left="6111" w:hanging="180"/>
      </w:pPr>
    </w:lvl>
    <w:lvl w:ilvl="6" w:tplc="1009000F" w:tentative="1">
      <w:start w:val="1"/>
      <w:numFmt w:val="decimal"/>
      <w:lvlText w:val="%7."/>
      <w:lvlJc w:val="left"/>
      <w:pPr>
        <w:ind w:left="6831" w:hanging="360"/>
      </w:pPr>
    </w:lvl>
    <w:lvl w:ilvl="7" w:tplc="10090019" w:tentative="1">
      <w:start w:val="1"/>
      <w:numFmt w:val="lowerLetter"/>
      <w:lvlText w:val="%8."/>
      <w:lvlJc w:val="left"/>
      <w:pPr>
        <w:ind w:left="7551" w:hanging="360"/>
      </w:pPr>
    </w:lvl>
    <w:lvl w:ilvl="8" w:tplc="1009001B" w:tentative="1">
      <w:start w:val="1"/>
      <w:numFmt w:val="lowerRoman"/>
      <w:lvlText w:val="%9."/>
      <w:lvlJc w:val="right"/>
      <w:pPr>
        <w:ind w:left="8271" w:hanging="180"/>
      </w:pPr>
    </w:lvl>
  </w:abstractNum>
  <w:abstractNum w:abstractNumId="6" w15:restartNumberingAfterBreak="0">
    <w:nsid w:val="68B70991"/>
    <w:multiLevelType w:val="hybridMultilevel"/>
    <w:tmpl w:val="24F41A30"/>
    <w:lvl w:ilvl="0" w:tplc="05609F32">
      <w:start w:val="1"/>
      <w:numFmt w:val="decimal"/>
      <w:pStyle w:val="Para1"/>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5652784">
    <w:abstractNumId w:val="3"/>
  </w:num>
  <w:num w:numId="2" w16cid:durableId="1033186373">
    <w:abstractNumId w:val="6"/>
  </w:num>
  <w:num w:numId="3" w16cid:durableId="849173690">
    <w:abstractNumId w:val="4"/>
  </w:num>
  <w:num w:numId="4" w16cid:durableId="1035694413">
    <w:abstractNumId w:val="7"/>
  </w:num>
  <w:num w:numId="5" w16cid:durableId="130631794">
    <w:abstractNumId w:val="5"/>
  </w:num>
  <w:num w:numId="6" w16cid:durableId="1604193373">
    <w:abstractNumId w:val="5"/>
    <w:lvlOverride w:ilvl="0">
      <w:startOverride w:val="1"/>
    </w:lvlOverride>
  </w:num>
  <w:num w:numId="7" w16cid:durableId="982545245">
    <w:abstractNumId w:val="7"/>
    <w:lvlOverride w:ilvl="0">
      <w:startOverride w:val="1"/>
    </w:lvlOverride>
  </w:num>
  <w:num w:numId="8" w16cid:durableId="643779829">
    <w:abstractNumId w:val="0"/>
  </w:num>
  <w:num w:numId="9" w16cid:durableId="346491794">
    <w:abstractNumId w:val="2"/>
  </w:num>
  <w:num w:numId="10" w16cid:durableId="1385375316">
    <w:abstractNumId w:val="1"/>
  </w:num>
  <w:num w:numId="11" w16cid:durableId="1174491755">
    <w:abstractNumId w:val="7"/>
  </w:num>
  <w:num w:numId="12" w16cid:durableId="1275483011">
    <w:abstractNumId w:val="6"/>
    <w:lvlOverride w:ilvl="0">
      <w:startOverride w:val="1"/>
    </w:lvlOverride>
  </w:num>
  <w:num w:numId="13" w16cid:durableId="222063551">
    <w:abstractNumId w:val="6"/>
    <w:lvlOverride w:ilvl="0">
      <w:startOverride w:val="1"/>
    </w:lvlOverride>
  </w:num>
  <w:num w:numId="14" w16cid:durableId="47384347">
    <w:abstractNumId w:val="5"/>
    <w:lvlOverride w:ilvl="0">
      <w:startOverride w:val="1"/>
    </w:lvlOverride>
  </w:num>
  <w:num w:numId="15" w16cid:durableId="2826749">
    <w:abstractNumId w:val="6"/>
  </w:num>
  <w:num w:numId="16" w16cid:durableId="993488813">
    <w:abstractNumId w:val="6"/>
  </w:num>
  <w:num w:numId="17" w16cid:durableId="1139347153">
    <w:abstractNumId w:val="6"/>
  </w:num>
  <w:num w:numId="18" w16cid:durableId="1758207790">
    <w:abstractNumId w:val="6"/>
  </w:num>
  <w:num w:numId="19" w16cid:durableId="752245905">
    <w:abstractNumId w:val="6"/>
  </w:num>
  <w:num w:numId="20" w16cid:durableId="886335554">
    <w:abstractNumId w:val="6"/>
  </w:num>
  <w:num w:numId="21" w16cid:durableId="1164709105">
    <w:abstractNumId w:val="6"/>
  </w:num>
  <w:num w:numId="22" w16cid:durableId="689721422">
    <w:abstractNumId w:val="6"/>
  </w:num>
  <w:num w:numId="23" w16cid:durableId="1527209447">
    <w:abstractNumId w:val="7"/>
  </w:num>
  <w:num w:numId="24" w16cid:durableId="1222592901">
    <w:abstractNumId w:val="7"/>
  </w:num>
  <w:num w:numId="25" w16cid:durableId="1306735418">
    <w:abstractNumId w:val="7"/>
  </w:num>
  <w:num w:numId="26" w16cid:durableId="1158036649">
    <w:abstractNumId w:val="7"/>
  </w:num>
  <w:num w:numId="27" w16cid:durableId="514155024">
    <w:abstractNumId w:val="7"/>
    <w:lvlOverride w:ilvl="0">
      <w:startOverride w:val="1"/>
    </w:lvlOverride>
  </w:num>
  <w:num w:numId="28" w16cid:durableId="1969357510">
    <w:abstractNumId w:val="6"/>
  </w:num>
  <w:num w:numId="29" w16cid:durableId="767235065">
    <w:abstractNumId w:val="6"/>
  </w:num>
  <w:num w:numId="30" w16cid:durableId="154342444">
    <w:abstractNumId w:val="6"/>
  </w:num>
  <w:num w:numId="31" w16cid:durableId="925263176">
    <w:abstractNumId w:val="6"/>
  </w:num>
  <w:num w:numId="32" w16cid:durableId="1419323344">
    <w:abstractNumId w:val="6"/>
  </w:num>
  <w:num w:numId="33" w16cid:durableId="1408455836">
    <w:abstractNumId w:val="6"/>
  </w:num>
  <w:num w:numId="34" w16cid:durableId="1574194090">
    <w:abstractNumId w:val="6"/>
  </w:num>
  <w:num w:numId="35" w16cid:durableId="1463310224">
    <w:abstractNumId w:val="6"/>
  </w:num>
  <w:num w:numId="36" w16cid:durableId="1876582045">
    <w:abstractNumId w:val="6"/>
  </w:num>
  <w:num w:numId="37" w16cid:durableId="1809278202">
    <w:abstractNumId w:val="5"/>
    <w:lvlOverride w:ilvl="0">
      <w:startOverride w:val="1"/>
    </w:lvlOverride>
  </w:num>
  <w:num w:numId="38" w16cid:durableId="16926487">
    <w:abstractNumId w:val="5"/>
  </w:num>
  <w:num w:numId="39" w16cid:durableId="1964380756">
    <w:abstractNumId w:val="5"/>
  </w:num>
  <w:num w:numId="40" w16cid:durableId="1404180713">
    <w:abstractNumId w:val="6"/>
  </w:num>
  <w:num w:numId="41" w16cid:durableId="815948917">
    <w:abstractNumId w:val="6"/>
  </w:num>
  <w:num w:numId="42" w16cid:durableId="212660997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es-ES" w:vendorID="64" w:dllVersion="4096"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2tDQxNTEwtTQ3MjRS0lEKTi0uzszPAykwMqsFAPbsDKgtAAAA"/>
  </w:docVars>
  <w:rsids>
    <w:rsidRoot w:val="00107753"/>
    <w:rsid w:val="00001BC9"/>
    <w:rsid w:val="00001CD4"/>
    <w:rsid w:val="00002E96"/>
    <w:rsid w:val="00003213"/>
    <w:rsid w:val="000042CE"/>
    <w:rsid w:val="0000514E"/>
    <w:rsid w:val="000129FE"/>
    <w:rsid w:val="000139E1"/>
    <w:rsid w:val="00014310"/>
    <w:rsid w:val="0002629A"/>
    <w:rsid w:val="000317F8"/>
    <w:rsid w:val="00031946"/>
    <w:rsid w:val="00032789"/>
    <w:rsid w:val="00035EB8"/>
    <w:rsid w:val="00035EE5"/>
    <w:rsid w:val="00040440"/>
    <w:rsid w:val="00040598"/>
    <w:rsid w:val="00041A60"/>
    <w:rsid w:val="00043FB8"/>
    <w:rsid w:val="00044DE4"/>
    <w:rsid w:val="00046CC4"/>
    <w:rsid w:val="000500AF"/>
    <w:rsid w:val="00052186"/>
    <w:rsid w:val="00054FD7"/>
    <w:rsid w:val="000621AB"/>
    <w:rsid w:val="0006480E"/>
    <w:rsid w:val="0006535A"/>
    <w:rsid w:val="00067193"/>
    <w:rsid w:val="00070C0E"/>
    <w:rsid w:val="0007513B"/>
    <w:rsid w:val="00075A40"/>
    <w:rsid w:val="00075FD4"/>
    <w:rsid w:val="00077069"/>
    <w:rsid w:val="000773B9"/>
    <w:rsid w:val="000774B5"/>
    <w:rsid w:val="00080D0B"/>
    <w:rsid w:val="000811DB"/>
    <w:rsid w:val="00084C49"/>
    <w:rsid w:val="000853CA"/>
    <w:rsid w:val="000862F9"/>
    <w:rsid w:val="00087275"/>
    <w:rsid w:val="000901F6"/>
    <w:rsid w:val="0009155C"/>
    <w:rsid w:val="00092BE3"/>
    <w:rsid w:val="00093CF6"/>
    <w:rsid w:val="00094623"/>
    <w:rsid w:val="0009610A"/>
    <w:rsid w:val="000A4965"/>
    <w:rsid w:val="000B0688"/>
    <w:rsid w:val="000B1F0E"/>
    <w:rsid w:val="000B2FFA"/>
    <w:rsid w:val="000B7A57"/>
    <w:rsid w:val="000C0484"/>
    <w:rsid w:val="000C1332"/>
    <w:rsid w:val="000C1BB3"/>
    <w:rsid w:val="000C4658"/>
    <w:rsid w:val="000C6719"/>
    <w:rsid w:val="000C6F3F"/>
    <w:rsid w:val="000D22C2"/>
    <w:rsid w:val="000D50A6"/>
    <w:rsid w:val="000D54E5"/>
    <w:rsid w:val="000E0AE4"/>
    <w:rsid w:val="000E28D2"/>
    <w:rsid w:val="000E5499"/>
    <w:rsid w:val="000F1588"/>
    <w:rsid w:val="000F2321"/>
    <w:rsid w:val="000F5E7B"/>
    <w:rsid w:val="000F6EA8"/>
    <w:rsid w:val="000F7276"/>
    <w:rsid w:val="001023D6"/>
    <w:rsid w:val="00103EE6"/>
    <w:rsid w:val="0010710C"/>
    <w:rsid w:val="00107273"/>
    <w:rsid w:val="00107753"/>
    <w:rsid w:val="00107FE2"/>
    <w:rsid w:val="001111BA"/>
    <w:rsid w:val="00111C78"/>
    <w:rsid w:val="00114E25"/>
    <w:rsid w:val="00114FDD"/>
    <w:rsid w:val="0011799B"/>
    <w:rsid w:val="00120B35"/>
    <w:rsid w:val="00120CDE"/>
    <w:rsid w:val="00124FE6"/>
    <w:rsid w:val="001256DD"/>
    <w:rsid w:val="00125C66"/>
    <w:rsid w:val="00130352"/>
    <w:rsid w:val="00130D03"/>
    <w:rsid w:val="00131B62"/>
    <w:rsid w:val="00131E46"/>
    <w:rsid w:val="00132581"/>
    <w:rsid w:val="001325FE"/>
    <w:rsid w:val="00133104"/>
    <w:rsid w:val="00133670"/>
    <w:rsid w:val="00133A1A"/>
    <w:rsid w:val="00134220"/>
    <w:rsid w:val="00137867"/>
    <w:rsid w:val="001439CC"/>
    <w:rsid w:val="00143BE1"/>
    <w:rsid w:val="00146D57"/>
    <w:rsid w:val="00150F01"/>
    <w:rsid w:val="00151365"/>
    <w:rsid w:val="001525BA"/>
    <w:rsid w:val="001564D9"/>
    <w:rsid w:val="00157475"/>
    <w:rsid w:val="00157FF1"/>
    <w:rsid w:val="001614DB"/>
    <w:rsid w:val="001620F5"/>
    <w:rsid w:val="0016630B"/>
    <w:rsid w:val="00166390"/>
    <w:rsid w:val="0016674D"/>
    <w:rsid w:val="0017159E"/>
    <w:rsid w:val="00172756"/>
    <w:rsid w:val="001733DA"/>
    <w:rsid w:val="0017630E"/>
    <w:rsid w:val="00181B4B"/>
    <w:rsid w:val="00182155"/>
    <w:rsid w:val="00184909"/>
    <w:rsid w:val="00185BA5"/>
    <w:rsid w:val="00186581"/>
    <w:rsid w:val="00187153"/>
    <w:rsid w:val="001879FF"/>
    <w:rsid w:val="00190F12"/>
    <w:rsid w:val="00193D9A"/>
    <w:rsid w:val="00193E7A"/>
    <w:rsid w:val="00196157"/>
    <w:rsid w:val="001978B0"/>
    <w:rsid w:val="001A0C38"/>
    <w:rsid w:val="001A0F93"/>
    <w:rsid w:val="001A67FA"/>
    <w:rsid w:val="001B00DF"/>
    <w:rsid w:val="001B1EE8"/>
    <w:rsid w:val="001B2673"/>
    <w:rsid w:val="001B28A9"/>
    <w:rsid w:val="001B4748"/>
    <w:rsid w:val="001B4CEF"/>
    <w:rsid w:val="001B6478"/>
    <w:rsid w:val="001B7C6F"/>
    <w:rsid w:val="001C0768"/>
    <w:rsid w:val="001C08DB"/>
    <w:rsid w:val="001C675F"/>
    <w:rsid w:val="001D0792"/>
    <w:rsid w:val="001D1CE1"/>
    <w:rsid w:val="001D27AE"/>
    <w:rsid w:val="001D4C42"/>
    <w:rsid w:val="001E1987"/>
    <w:rsid w:val="001E514D"/>
    <w:rsid w:val="001E5D8B"/>
    <w:rsid w:val="001F0033"/>
    <w:rsid w:val="001F3EE7"/>
    <w:rsid w:val="001F47E2"/>
    <w:rsid w:val="001F508F"/>
    <w:rsid w:val="001F73EE"/>
    <w:rsid w:val="00202BFD"/>
    <w:rsid w:val="00204DE9"/>
    <w:rsid w:val="002056E1"/>
    <w:rsid w:val="00205D6F"/>
    <w:rsid w:val="0020673A"/>
    <w:rsid w:val="00211881"/>
    <w:rsid w:val="002140F9"/>
    <w:rsid w:val="0021539C"/>
    <w:rsid w:val="0021784A"/>
    <w:rsid w:val="00220415"/>
    <w:rsid w:val="00221028"/>
    <w:rsid w:val="0022172D"/>
    <w:rsid w:val="00227DED"/>
    <w:rsid w:val="00231C2C"/>
    <w:rsid w:val="0023309E"/>
    <w:rsid w:val="00233F70"/>
    <w:rsid w:val="00234E12"/>
    <w:rsid w:val="002350AB"/>
    <w:rsid w:val="002370DB"/>
    <w:rsid w:val="0024030D"/>
    <w:rsid w:val="002438FC"/>
    <w:rsid w:val="0024407D"/>
    <w:rsid w:val="00244987"/>
    <w:rsid w:val="00244A99"/>
    <w:rsid w:val="00245736"/>
    <w:rsid w:val="00250DF9"/>
    <w:rsid w:val="00251E4D"/>
    <w:rsid w:val="002668BE"/>
    <w:rsid w:val="002678CC"/>
    <w:rsid w:val="00270E86"/>
    <w:rsid w:val="002721D1"/>
    <w:rsid w:val="00272DF9"/>
    <w:rsid w:val="00273E9E"/>
    <w:rsid w:val="00274BF9"/>
    <w:rsid w:val="0027568E"/>
    <w:rsid w:val="00275EBC"/>
    <w:rsid w:val="00277420"/>
    <w:rsid w:val="00283BDD"/>
    <w:rsid w:val="002853B2"/>
    <w:rsid w:val="00286D90"/>
    <w:rsid w:val="00294945"/>
    <w:rsid w:val="00296EB7"/>
    <w:rsid w:val="002975B4"/>
    <w:rsid w:val="002A25B3"/>
    <w:rsid w:val="002A6B61"/>
    <w:rsid w:val="002B00CA"/>
    <w:rsid w:val="002B0182"/>
    <w:rsid w:val="002B097C"/>
    <w:rsid w:val="002B0AB1"/>
    <w:rsid w:val="002B1508"/>
    <w:rsid w:val="002B166C"/>
    <w:rsid w:val="002B1844"/>
    <w:rsid w:val="002B210A"/>
    <w:rsid w:val="002B33E4"/>
    <w:rsid w:val="002B4EDB"/>
    <w:rsid w:val="002B559C"/>
    <w:rsid w:val="002B71AD"/>
    <w:rsid w:val="002C038D"/>
    <w:rsid w:val="002C0E2A"/>
    <w:rsid w:val="002C0F8B"/>
    <w:rsid w:val="002C1384"/>
    <w:rsid w:val="002C308F"/>
    <w:rsid w:val="002C327D"/>
    <w:rsid w:val="002C5725"/>
    <w:rsid w:val="002C7006"/>
    <w:rsid w:val="002D053B"/>
    <w:rsid w:val="002D1487"/>
    <w:rsid w:val="002D2CBD"/>
    <w:rsid w:val="002D2DFB"/>
    <w:rsid w:val="002D4892"/>
    <w:rsid w:val="002D5B53"/>
    <w:rsid w:val="002E0938"/>
    <w:rsid w:val="002E1A8E"/>
    <w:rsid w:val="002E5277"/>
    <w:rsid w:val="002E5AFA"/>
    <w:rsid w:val="002F09F2"/>
    <w:rsid w:val="002F1146"/>
    <w:rsid w:val="002F1E72"/>
    <w:rsid w:val="002F23B8"/>
    <w:rsid w:val="002F2C78"/>
    <w:rsid w:val="002F4225"/>
    <w:rsid w:val="002F4CA8"/>
    <w:rsid w:val="002F4EE2"/>
    <w:rsid w:val="002F5747"/>
    <w:rsid w:val="002F61E7"/>
    <w:rsid w:val="002F6F2F"/>
    <w:rsid w:val="0030125C"/>
    <w:rsid w:val="00302501"/>
    <w:rsid w:val="0030693D"/>
    <w:rsid w:val="003070E0"/>
    <w:rsid w:val="00310608"/>
    <w:rsid w:val="0031132E"/>
    <w:rsid w:val="00314803"/>
    <w:rsid w:val="003166C4"/>
    <w:rsid w:val="00320196"/>
    <w:rsid w:val="00322208"/>
    <w:rsid w:val="0032277C"/>
    <w:rsid w:val="00323D82"/>
    <w:rsid w:val="00323F22"/>
    <w:rsid w:val="003241DF"/>
    <w:rsid w:val="00325D73"/>
    <w:rsid w:val="003301C6"/>
    <w:rsid w:val="00335B37"/>
    <w:rsid w:val="00346462"/>
    <w:rsid w:val="003476A9"/>
    <w:rsid w:val="00350628"/>
    <w:rsid w:val="00354FA1"/>
    <w:rsid w:val="00357855"/>
    <w:rsid w:val="00357C6D"/>
    <w:rsid w:val="00361E3D"/>
    <w:rsid w:val="00361E5A"/>
    <w:rsid w:val="00363395"/>
    <w:rsid w:val="00363C59"/>
    <w:rsid w:val="003723D2"/>
    <w:rsid w:val="003734D5"/>
    <w:rsid w:val="00373E22"/>
    <w:rsid w:val="00373EA3"/>
    <w:rsid w:val="00374366"/>
    <w:rsid w:val="003746B2"/>
    <w:rsid w:val="00377242"/>
    <w:rsid w:val="00380DA8"/>
    <w:rsid w:val="0038233A"/>
    <w:rsid w:val="0038359E"/>
    <w:rsid w:val="00384E82"/>
    <w:rsid w:val="003859F7"/>
    <w:rsid w:val="00386FCE"/>
    <w:rsid w:val="00387AF9"/>
    <w:rsid w:val="0039062C"/>
    <w:rsid w:val="003A0B74"/>
    <w:rsid w:val="003A5EFE"/>
    <w:rsid w:val="003A6734"/>
    <w:rsid w:val="003B22BF"/>
    <w:rsid w:val="003B4018"/>
    <w:rsid w:val="003B43B6"/>
    <w:rsid w:val="003B4FE5"/>
    <w:rsid w:val="003B6125"/>
    <w:rsid w:val="003B64A8"/>
    <w:rsid w:val="003B6E63"/>
    <w:rsid w:val="003C0CDF"/>
    <w:rsid w:val="003C13C8"/>
    <w:rsid w:val="003C175A"/>
    <w:rsid w:val="003C337F"/>
    <w:rsid w:val="003C3A94"/>
    <w:rsid w:val="003C53C8"/>
    <w:rsid w:val="003C6A14"/>
    <w:rsid w:val="003C6D66"/>
    <w:rsid w:val="003C6E63"/>
    <w:rsid w:val="003C6F10"/>
    <w:rsid w:val="003D0B87"/>
    <w:rsid w:val="003D2D67"/>
    <w:rsid w:val="003D339A"/>
    <w:rsid w:val="003D4890"/>
    <w:rsid w:val="003D4CFC"/>
    <w:rsid w:val="003D504A"/>
    <w:rsid w:val="003D51F3"/>
    <w:rsid w:val="003D6288"/>
    <w:rsid w:val="003D7491"/>
    <w:rsid w:val="003D79C0"/>
    <w:rsid w:val="003E14F8"/>
    <w:rsid w:val="003E2552"/>
    <w:rsid w:val="003E2576"/>
    <w:rsid w:val="003E25C3"/>
    <w:rsid w:val="003E3EDC"/>
    <w:rsid w:val="003E4B43"/>
    <w:rsid w:val="003E7345"/>
    <w:rsid w:val="003F06BB"/>
    <w:rsid w:val="003F090F"/>
    <w:rsid w:val="003F174E"/>
    <w:rsid w:val="003F275D"/>
    <w:rsid w:val="003F3835"/>
    <w:rsid w:val="003F5BF3"/>
    <w:rsid w:val="003F5F64"/>
    <w:rsid w:val="003F6B89"/>
    <w:rsid w:val="003F7628"/>
    <w:rsid w:val="003F790E"/>
    <w:rsid w:val="00401451"/>
    <w:rsid w:val="004026E4"/>
    <w:rsid w:val="004035C9"/>
    <w:rsid w:val="00404A7B"/>
    <w:rsid w:val="0040575E"/>
    <w:rsid w:val="00407788"/>
    <w:rsid w:val="0041084E"/>
    <w:rsid w:val="004114E9"/>
    <w:rsid w:val="00412949"/>
    <w:rsid w:val="00416F8D"/>
    <w:rsid w:val="00417D5E"/>
    <w:rsid w:val="00422D0B"/>
    <w:rsid w:val="00424600"/>
    <w:rsid w:val="004246DB"/>
    <w:rsid w:val="00424F11"/>
    <w:rsid w:val="00425B48"/>
    <w:rsid w:val="004269D6"/>
    <w:rsid w:val="00427B4D"/>
    <w:rsid w:val="00430628"/>
    <w:rsid w:val="00432BAE"/>
    <w:rsid w:val="004335E2"/>
    <w:rsid w:val="00433E48"/>
    <w:rsid w:val="00435A96"/>
    <w:rsid w:val="004370A2"/>
    <w:rsid w:val="00437F23"/>
    <w:rsid w:val="00441C7A"/>
    <w:rsid w:val="0044682C"/>
    <w:rsid w:val="00447627"/>
    <w:rsid w:val="00447FBD"/>
    <w:rsid w:val="0045664F"/>
    <w:rsid w:val="00457F61"/>
    <w:rsid w:val="00460422"/>
    <w:rsid w:val="004610C4"/>
    <w:rsid w:val="00464204"/>
    <w:rsid w:val="00465AF8"/>
    <w:rsid w:val="004666CD"/>
    <w:rsid w:val="004673A5"/>
    <w:rsid w:val="004701EE"/>
    <w:rsid w:val="0047582B"/>
    <w:rsid w:val="004763A2"/>
    <w:rsid w:val="004775FF"/>
    <w:rsid w:val="004807A9"/>
    <w:rsid w:val="0048171E"/>
    <w:rsid w:val="0048269D"/>
    <w:rsid w:val="00482BC0"/>
    <w:rsid w:val="00483AFD"/>
    <w:rsid w:val="004905F0"/>
    <w:rsid w:val="00490C65"/>
    <w:rsid w:val="0049278B"/>
    <w:rsid w:val="00492E35"/>
    <w:rsid w:val="00493B3C"/>
    <w:rsid w:val="00496786"/>
    <w:rsid w:val="004A0897"/>
    <w:rsid w:val="004A2125"/>
    <w:rsid w:val="004A2A2D"/>
    <w:rsid w:val="004A2C42"/>
    <w:rsid w:val="004A4F07"/>
    <w:rsid w:val="004B6288"/>
    <w:rsid w:val="004B6C3C"/>
    <w:rsid w:val="004B6F28"/>
    <w:rsid w:val="004B7073"/>
    <w:rsid w:val="004B7F8F"/>
    <w:rsid w:val="004C099A"/>
    <w:rsid w:val="004C3432"/>
    <w:rsid w:val="004C4E3B"/>
    <w:rsid w:val="004C56E3"/>
    <w:rsid w:val="004C591A"/>
    <w:rsid w:val="004C5DCF"/>
    <w:rsid w:val="004C6AA2"/>
    <w:rsid w:val="004C7BC7"/>
    <w:rsid w:val="004C7E9F"/>
    <w:rsid w:val="004D0EE5"/>
    <w:rsid w:val="004D1FCD"/>
    <w:rsid w:val="004D5178"/>
    <w:rsid w:val="004D5C3C"/>
    <w:rsid w:val="004E0B88"/>
    <w:rsid w:val="004E1D8D"/>
    <w:rsid w:val="004E33B6"/>
    <w:rsid w:val="004E4085"/>
    <w:rsid w:val="004E53BC"/>
    <w:rsid w:val="004E5CC5"/>
    <w:rsid w:val="004E6A0C"/>
    <w:rsid w:val="004F09BA"/>
    <w:rsid w:val="004F1DF7"/>
    <w:rsid w:val="004F2D0B"/>
    <w:rsid w:val="004F3E83"/>
    <w:rsid w:val="004F6448"/>
    <w:rsid w:val="004F7B39"/>
    <w:rsid w:val="005039A7"/>
    <w:rsid w:val="0050511B"/>
    <w:rsid w:val="0050666C"/>
    <w:rsid w:val="00506726"/>
    <w:rsid w:val="005067C1"/>
    <w:rsid w:val="00511789"/>
    <w:rsid w:val="00514065"/>
    <w:rsid w:val="0051479A"/>
    <w:rsid w:val="00515CF7"/>
    <w:rsid w:val="0052168A"/>
    <w:rsid w:val="0052180A"/>
    <w:rsid w:val="005222DD"/>
    <w:rsid w:val="00524390"/>
    <w:rsid w:val="0052484D"/>
    <w:rsid w:val="005255C4"/>
    <w:rsid w:val="0052592D"/>
    <w:rsid w:val="00525B3A"/>
    <w:rsid w:val="0052731B"/>
    <w:rsid w:val="005273EF"/>
    <w:rsid w:val="00527B56"/>
    <w:rsid w:val="005308CA"/>
    <w:rsid w:val="005310C7"/>
    <w:rsid w:val="00532011"/>
    <w:rsid w:val="005348AE"/>
    <w:rsid w:val="0053525B"/>
    <w:rsid w:val="0053594C"/>
    <w:rsid w:val="005361D8"/>
    <w:rsid w:val="005362C8"/>
    <w:rsid w:val="0053723C"/>
    <w:rsid w:val="00537248"/>
    <w:rsid w:val="00540637"/>
    <w:rsid w:val="005406A3"/>
    <w:rsid w:val="00540B23"/>
    <w:rsid w:val="00544298"/>
    <w:rsid w:val="00544DAE"/>
    <w:rsid w:val="0054509D"/>
    <w:rsid w:val="00546710"/>
    <w:rsid w:val="0055177F"/>
    <w:rsid w:val="00552FCF"/>
    <w:rsid w:val="005531AE"/>
    <w:rsid w:val="00554268"/>
    <w:rsid w:val="00554827"/>
    <w:rsid w:val="00554C97"/>
    <w:rsid w:val="00554EEE"/>
    <w:rsid w:val="00556572"/>
    <w:rsid w:val="00560969"/>
    <w:rsid w:val="00562E49"/>
    <w:rsid w:val="0056437D"/>
    <w:rsid w:val="00565DB3"/>
    <w:rsid w:val="00572560"/>
    <w:rsid w:val="0057329D"/>
    <w:rsid w:val="00574264"/>
    <w:rsid w:val="0057519D"/>
    <w:rsid w:val="00577212"/>
    <w:rsid w:val="00577E63"/>
    <w:rsid w:val="00583675"/>
    <w:rsid w:val="005873D7"/>
    <w:rsid w:val="00592C0C"/>
    <w:rsid w:val="00592D3E"/>
    <w:rsid w:val="00592F49"/>
    <w:rsid w:val="00595035"/>
    <w:rsid w:val="005A0FC5"/>
    <w:rsid w:val="005A206E"/>
    <w:rsid w:val="005A4BC0"/>
    <w:rsid w:val="005A57E5"/>
    <w:rsid w:val="005A75FE"/>
    <w:rsid w:val="005B21F0"/>
    <w:rsid w:val="005B3143"/>
    <w:rsid w:val="005B31AA"/>
    <w:rsid w:val="005C0172"/>
    <w:rsid w:val="005C11D1"/>
    <w:rsid w:val="005C158B"/>
    <w:rsid w:val="005C3FDF"/>
    <w:rsid w:val="005C4798"/>
    <w:rsid w:val="005C5D25"/>
    <w:rsid w:val="005C685E"/>
    <w:rsid w:val="005C7221"/>
    <w:rsid w:val="005D2432"/>
    <w:rsid w:val="005D767F"/>
    <w:rsid w:val="005E1AEF"/>
    <w:rsid w:val="005E219D"/>
    <w:rsid w:val="005E2605"/>
    <w:rsid w:val="005E3CF9"/>
    <w:rsid w:val="005E581C"/>
    <w:rsid w:val="005F1E6D"/>
    <w:rsid w:val="005F3276"/>
    <w:rsid w:val="005F570F"/>
    <w:rsid w:val="00601D88"/>
    <w:rsid w:val="00602D3B"/>
    <w:rsid w:val="0060722A"/>
    <w:rsid w:val="0061003D"/>
    <w:rsid w:val="00610D06"/>
    <w:rsid w:val="0061122C"/>
    <w:rsid w:val="00611CE2"/>
    <w:rsid w:val="00611FCB"/>
    <w:rsid w:val="0062007E"/>
    <w:rsid w:val="00622046"/>
    <w:rsid w:val="0062232C"/>
    <w:rsid w:val="006227B6"/>
    <w:rsid w:val="00623056"/>
    <w:rsid w:val="006264E0"/>
    <w:rsid w:val="00626728"/>
    <w:rsid w:val="00626C1A"/>
    <w:rsid w:val="00631106"/>
    <w:rsid w:val="00632472"/>
    <w:rsid w:val="00633F35"/>
    <w:rsid w:val="006371AE"/>
    <w:rsid w:val="0063772D"/>
    <w:rsid w:val="00637A3C"/>
    <w:rsid w:val="006438E9"/>
    <w:rsid w:val="00650F85"/>
    <w:rsid w:val="00651252"/>
    <w:rsid w:val="0065535C"/>
    <w:rsid w:val="006559F2"/>
    <w:rsid w:val="00657ED6"/>
    <w:rsid w:val="006611E0"/>
    <w:rsid w:val="00661DA1"/>
    <w:rsid w:val="0066232C"/>
    <w:rsid w:val="00662699"/>
    <w:rsid w:val="006637BE"/>
    <w:rsid w:val="00664B85"/>
    <w:rsid w:val="0067001F"/>
    <w:rsid w:val="00670377"/>
    <w:rsid w:val="00670D1A"/>
    <w:rsid w:val="00671C99"/>
    <w:rsid w:val="00671EC9"/>
    <w:rsid w:val="00672947"/>
    <w:rsid w:val="00675ED4"/>
    <w:rsid w:val="0067764F"/>
    <w:rsid w:val="00680FDB"/>
    <w:rsid w:val="006819E0"/>
    <w:rsid w:val="00682118"/>
    <w:rsid w:val="00682E81"/>
    <w:rsid w:val="006834A5"/>
    <w:rsid w:val="00686942"/>
    <w:rsid w:val="00686DE9"/>
    <w:rsid w:val="00687F6C"/>
    <w:rsid w:val="006919BD"/>
    <w:rsid w:val="00691E1B"/>
    <w:rsid w:val="006930A7"/>
    <w:rsid w:val="006A2EE2"/>
    <w:rsid w:val="006A415A"/>
    <w:rsid w:val="006A4BE5"/>
    <w:rsid w:val="006A5A0A"/>
    <w:rsid w:val="006A778C"/>
    <w:rsid w:val="006A7CC0"/>
    <w:rsid w:val="006A7DF2"/>
    <w:rsid w:val="006A7FD3"/>
    <w:rsid w:val="006B293D"/>
    <w:rsid w:val="006B5F30"/>
    <w:rsid w:val="006B6604"/>
    <w:rsid w:val="006B6B15"/>
    <w:rsid w:val="006C36A1"/>
    <w:rsid w:val="006C4103"/>
    <w:rsid w:val="006C432D"/>
    <w:rsid w:val="006C70C6"/>
    <w:rsid w:val="006D34DA"/>
    <w:rsid w:val="006D76A0"/>
    <w:rsid w:val="006E0444"/>
    <w:rsid w:val="006E7045"/>
    <w:rsid w:val="006E7751"/>
    <w:rsid w:val="006F0C15"/>
    <w:rsid w:val="006F1E83"/>
    <w:rsid w:val="006F3C01"/>
    <w:rsid w:val="006F3CD2"/>
    <w:rsid w:val="006F42D6"/>
    <w:rsid w:val="00700482"/>
    <w:rsid w:val="0070095B"/>
    <w:rsid w:val="00700F5B"/>
    <w:rsid w:val="00703522"/>
    <w:rsid w:val="00705A55"/>
    <w:rsid w:val="00705B1E"/>
    <w:rsid w:val="00707E9B"/>
    <w:rsid w:val="00710E8A"/>
    <w:rsid w:val="00710ECF"/>
    <w:rsid w:val="00711D60"/>
    <w:rsid w:val="00713E83"/>
    <w:rsid w:val="007140AA"/>
    <w:rsid w:val="00721B07"/>
    <w:rsid w:val="00723693"/>
    <w:rsid w:val="0072507C"/>
    <w:rsid w:val="00725BB1"/>
    <w:rsid w:val="00726519"/>
    <w:rsid w:val="00731481"/>
    <w:rsid w:val="0073177A"/>
    <w:rsid w:val="00732FC6"/>
    <w:rsid w:val="00734C05"/>
    <w:rsid w:val="00740942"/>
    <w:rsid w:val="007427C2"/>
    <w:rsid w:val="0074490E"/>
    <w:rsid w:val="00745B55"/>
    <w:rsid w:val="00746688"/>
    <w:rsid w:val="00747993"/>
    <w:rsid w:val="0075087F"/>
    <w:rsid w:val="007523BB"/>
    <w:rsid w:val="00752E91"/>
    <w:rsid w:val="00753282"/>
    <w:rsid w:val="00753407"/>
    <w:rsid w:val="00753A30"/>
    <w:rsid w:val="00754410"/>
    <w:rsid w:val="00754B25"/>
    <w:rsid w:val="007574CE"/>
    <w:rsid w:val="007627EA"/>
    <w:rsid w:val="00762B22"/>
    <w:rsid w:val="00765756"/>
    <w:rsid w:val="00767E97"/>
    <w:rsid w:val="00770485"/>
    <w:rsid w:val="00771319"/>
    <w:rsid w:val="00772054"/>
    <w:rsid w:val="007724CC"/>
    <w:rsid w:val="00774ADA"/>
    <w:rsid w:val="00776F1E"/>
    <w:rsid w:val="00783A73"/>
    <w:rsid w:val="00783EF3"/>
    <w:rsid w:val="00784330"/>
    <w:rsid w:val="00784953"/>
    <w:rsid w:val="00785E31"/>
    <w:rsid w:val="00786CEC"/>
    <w:rsid w:val="007907FB"/>
    <w:rsid w:val="00791639"/>
    <w:rsid w:val="007929B0"/>
    <w:rsid w:val="00794731"/>
    <w:rsid w:val="00794A1F"/>
    <w:rsid w:val="00795BE4"/>
    <w:rsid w:val="00795DD9"/>
    <w:rsid w:val="007961BA"/>
    <w:rsid w:val="007A2152"/>
    <w:rsid w:val="007A24FA"/>
    <w:rsid w:val="007B0ECA"/>
    <w:rsid w:val="007B35E0"/>
    <w:rsid w:val="007B64F4"/>
    <w:rsid w:val="007C2120"/>
    <w:rsid w:val="007C52F3"/>
    <w:rsid w:val="007C559B"/>
    <w:rsid w:val="007C77BC"/>
    <w:rsid w:val="007C7A49"/>
    <w:rsid w:val="007D118E"/>
    <w:rsid w:val="007D25AA"/>
    <w:rsid w:val="007D2DF7"/>
    <w:rsid w:val="007D31BB"/>
    <w:rsid w:val="007D4466"/>
    <w:rsid w:val="007D44AD"/>
    <w:rsid w:val="007D47E9"/>
    <w:rsid w:val="007E0D80"/>
    <w:rsid w:val="007E16E5"/>
    <w:rsid w:val="007E1E58"/>
    <w:rsid w:val="007F2F98"/>
    <w:rsid w:val="007F373E"/>
    <w:rsid w:val="007F39CE"/>
    <w:rsid w:val="007F4DB5"/>
    <w:rsid w:val="007F7F91"/>
    <w:rsid w:val="00801EEE"/>
    <w:rsid w:val="008028D0"/>
    <w:rsid w:val="008032A6"/>
    <w:rsid w:val="00803DE2"/>
    <w:rsid w:val="00804C19"/>
    <w:rsid w:val="008063AF"/>
    <w:rsid w:val="00807DB9"/>
    <w:rsid w:val="00810535"/>
    <w:rsid w:val="00811F33"/>
    <w:rsid w:val="00814717"/>
    <w:rsid w:val="00815BEB"/>
    <w:rsid w:val="00816014"/>
    <w:rsid w:val="00816B7D"/>
    <w:rsid w:val="00820B14"/>
    <w:rsid w:val="00821108"/>
    <w:rsid w:val="008211BD"/>
    <w:rsid w:val="00821D1A"/>
    <w:rsid w:val="00826A3A"/>
    <w:rsid w:val="00830539"/>
    <w:rsid w:val="0083430E"/>
    <w:rsid w:val="00834CB5"/>
    <w:rsid w:val="008359B3"/>
    <w:rsid w:val="0083632A"/>
    <w:rsid w:val="00836DAB"/>
    <w:rsid w:val="00841294"/>
    <w:rsid w:val="00841CA8"/>
    <w:rsid w:val="008426FE"/>
    <w:rsid w:val="00843266"/>
    <w:rsid w:val="00843B2A"/>
    <w:rsid w:val="0084772F"/>
    <w:rsid w:val="00850600"/>
    <w:rsid w:val="008524BF"/>
    <w:rsid w:val="00852B23"/>
    <w:rsid w:val="00853A1F"/>
    <w:rsid w:val="00854A46"/>
    <w:rsid w:val="008554E9"/>
    <w:rsid w:val="00860380"/>
    <w:rsid w:val="008618B3"/>
    <w:rsid w:val="00861FB2"/>
    <w:rsid w:val="00864582"/>
    <w:rsid w:val="00865FF4"/>
    <w:rsid w:val="00870B02"/>
    <w:rsid w:val="00874541"/>
    <w:rsid w:val="00874DDD"/>
    <w:rsid w:val="00875B11"/>
    <w:rsid w:val="0087602E"/>
    <w:rsid w:val="0087780D"/>
    <w:rsid w:val="00880A82"/>
    <w:rsid w:val="00881363"/>
    <w:rsid w:val="00881E5C"/>
    <w:rsid w:val="008877FD"/>
    <w:rsid w:val="00887AA2"/>
    <w:rsid w:val="00890599"/>
    <w:rsid w:val="00891941"/>
    <w:rsid w:val="0089289B"/>
    <w:rsid w:val="00893837"/>
    <w:rsid w:val="008948FC"/>
    <w:rsid w:val="008A1CE0"/>
    <w:rsid w:val="008A1D4F"/>
    <w:rsid w:val="008A34F5"/>
    <w:rsid w:val="008A3F14"/>
    <w:rsid w:val="008A49FE"/>
    <w:rsid w:val="008A4DB8"/>
    <w:rsid w:val="008A5510"/>
    <w:rsid w:val="008B3538"/>
    <w:rsid w:val="008B3F20"/>
    <w:rsid w:val="008B4DCD"/>
    <w:rsid w:val="008C212C"/>
    <w:rsid w:val="008C317E"/>
    <w:rsid w:val="008C3543"/>
    <w:rsid w:val="008C4C26"/>
    <w:rsid w:val="008D0B4D"/>
    <w:rsid w:val="008D20A1"/>
    <w:rsid w:val="008D763B"/>
    <w:rsid w:val="008D7A8C"/>
    <w:rsid w:val="008E0543"/>
    <w:rsid w:val="008E0581"/>
    <w:rsid w:val="008E0B44"/>
    <w:rsid w:val="008E5016"/>
    <w:rsid w:val="008E5693"/>
    <w:rsid w:val="008E6024"/>
    <w:rsid w:val="008E78ED"/>
    <w:rsid w:val="008F11EB"/>
    <w:rsid w:val="008F2BEA"/>
    <w:rsid w:val="008F490E"/>
    <w:rsid w:val="008F5995"/>
    <w:rsid w:val="008F6302"/>
    <w:rsid w:val="008F64E9"/>
    <w:rsid w:val="008F679F"/>
    <w:rsid w:val="008F6BAD"/>
    <w:rsid w:val="008F7007"/>
    <w:rsid w:val="00903196"/>
    <w:rsid w:val="009052A8"/>
    <w:rsid w:val="00905583"/>
    <w:rsid w:val="00905F7C"/>
    <w:rsid w:val="009065F7"/>
    <w:rsid w:val="00911887"/>
    <w:rsid w:val="009118B8"/>
    <w:rsid w:val="00913097"/>
    <w:rsid w:val="0091486F"/>
    <w:rsid w:val="00915A74"/>
    <w:rsid w:val="00920F4A"/>
    <w:rsid w:val="00922B5C"/>
    <w:rsid w:val="00922B95"/>
    <w:rsid w:val="00924AEA"/>
    <w:rsid w:val="00925576"/>
    <w:rsid w:val="00926BE9"/>
    <w:rsid w:val="0093420D"/>
    <w:rsid w:val="00935461"/>
    <w:rsid w:val="00941353"/>
    <w:rsid w:val="00942FEE"/>
    <w:rsid w:val="009434ED"/>
    <w:rsid w:val="00944FBB"/>
    <w:rsid w:val="0094587A"/>
    <w:rsid w:val="00947D06"/>
    <w:rsid w:val="00951002"/>
    <w:rsid w:val="0095148F"/>
    <w:rsid w:val="00953963"/>
    <w:rsid w:val="009539E2"/>
    <w:rsid w:val="0095741A"/>
    <w:rsid w:val="00957C1F"/>
    <w:rsid w:val="00962F7E"/>
    <w:rsid w:val="00963BCE"/>
    <w:rsid w:val="00964A24"/>
    <w:rsid w:val="009666F6"/>
    <w:rsid w:val="009733F1"/>
    <w:rsid w:val="009749F2"/>
    <w:rsid w:val="009750E9"/>
    <w:rsid w:val="009768A2"/>
    <w:rsid w:val="009770F9"/>
    <w:rsid w:val="00982343"/>
    <w:rsid w:val="00983D31"/>
    <w:rsid w:val="00984990"/>
    <w:rsid w:val="0098513A"/>
    <w:rsid w:val="00987792"/>
    <w:rsid w:val="009916F0"/>
    <w:rsid w:val="00991918"/>
    <w:rsid w:val="0099196B"/>
    <w:rsid w:val="009921B3"/>
    <w:rsid w:val="009949B2"/>
    <w:rsid w:val="00994D2D"/>
    <w:rsid w:val="00994FC6"/>
    <w:rsid w:val="009950A8"/>
    <w:rsid w:val="00995BE0"/>
    <w:rsid w:val="00995DDC"/>
    <w:rsid w:val="009961F4"/>
    <w:rsid w:val="009967B6"/>
    <w:rsid w:val="0099797D"/>
    <w:rsid w:val="009A0BC8"/>
    <w:rsid w:val="009A2D40"/>
    <w:rsid w:val="009A6D29"/>
    <w:rsid w:val="009A72AB"/>
    <w:rsid w:val="009A7BE1"/>
    <w:rsid w:val="009A7BEA"/>
    <w:rsid w:val="009B0EF4"/>
    <w:rsid w:val="009B2B0A"/>
    <w:rsid w:val="009B3293"/>
    <w:rsid w:val="009C1114"/>
    <w:rsid w:val="009C1A83"/>
    <w:rsid w:val="009C4C19"/>
    <w:rsid w:val="009C55B6"/>
    <w:rsid w:val="009C6BD4"/>
    <w:rsid w:val="009D0CF1"/>
    <w:rsid w:val="009D2E99"/>
    <w:rsid w:val="009E0825"/>
    <w:rsid w:val="009E1168"/>
    <w:rsid w:val="009E4F2F"/>
    <w:rsid w:val="009E51D5"/>
    <w:rsid w:val="009E6F06"/>
    <w:rsid w:val="009F0F76"/>
    <w:rsid w:val="009F3006"/>
    <w:rsid w:val="009F421C"/>
    <w:rsid w:val="009F4B34"/>
    <w:rsid w:val="009F7612"/>
    <w:rsid w:val="009F7919"/>
    <w:rsid w:val="00A00D9C"/>
    <w:rsid w:val="00A03820"/>
    <w:rsid w:val="00A0437F"/>
    <w:rsid w:val="00A047C9"/>
    <w:rsid w:val="00A05C4B"/>
    <w:rsid w:val="00A05FD4"/>
    <w:rsid w:val="00A0609F"/>
    <w:rsid w:val="00A063B7"/>
    <w:rsid w:val="00A06469"/>
    <w:rsid w:val="00A11D04"/>
    <w:rsid w:val="00A127B9"/>
    <w:rsid w:val="00A12820"/>
    <w:rsid w:val="00A136F4"/>
    <w:rsid w:val="00A14801"/>
    <w:rsid w:val="00A14E77"/>
    <w:rsid w:val="00A15D12"/>
    <w:rsid w:val="00A16E70"/>
    <w:rsid w:val="00A20B10"/>
    <w:rsid w:val="00A22A01"/>
    <w:rsid w:val="00A24938"/>
    <w:rsid w:val="00A24AD8"/>
    <w:rsid w:val="00A24D75"/>
    <w:rsid w:val="00A26F60"/>
    <w:rsid w:val="00A307CA"/>
    <w:rsid w:val="00A3274E"/>
    <w:rsid w:val="00A32A86"/>
    <w:rsid w:val="00A35267"/>
    <w:rsid w:val="00A373DF"/>
    <w:rsid w:val="00A378CB"/>
    <w:rsid w:val="00A4012B"/>
    <w:rsid w:val="00A41AD1"/>
    <w:rsid w:val="00A43214"/>
    <w:rsid w:val="00A47CF6"/>
    <w:rsid w:val="00A50D42"/>
    <w:rsid w:val="00A51AC7"/>
    <w:rsid w:val="00A54FA0"/>
    <w:rsid w:val="00A55134"/>
    <w:rsid w:val="00A60768"/>
    <w:rsid w:val="00A64BE6"/>
    <w:rsid w:val="00A661B1"/>
    <w:rsid w:val="00A663CF"/>
    <w:rsid w:val="00A709CF"/>
    <w:rsid w:val="00A70D2A"/>
    <w:rsid w:val="00A713BC"/>
    <w:rsid w:val="00A73A40"/>
    <w:rsid w:val="00A7436F"/>
    <w:rsid w:val="00A74D75"/>
    <w:rsid w:val="00A75E13"/>
    <w:rsid w:val="00A76A0A"/>
    <w:rsid w:val="00A76C49"/>
    <w:rsid w:val="00A77406"/>
    <w:rsid w:val="00A77DC0"/>
    <w:rsid w:val="00A8062C"/>
    <w:rsid w:val="00A80A86"/>
    <w:rsid w:val="00A81511"/>
    <w:rsid w:val="00A83F85"/>
    <w:rsid w:val="00A87535"/>
    <w:rsid w:val="00A87CAC"/>
    <w:rsid w:val="00A917B1"/>
    <w:rsid w:val="00A91C3B"/>
    <w:rsid w:val="00A9339F"/>
    <w:rsid w:val="00A93535"/>
    <w:rsid w:val="00A93BF3"/>
    <w:rsid w:val="00A93FCA"/>
    <w:rsid w:val="00A94DE2"/>
    <w:rsid w:val="00A96387"/>
    <w:rsid w:val="00A967DA"/>
    <w:rsid w:val="00A96B21"/>
    <w:rsid w:val="00A97946"/>
    <w:rsid w:val="00A97B06"/>
    <w:rsid w:val="00AA007B"/>
    <w:rsid w:val="00AA0D35"/>
    <w:rsid w:val="00AA25A7"/>
    <w:rsid w:val="00AA4A5B"/>
    <w:rsid w:val="00AA5A92"/>
    <w:rsid w:val="00AB3A4A"/>
    <w:rsid w:val="00AB6EFC"/>
    <w:rsid w:val="00AC00C7"/>
    <w:rsid w:val="00AC2F4F"/>
    <w:rsid w:val="00AC5874"/>
    <w:rsid w:val="00AC6EE4"/>
    <w:rsid w:val="00AC7E99"/>
    <w:rsid w:val="00AC7FCB"/>
    <w:rsid w:val="00AD0EA2"/>
    <w:rsid w:val="00AD16C4"/>
    <w:rsid w:val="00AD3C5A"/>
    <w:rsid w:val="00AD634E"/>
    <w:rsid w:val="00AD7824"/>
    <w:rsid w:val="00AE06E6"/>
    <w:rsid w:val="00AE1A95"/>
    <w:rsid w:val="00AE2352"/>
    <w:rsid w:val="00AE6D08"/>
    <w:rsid w:val="00AE7BC6"/>
    <w:rsid w:val="00AF01C3"/>
    <w:rsid w:val="00AF033D"/>
    <w:rsid w:val="00AF2142"/>
    <w:rsid w:val="00AF2238"/>
    <w:rsid w:val="00AF2A6D"/>
    <w:rsid w:val="00AF49D5"/>
    <w:rsid w:val="00B00FBB"/>
    <w:rsid w:val="00B02243"/>
    <w:rsid w:val="00B02AC0"/>
    <w:rsid w:val="00B02F39"/>
    <w:rsid w:val="00B054CC"/>
    <w:rsid w:val="00B074C0"/>
    <w:rsid w:val="00B11219"/>
    <w:rsid w:val="00B12522"/>
    <w:rsid w:val="00B138EC"/>
    <w:rsid w:val="00B13BC5"/>
    <w:rsid w:val="00B13ED1"/>
    <w:rsid w:val="00B140C8"/>
    <w:rsid w:val="00B14E81"/>
    <w:rsid w:val="00B157D4"/>
    <w:rsid w:val="00B16275"/>
    <w:rsid w:val="00B2072A"/>
    <w:rsid w:val="00B20EAB"/>
    <w:rsid w:val="00B21F65"/>
    <w:rsid w:val="00B2335B"/>
    <w:rsid w:val="00B32A4D"/>
    <w:rsid w:val="00B34159"/>
    <w:rsid w:val="00B3430E"/>
    <w:rsid w:val="00B344AA"/>
    <w:rsid w:val="00B344E8"/>
    <w:rsid w:val="00B36829"/>
    <w:rsid w:val="00B36EA9"/>
    <w:rsid w:val="00B3751D"/>
    <w:rsid w:val="00B37B26"/>
    <w:rsid w:val="00B40FBF"/>
    <w:rsid w:val="00B42084"/>
    <w:rsid w:val="00B443F7"/>
    <w:rsid w:val="00B4482C"/>
    <w:rsid w:val="00B50588"/>
    <w:rsid w:val="00B55F3E"/>
    <w:rsid w:val="00B5665D"/>
    <w:rsid w:val="00B56E9F"/>
    <w:rsid w:val="00B5751C"/>
    <w:rsid w:val="00B57940"/>
    <w:rsid w:val="00B57A7D"/>
    <w:rsid w:val="00B60D3E"/>
    <w:rsid w:val="00B6163F"/>
    <w:rsid w:val="00B643D0"/>
    <w:rsid w:val="00B6598E"/>
    <w:rsid w:val="00B6721A"/>
    <w:rsid w:val="00B67943"/>
    <w:rsid w:val="00B77A7C"/>
    <w:rsid w:val="00B80175"/>
    <w:rsid w:val="00B819A6"/>
    <w:rsid w:val="00B83C14"/>
    <w:rsid w:val="00B840B7"/>
    <w:rsid w:val="00B8438D"/>
    <w:rsid w:val="00B9425D"/>
    <w:rsid w:val="00B96475"/>
    <w:rsid w:val="00B9664F"/>
    <w:rsid w:val="00B97284"/>
    <w:rsid w:val="00BA0461"/>
    <w:rsid w:val="00BA1778"/>
    <w:rsid w:val="00BA363C"/>
    <w:rsid w:val="00BA397C"/>
    <w:rsid w:val="00BA4F3C"/>
    <w:rsid w:val="00BA545E"/>
    <w:rsid w:val="00BB0DDA"/>
    <w:rsid w:val="00BB419F"/>
    <w:rsid w:val="00BB5505"/>
    <w:rsid w:val="00BB68E6"/>
    <w:rsid w:val="00BB6C7D"/>
    <w:rsid w:val="00BB6EC7"/>
    <w:rsid w:val="00BB74B1"/>
    <w:rsid w:val="00BB76B5"/>
    <w:rsid w:val="00BC05A8"/>
    <w:rsid w:val="00BC07DF"/>
    <w:rsid w:val="00BC1986"/>
    <w:rsid w:val="00BC396D"/>
    <w:rsid w:val="00BC4620"/>
    <w:rsid w:val="00BC51F2"/>
    <w:rsid w:val="00BC5A07"/>
    <w:rsid w:val="00BD00F2"/>
    <w:rsid w:val="00BD2D4C"/>
    <w:rsid w:val="00BD6A48"/>
    <w:rsid w:val="00BD71C5"/>
    <w:rsid w:val="00BD7FC2"/>
    <w:rsid w:val="00BE4690"/>
    <w:rsid w:val="00BE7F63"/>
    <w:rsid w:val="00BF010C"/>
    <w:rsid w:val="00BF12F4"/>
    <w:rsid w:val="00BF2BFC"/>
    <w:rsid w:val="00BF30A0"/>
    <w:rsid w:val="00BF3667"/>
    <w:rsid w:val="00BF3688"/>
    <w:rsid w:val="00BF4933"/>
    <w:rsid w:val="00BF4F4B"/>
    <w:rsid w:val="00BF60B0"/>
    <w:rsid w:val="00C00B29"/>
    <w:rsid w:val="00C0459C"/>
    <w:rsid w:val="00C04E84"/>
    <w:rsid w:val="00C052F5"/>
    <w:rsid w:val="00C062F3"/>
    <w:rsid w:val="00C063AD"/>
    <w:rsid w:val="00C0799F"/>
    <w:rsid w:val="00C109CC"/>
    <w:rsid w:val="00C11441"/>
    <w:rsid w:val="00C114B9"/>
    <w:rsid w:val="00C114C8"/>
    <w:rsid w:val="00C11986"/>
    <w:rsid w:val="00C145DB"/>
    <w:rsid w:val="00C15B8A"/>
    <w:rsid w:val="00C20F9E"/>
    <w:rsid w:val="00C2354A"/>
    <w:rsid w:val="00C24BE2"/>
    <w:rsid w:val="00C27BCA"/>
    <w:rsid w:val="00C32590"/>
    <w:rsid w:val="00C353A8"/>
    <w:rsid w:val="00C35CE2"/>
    <w:rsid w:val="00C36099"/>
    <w:rsid w:val="00C36B01"/>
    <w:rsid w:val="00C36B29"/>
    <w:rsid w:val="00C36C1A"/>
    <w:rsid w:val="00C403EF"/>
    <w:rsid w:val="00C412D8"/>
    <w:rsid w:val="00C42DCE"/>
    <w:rsid w:val="00C43C91"/>
    <w:rsid w:val="00C43D68"/>
    <w:rsid w:val="00C5393F"/>
    <w:rsid w:val="00C60BBF"/>
    <w:rsid w:val="00C616D8"/>
    <w:rsid w:val="00C61C1B"/>
    <w:rsid w:val="00C62023"/>
    <w:rsid w:val="00C667F5"/>
    <w:rsid w:val="00C7006A"/>
    <w:rsid w:val="00C70E9D"/>
    <w:rsid w:val="00C71FB0"/>
    <w:rsid w:val="00C75A3D"/>
    <w:rsid w:val="00C7614F"/>
    <w:rsid w:val="00C762FE"/>
    <w:rsid w:val="00C767FA"/>
    <w:rsid w:val="00C775CA"/>
    <w:rsid w:val="00C778C1"/>
    <w:rsid w:val="00C77DB8"/>
    <w:rsid w:val="00C82C7F"/>
    <w:rsid w:val="00C82EAA"/>
    <w:rsid w:val="00C8385C"/>
    <w:rsid w:val="00C84301"/>
    <w:rsid w:val="00C85A8C"/>
    <w:rsid w:val="00C85F46"/>
    <w:rsid w:val="00C86069"/>
    <w:rsid w:val="00C860BA"/>
    <w:rsid w:val="00C87B36"/>
    <w:rsid w:val="00C922B4"/>
    <w:rsid w:val="00C92927"/>
    <w:rsid w:val="00C96355"/>
    <w:rsid w:val="00C97DA8"/>
    <w:rsid w:val="00C97EC8"/>
    <w:rsid w:val="00CA1F11"/>
    <w:rsid w:val="00CA3050"/>
    <w:rsid w:val="00CA5593"/>
    <w:rsid w:val="00CA7EB6"/>
    <w:rsid w:val="00CB0AD8"/>
    <w:rsid w:val="00CB0CCB"/>
    <w:rsid w:val="00CB27B9"/>
    <w:rsid w:val="00CB2E75"/>
    <w:rsid w:val="00CB36FA"/>
    <w:rsid w:val="00CB370A"/>
    <w:rsid w:val="00CB770C"/>
    <w:rsid w:val="00CB7D16"/>
    <w:rsid w:val="00CC2574"/>
    <w:rsid w:val="00CD229F"/>
    <w:rsid w:val="00CD3727"/>
    <w:rsid w:val="00CD53D3"/>
    <w:rsid w:val="00CE02F8"/>
    <w:rsid w:val="00CE7A12"/>
    <w:rsid w:val="00CE7E0F"/>
    <w:rsid w:val="00CF14B0"/>
    <w:rsid w:val="00CF2334"/>
    <w:rsid w:val="00CF3CED"/>
    <w:rsid w:val="00CF4A00"/>
    <w:rsid w:val="00CF4A90"/>
    <w:rsid w:val="00CF56A9"/>
    <w:rsid w:val="00CF5B08"/>
    <w:rsid w:val="00CF70AB"/>
    <w:rsid w:val="00CF72FC"/>
    <w:rsid w:val="00D01174"/>
    <w:rsid w:val="00D018BF"/>
    <w:rsid w:val="00D01CE4"/>
    <w:rsid w:val="00D02F2E"/>
    <w:rsid w:val="00D06105"/>
    <w:rsid w:val="00D12CE8"/>
    <w:rsid w:val="00D15509"/>
    <w:rsid w:val="00D160AA"/>
    <w:rsid w:val="00D16308"/>
    <w:rsid w:val="00D163F5"/>
    <w:rsid w:val="00D20D66"/>
    <w:rsid w:val="00D22781"/>
    <w:rsid w:val="00D248E9"/>
    <w:rsid w:val="00D24B98"/>
    <w:rsid w:val="00D256BD"/>
    <w:rsid w:val="00D27A3F"/>
    <w:rsid w:val="00D3032B"/>
    <w:rsid w:val="00D3059B"/>
    <w:rsid w:val="00D30651"/>
    <w:rsid w:val="00D36DC7"/>
    <w:rsid w:val="00D43543"/>
    <w:rsid w:val="00D45859"/>
    <w:rsid w:val="00D46825"/>
    <w:rsid w:val="00D46DEC"/>
    <w:rsid w:val="00D50208"/>
    <w:rsid w:val="00D54DA1"/>
    <w:rsid w:val="00D55BFB"/>
    <w:rsid w:val="00D56F6B"/>
    <w:rsid w:val="00D60046"/>
    <w:rsid w:val="00D6160A"/>
    <w:rsid w:val="00D63EC9"/>
    <w:rsid w:val="00D649D8"/>
    <w:rsid w:val="00D6653E"/>
    <w:rsid w:val="00D70046"/>
    <w:rsid w:val="00D71FFB"/>
    <w:rsid w:val="00D73083"/>
    <w:rsid w:val="00D74C76"/>
    <w:rsid w:val="00D7622E"/>
    <w:rsid w:val="00D7708A"/>
    <w:rsid w:val="00D77785"/>
    <w:rsid w:val="00D80E66"/>
    <w:rsid w:val="00D81DDA"/>
    <w:rsid w:val="00D84759"/>
    <w:rsid w:val="00D84DB3"/>
    <w:rsid w:val="00D86D5C"/>
    <w:rsid w:val="00D90494"/>
    <w:rsid w:val="00D9214C"/>
    <w:rsid w:val="00D939F5"/>
    <w:rsid w:val="00D966A0"/>
    <w:rsid w:val="00DA09CE"/>
    <w:rsid w:val="00DA15F7"/>
    <w:rsid w:val="00DA1BB9"/>
    <w:rsid w:val="00DA444E"/>
    <w:rsid w:val="00DA751D"/>
    <w:rsid w:val="00DB26D7"/>
    <w:rsid w:val="00DB5C1B"/>
    <w:rsid w:val="00DC273E"/>
    <w:rsid w:val="00DC471A"/>
    <w:rsid w:val="00DC5736"/>
    <w:rsid w:val="00DC7BFE"/>
    <w:rsid w:val="00DD378D"/>
    <w:rsid w:val="00DD59A6"/>
    <w:rsid w:val="00DD6C03"/>
    <w:rsid w:val="00DE046C"/>
    <w:rsid w:val="00DE1D7F"/>
    <w:rsid w:val="00DE670F"/>
    <w:rsid w:val="00DF07F9"/>
    <w:rsid w:val="00DF0E1B"/>
    <w:rsid w:val="00DF271B"/>
    <w:rsid w:val="00DF31D9"/>
    <w:rsid w:val="00DF44F7"/>
    <w:rsid w:val="00DF7235"/>
    <w:rsid w:val="00E024D2"/>
    <w:rsid w:val="00E02650"/>
    <w:rsid w:val="00E04614"/>
    <w:rsid w:val="00E046F0"/>
    <w:rsid w:val="00E04FCA"/>
    <w:rsid w:val="00E060FF"/>
    <w:rsid w:val="00E0760F"/>
    <w:rsid w:val="00E07AB0"/>
    <w:rsid w:val="00E10726"/>
    <w:rsid w:val="00E117E0"/>
    <w:rsid w:val="00E1356C"/>
    <w:rsid w:val="00E1597C"/>
    <w:rsid w:val="00E20F60"/>
    <w:rsid w:val="00E220CD"/>
    <w:rsid w:val="00E251F1"/>
    <w:rsid w:val="00E2528F"/>
    <w:rsid w:val="00E25CBB"/>
    <w:rsid w:val="00E25E38"/>
    <w:rsid w:val="00E26CEA"/>
    <w:rsid w:val="00E30510"/>
    <w:rsid w:val="00E31378"/>
    <w:rsid w:val="00E320E3"/>
    <w:rsid w:val="00E32309"/>
    <w:rsid w:val="00E327CE"/>
    <w:rsid w:val="00E34458"/>
    <w:rsid w:val="00E3518C"/>
    <w:rsid w:val="00E35403"/>
    <w:rsid w:val="00E430D8"/>
    <w:rsid w:val="00E4514E"/>
    <w:rsid w:val="00E500D8"/>
    <w:rsid w:val="00E51EF4"/>
    <w:rsid w:val="00E55306"/>
    <w:rsid w:val="00E56127"/>
    <w:rsid w:val="00E57305"/>
    <w:rsid w:val="00E605EE"/>
    <w:rsid w:val="00E61B20"/>
    <w:rsid w:val="00E623EB"/>
    <w:rsid w:val="00E6315E"/>
    <w:rsid w:val="00E63331"/>
    <w:rsid w:val="00E6785B"/>
    <w:rsid w:val="00E7311A"/>
    <w:rsid w:val="00E7730D"/>
    <w:rsid w:val="00E80F68"/>
    <w:rsid w:val="00E82FA6"/>
    <w:rsid w:val="00E8360B"/>
    <w:rsid w:val="00E8386F"/>
    <w:rsid w:val="00E85C8A"/>
    <w:rsid w:val="00E919B9"/>
    <w:rsid w:val="00E92A71"/>
    <w:rsid w:val="00E95097"/>
    <w:rsid w:val="00E961F9"/>
    <w:rsid w:val="00E97987"/>
    <w:rsid w:val="00EA0504"/>
    <w:rsid w:val="00EA083C"/>
    <w:rsid w:val="00EA3F97"/>
    <w:rsid w:val="00EA593A"/>
    <w:rsid w:val="00EB2663"/>
    <w:rsid w:val="00EB7226"/>
    <w:rsid w:val="00EC02D1"/>
    <w:rsid w:val="00EC0800"/>
    <w:rsid w:val="00EC1871"/>
    <w:rsid w:val="00EC6BFA"/>
    <w:rsid w:val="00EC73A1"/>
    <w:rsid w:val="00EC74D6"/>
    <w:rsid w:val="00EC7C0E"/>
    <w:rsid w:val="00ED108E"/>
    <w:rsid w:val="00ED1C71"/>
    <w:rsid w:val="00ED27A2"/>
    <w:rsid w:val="00ED2EA9"/>
    <w:rsid w:val="00ED3525"/>
    <w:rsid w:val="00ED35D8"/>
    <w:rsid w:val="00ED3849"/>
    <w:rsid w:val="00ED577A"/>
    <w:rsid w:val="00ED7A33"/>
    <w:rsid w:val="00ED7E64"/>
    <w:rsid w:val="00EE4056"/>
    <w:rsid w:val="00EE61A2"/>
    <w:rsid w:val="00EE6394"/>
    <w:rsid w:val="00EE67D6"/>
    <w:rsid w:val="00EF1602"/>
    <w:rsid w:val="00EF1A96"/>
    <w:rsid w:val="00EF3C7C"/>
    <w:rsid w:val="00EF4431"/>
    <w:rsid w:val="00EF4F0C"/>
    <w:rsid w:val="00EF61F0"/>
    <w:rsid w:val="00F005BD"/>
    <w:rsid w:val="00F0081B"/>
    <w:rsid w:val="00F0121C"/>
    <w:rsid w:val="00F0272D"/>
    <w:rsid w:val="00F02A74"/>
    <w:rsid w:val="00F03638"/>
    <w:rsid w:val="00F03B18"/>
    <w:rsid w:val="00F047B0"/>
    <w:rsid w:val="00F0563D"/>
    <w:rsid w:val="00F05C32"/>
    <w:rsid w:val="00F05D82"/>
    <w:rsid w:val="00F0626D"/>
    <w:rsid w:val="00F10078"/>
    <w:rsid w:val="00F10AEE"/>
    <w:rsid w:val="00F136C3"/>
    <w:rsid w:val="00F141B2"/>
    <w:rsid w:val="00F14D5E"/>
    <w:rsid w:val="00F14E9A"/>
    <w:rsid w:val="00F15CD3"/>
    <w:rsid w:val="00F16AF3"/>
    <w:rsid w:val="00F16D9F"/>
    <w:rsid w:val="00F17DCA"/>
    <w:rsid w:val="00F20A75"/>
    <w:rsid w:val="00F20F9A"/>
    <w:rsid w:val="00F21C13"/>
    <w:rsid w:val="00F224A5"/>
    <w:rsid w:val="00F242ED"/>
    <w:rsid w:val="00F246C2"/>
    <w:rsid w:val="00F24959"/>
    <w:rsid w:val="00F258FB"/>
    <w:rsid w:val="00F274EC"/>
    <w:rsid w:val="00F30CEF"/>
    <w:rsid w:val="00F31997"/>
    <w:rsid w:val="00F32B2D"/>
    <w:rsid w:val="00F35960"/>
    <w:rsid w:val="00F366F9"/>
    <w:rsid w:val="00F36AF7"/>
    <w:rsid w:val="00F36C3F"/>
    <w:rsid w:val="00F435D6"/>
    <w:rsid w:val="00F45489"/>
    <w:rsid w:val="00F51C83"/>
    <w:rsid w:val="00F57C96"/>
    <w:rsid w:val="00F63A00"/>
    <w:rsid w:val="00F65834"/>
    <w:rsid w:val="00F66D81"/>
    <w:rsid w:val="00F71185"/>
    <w:rsid w:val="00F71DB8"/>
    <w:rsid w:val="00F71FDA"/>
    <w:rsid w:val="00F741FE"/>
    <w:rsid w:val="00F820C9"/>
    <w:rsid w:val="00F849E3"/>
    <w:rsid w:val="00F862BC"/>
    <w:rsid w:val="00F87BEC"/>
    <w:rsid w:val="00F9041F"/>
    <w:rsid w:val="00F91219"/>
    <w:rsid w:val="00F91E35"/>
    <w:rsid w:val="00F9438E"/>
    <w:rsid w:val="00F95C11"/>
    <w:rsid w:val="00F95C74"/>
    <w:rsid w:val="00F97793"/>
    <w:rsid w:val="00FA06B7"/>
    <w:rsid w:val="00FA18C9"/>
    <w:rsid w:val="00FA22E8"/>
    <w:rsid w:val="00FA47F2"/>
    <w:rsid w:val="00FA661C"/>
    <w:rsid w:val="00FA6C6E"/>
    <w:rsid w:val="00FB1A15"/>
    <w:rsid w:val="00FB1C42"/>
    <w:rsid w:val="00FB2606"/>
    <w:rsid w:val="00FB2853"/>
    <w:rsid w:val="00FB3D77"/>
    <w:rsid w:val="00FB433B"/>
    <w:rsid w:val="00FB5859"/>
    <w:rsid w:val="00FB6CFB"/>
    <w:rsid w:val="00FC2697"/>
    <w:rsid w:val="00FC31B5"/>
    <w:rsid w:val="00FC3CCF"/>
    <w:rsid w:val="00FC57CA"/>
    <w:rsid w:val="00FD0386"/>
    <w:rsid w:val="00FD240D"/>
    <w:rsid w:val="00FD24EA"/>
    <w:rsid w:val="00FD2DC6"/>
    <w:rsid w:val="00FD70D7"/>
    <w:rsid w:val="00FD751C"/>
    <w:rsid w:val="00FE112B"/>
    <w:rsid w:val="00FE2E34"/>
    <w:rsid w:val="00FE3179"/>
    <w:rsid w:val="00FE48D0"/>
    <w:rsid w:val="00FE4B3C"/>
    <w:rsid w:val="00FE51F7"/>
    <w:rsid w:val="00FE64F3"/>
    <w:rsid w:val="00FE6AE6"/>
    <w:rsid w:val="00FE7A2B"/>
    <w:rsid w:val="00FF006D"/>
    <w:rsid w:val="00FF1DE5"/>
    <w:rsid w:val="00FF2506"/>
    <w:rsid w:val="00FF293F"/>
    <w:rsid w:val="00FF2EAC"/>
    <w:rsid w:val="00FF2F2D"/>
    <w:rsid w:val="00FF342F"/>
    <w:rsid w:val="00FF3F96"/>
    <w:rsid w:val="00FF4281"/>
    <w:rsid w:val="00FF6111"/>
    <w:rsid w:val="00FF7FC6"/>
    <w:rsid w:val="074F6B7B"/>
    <w:rsid w:val="07B45089"/>
    <w:rsid w:val="09A1F46B"/>
    <w:rsid w:val="0DBD1968"/>
    <w:rsid w:val="283D2548"/>
    <w:rsid w:val="2BAA488A"/>
    <w:rsid w:val="2D4CE486"/>
    <w:rsid w:val="337E4458"/>
    <w:rsid w:val="3610FEDA"/>
    <w:rsid w:val="37ACCF3B"/>
    <w:rsid w:val="3C573EEB"/>
    <w:rsid w:val="3ECA781C"/>
    <w:rsid w:val="3EF0654C"/>
    <w:rsid w:val="420218DE"/>
    <w:rsid w:val="4AC6EF36"/>
    <w:rsid w:val="4D0FE561"/>
    <w:rsid w:val="4D6125A8"/>
    <w:rsid w:val="55252E16"/>
    <w:rsid w:val="561E7848"/>
    <w:rsid w:val="5CD7C861"/>
    <w:rsid w:val="60C6B0D0"/>
    <w:rsid w:val="6162D93B"/>
    <w:rsid w:val="64A8907B"/>
    <w:rsid w:val="6849D730"/>
    <w:rsid w:val="6C6B1F7B"/>
    <w:rsid w:val="6D8C0B7B"/>
    <w:rsid w:val="6DB85596"/>
    <w:rsid w:val="6FB613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08DDB"/>
  <w15:chartTrackingRefBased/>
  <w15:docId w15:val="{18734494-82EC-442B-B316-2BCFFDA4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unhideWhenUsed/>
    <w:rsid w:val="00A96B21"/>
    <w:rPr>
      <w:sz w:val="20"/>
      <w:szCs w:val="20"/>
    </w:rPr>
  </w:style>
  <w:style w:type="character" w:customStyle="1" w:styleId="FootnoteTextChar">
    <w:name w:val="Footnote Text Char"/>
    <w:basedOn w:val="DefaultParagraphFont"/>
    <w:link w:val="FootnoteText"/>
    <w:uiPriority w:val="99"/>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ftref"/>
    <w:basedOn w:val="DefaultParagraphFont"/>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2A25B3"/>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0853CA"/>
    <w:pPr>
      <w:numPr>
        <w:numId w:val="5"/>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07753"/>
    <w:pPr>
      <w:spacing w:before="120" w:after="120"/>
      <w:ind w:left="720"/>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107753"/>
    <w:rPr>
      <w:rFonts w:ascii="Times New Roman" w:eastAsia="Times New Roman" w:hAnsi="Times New Roman" w:cs="Times New Roman"/>
      <w:kern w:val="0"/>
      <w:szCs w:val="24"/>
      <w:lang w:val="es-ES"/>
      <w14:ligatures w14:val="none"/>
    </w:rPr>
  </w:style>
  <w:style w:type="paragraph" w:customStyle="1" w:styleId="TIMES">
    <w:name w:val="TIMES"/>
    <w:basedOn w:val="Normal"/>
    <w:link w:val="TIMESChar"/>
    <w:qFormat/>
    <w:rsid w:val="00107753"/>
    <w:pPr>
      <w:contextualSpacing/>
      <w:jc w:val="left"/>
    </w:pPr>
    <w:rPr>
      <w:rFonts w:asciiTheme="majorBidi" w:eastAsiaTheme="minorEastAsia" w:hAnsiTheme="majorBidi" w:cstheme="minorBidi"/>
      <w:sz w:val="24"/>
      <w:szCs w:val="22"/>
      <w:lang w:eastAsia="zh-CN"/>
    </w:rPr>
  </w:style>
  <w:style w:type="character" w:customStyle="1" w:styleId="TIMESChar">
    <w:name w:val="TIMES Char"/>
    <w:basedOn w:val="DefaultParagraphFont"/>
    <w:link w:val="TIMES"/>
    <w:rsid w:val="00107753"/>
    <w:rPr>
      <w:rFonts w:asciiTheme="majorBidi" w:eastAsiaTheme="minorEastAsia" w:hAnsiTheme="majorBidi"/>
      <w:kern w:val="0"/>
      <w:sz w:val="24"/>
      <w:lang w:val="es-ES" w:eastAsia="zh-CN"/>
      <w14:ligatures w14:val="none"/>
    </w:rPr>
  </w:style>
  <w:style w:type="paragraph" w:styleId="Revision">
    <w:name w:val="Revision"/>
    <w:hidden/>
    <w:uiPriority w:val="99"/>
    <w:semiHidden/>
    <w:rsid w:val="00786CEC"/>
    <w:pPr>
      <w:spacing w:after="0"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unhideWhenUsed/>
    <w:rsid w:val="005E581C"/>
    <w:rPr>
      <w:color w:val="0563C1" w:themeColor="hyperlink"/>
      <w:u w:val="single"/>
    </w:rPr>
  </w:style>
  <w:style w:type="character" w:customStyle="1" w:styleId="UnresolvedMention1">
    <w:name w:val="Unresolved Mention1"/>
    <w:basedOn w:val="DefaultParagraphFont"/>
    <w:uiPriority w:val="99"/>
    <w:semiHidden/>
    <w:unhideWhenUsed/>
    <w:rsid w:val="005E581C"/>
    <w:rPr>
      <w:color w:val="605E5C"/>
      <w:shd w:val="clear" w:color="auto" w:fill="E1DFDD"/>
    </w:rPr>
  </w:style>
  <w:style w:type="character" w:styleId="FollowedHyperlink">
    <w:name w:val="FollowedHyperlink"/>
    <w:basedOn w:val="DefaultParagraphFont"/>
    <w:uiPriority w:val="99"/>
    <w:semiHidden/>
    <w:unhideWhenUsed/>
    <w:rsid w:val="00662699"/>
    <w:rPr>
      <w:color w:val="954F72" w:themeColor="followedHyperlink"/>
      <w:u w:val="single"/>
    </w:rPr>
  </w:style>
  <w:style w:type="paragraph" w:styleId="BalloonText">
    <w:name w:val="Balloon Text"/>
    <w:basedOn w:val="Normal"/>
    <w:link w:val="BalloonTextChar"/>
    <w:uiPriority w:val="99"/>
    <w:semiHidden/>
    <w:unhideWhenUsed/>
    <w:rsid w:val="00385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9F7"/>
    <w:rPr>
      <w:rFonts w:ascii="Segoe UI" w:eastAsia="Times New Roman" w:hAnsi="Segoe UI" w:cs="Segoe UI"/>
      <w:kern w:val="0"/>
      <w:sz w:val="18"/>
      <w:szCs w:val="18"/>
      <w:lang w:val="es-ES"/>
      <w14:ligatures w14:val="none"/>
    </w:rPr>
  </w:style>
  <w:style w:type="character" w:styleId="UnresolvedMention">
    <w:name w:val="Unresolved Mention"/>
    <w:basedOn w:val="DefaultParagraphFont"/>
    <w:uiPriority w:val="99"/>
    <w:semiHidden/>
    <w:unhideWhenUsed/>
    <w:rsid w:val="00ED7A33"/>
    <w:rPr>
      <w:color w:val="605E5C"/>
      <w:shd w:val="clear" w:color="auto" w:fill="E1DFDD"/>
    </w:rPr>
  </w:style>
  <w:style w:type="character" w:customStyle="1" w:styleId="normaltextrun">
    <w:name w:val="normaltextrun"/>
    <w:basedOn w:val="DefaultParagraphFont"/>
    <w:rsid w:val="000B0688"/>
  </w:style>
  <w:style w:type="character" w:customStyle="1" w:styleId="ui-provider">
    <w:name w:val="ui-provider"/>
    <w:basedOn w:val="DefaultParagraphFont"/>
    <w:rsid w:val="000B0688"/>
  </w:style>
  <w:style w:type="paragraph" w:customStyle="1" w:styleId="Para1RecommendationDecision">
    <w:name w:val="Para 1 Recommendation/Decision"/>
    <w:basedOn w:val="Para1"/>
    <w:qFormat/>
    <w:rsid w:val="000B0688"/>
    <w:pPr>
      <w:numPr>
        <w:numId w:val="0"/>
      </w:numPr>
      <w:tabs>
        <w:tab w:val="clear" w:pos="1134"/>
      </w:tabs>
      <w:ind w:left="567" w:firstLine="567"/>
    </w:pPr>
  </w:style>
  <w:style w:type="paragraph" w:customStyle="1" w:styleId="Para2RecommendationDecision">
    <w:name w:val="Para 2 Recommendation/Decision"/>
    <w:basedOn w:val="Normal"/>
    <w:qFormat/>
    <w:rsid w:val="000B0688"/>
    <w:pPr>
      <w:tabs>
        <w:tab w:val="left" w:pos="1701"/>
      </w:tabs>
      <w:spacing w:before="120" w:after="120"/>
      <w:ind w:left="567" w:firstLine="567"/>
    </w:pPr>
  </w:style>
  <w:style w:type="paragraph" w:customStyle="1" w:styleId="CBD-title-recommendationdecision">
    <w:name w:val="CBD-title-recommendation/decision"/>
    <w:basedOn w:val="Title"/>
    <w:qFormat/>
    <w:rsid w:val="001D1CE1"/>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19-es.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4-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IPBES%20-%20Values\Draft%20Diverse%20Values%20-%2031%20Jul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D4920871-DF07-41F5-8334-FAF8A9B3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D49E0-F67A-44D0-8E38-AD8A0A1A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Diverse Values - 31 July.dotm</Template>
  <TotalTime>8</TotalTime>
  <Pages>3</Pages>
  <Words>1049</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Review of findings from the Methodological Assessment Report on the Diverse Values and Valuation of Nature of the Intergovernmental Science-Policy Platform on Biodiversity and Ecosystem Services and their implications for the work undertaken under the Con</vt:lpstr>
    </vt:vector>
  </TitlesOfParts>
  <Company/>
  <LinksUpToDate>false</LinksUpToDate>
  <CharactersWithSpaces>7067</CharactersWithSpaces>
  <SharedDoc>false</SharedDoc>
  <HLinks>
    <vt:vector size="18" baseType="variant">
      <vt:variant>
        <vt:i4>852041</vt:i4>
      </vt:variant>
      <vt:variant>
        <vt:i4>3</vt:i4>
      </vt:variant>
      <vt:variant>
        <vt:i4>0</vt:i4>
      </vt:variant>
      <vt:variant>
        <vt:i4>5</vt:i4>
      </vt:variant>
      <vt:variant>
        <vt:lpwstr>https://www.cbd.int/doc/decisions/cop-15/cop-15-dec-23-en.pdf</vt:lpwstr>
      </vt:variant>
      <vt:variant>
        <vt:lpwstr/>
      </vt:variant>
      <vt:variant>
        <vt:i4>458826</vt:i4>
      </vt:variant>
      <vt:variant>
        <vt:i4>0</vt:i4>
      </vt:variant>
      <vt:variant>
        <vt:i4>0</vt:i4>
      </vt:variant>
      <vt:variant>
        <vt:i4>5</vt:i4>
      </vt:variant>
      <vt:variant>
        <vt:lpwstr>https://www.cbd.int/doc/decisions/cop-15/cop-15-dec-19-en.pdf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findings from the Methodological Assessment Report on the Diverse Values and Valuation of Nature of the Intergovernmental Science-Policy Platform on Biodiversity and Ecosystem Services and their implications for the work undertaken under the Convention</dc:title>
  <dc:subject>CBD/SBSTTA/25/CRP.xx</dc:subject>
  <dc:creator>Q"apaj Conde</dc:creator>
  <cp:keywords/>
  <dc:description/>
  <cp:lastModifiedBy>Nada Al-Saheb</cp:lastModifiedBy>
  <cp:revision>4</cp:revision>
  <dcterms:created xsi:type="dcterms:W3CDTF">2023-11-21T23:41:00Z</dcterms:created>
  <dcterms:modified xsi:type="dcterms:W3CDTF">2023-11-22T16:03:00Z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