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E53CA" w14:paraId="4DBB70DD" w14:textId="77777777" w:rsidTr="00B7100D">
        <w:trPr>
          <w:trHeight w:val="709"/>
        </w:trPr>
        <w:tc>
          <w:tcPr>
            <w:tcW w:w="976" w:type="dxa"/>
            <w:tcBorders>
              <w:bottom w:val="single" w:sz="12" w:space="0" w:color="auto"/>
            </w:tcBorders>
          </w:tcPr>
          <w:p w14:paraId="504706F9" w14:textId="77777777" w:rsidR="00CE53CA" w:rsidRDefault="00CE53CA" w:rsidP="00B7100D">
            <w:bookmarkStart w:id="0" w:name="Meeting"/>
            <w:r>
              <w:rPr>
                <w:noProof/>
                <w:lang w:val="fr-CA" w:eastAsia="fr-CA"/>
              </w:rPr>
              <w:drawing>
                <wp:inline distT="0" distB="0" distL="0" distR="0" wp14:anchorId="4DB2525E" wp14:editId="4D0ED07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FE365C8" w14:textId="77777777" w:rsidR="00CE53CA" w:rsidRDefault="00CE53CA" w:rsidP="00B7100D">
            <w:r>
              <w:rPr>
                <w:noProof/>
                <w:lang w:val="fr-CA" w:eastAsia="fr-CA"/>
              </w:rPr>
              <w:drawing>
                <wp:inline distT="0" distB="0" distL="0" distR="0" wp14:anchorId="4C6049C9" wp14:editId="24FB74B8">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1C49600" w14:textId="77777777" w:rsidR="00CE53CA" w:rsidRPr="00C9161D" w:rsidRDefault="00CE53CA" w:rsidP="00B7100D">
            <w:pPr>
              <w:jc w:val="right"/>
              <w:rPr>
                <w:rFonts w:ascii="Arial" w:hAnsi="Arial" w:cs="Arial"/>
                <w:b/>
                <w:sz w:val="32"/>
                <w:szCs w:val="32"/>
              </w:rPr>
            </w:pPr>
            <w:r w:rsidRPr="00C9161D">
              <w:rPr>
                <w:rFonts w:ascii="Arial" w:hAnsi="Arial" w:cs="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CE53CA" w:rsidRPr="005440A6" w14:paraId="5A9D6FD2" w14:textId="77777777" w:rsidTr="00B7100D">
        <w:trPr>
          <w:trHeight w:val="1693"/>
        </w:trPr>
        <w:tc>
          <w:tcPr>
            <w:tcW w:w="6227" w:type="dxa"/>
            <w:tcBorders>
              <w:top w:val="nil"/>
              <w:bottom w:val="single" w:sz="36" w:space="0" w:color="000000"/>
            </w:tcBorders>
          </w:tcPr>
          <w:p w14:paraId="2AE5B996" w14:textId="77777777" w:rsidR="00CE53CA" w:rsidRPr="005440A6" w:rsidRDefault="00CE53CA" w:rsidP="00B7100D">
            <w:pPr>
              <w:rPr>
                <w:snapToGrid w:val="0"/>
                <w:kern w:val="22"/>
              </w:rPr>
            </w:pPr>
          </w:p>
          <w:p w14:paraId="4A0D672A" w14:textId="1601AFB2" w:rsidR="00CE53CA" w:rsidRPr="005440A6" w:rsidRDefault="004B7F50" w:rsidP="00B7100D">
            <w:pPr>
              <w:rPr>
                <w:snapToGrid w:val="0"/>
                <w:kern w:val="22"/>
              </w:rPr>
            </w:pPr>
            <w:r w:rsidRPr="00B025CA">
              <w:rPr>
                <w:noProof/>
                <w:kern w:val="22"/>
                <w:lang w:val="fr-CA" w:eastAsia="fr-CA"/>
              </w:rPr>
              <w:drawing>
                <wp:inline distT="0" distB="0" distL="0" distR="0" wp14:anchorId="59BDFBAE" wp14:editId="686D2F01">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p w14:paraId="7F3B8E85" w14:textId="77777777" w:rsidR="00CE53CA" w:rsidRPr="005440A6" w:rsidRDefault="00CE53CA" w:rsidP="00B7100D">
            <w:pPr>
              <w:rPr>
                <w:rFonts w:ascii="Univers" w:hAnsi="Univers"/>
                <w:snapToGrid w:val="0"/>
                <w:kern w:val="22"/>
                <w:sz w:val="32"/>
              </w:rPr>
            </w:pPr>
          </w:p>
        </w:tc>
        <w:tc>
          <w:tcPr>
            <w:tcW w:w="1144" w:type="dxa"/>
            <w:tcBorders>
              <w:top w:val="nil"/>
              <w:bottom w:val="single" w:sz="36" w:space="0" w:color="000000"/>
            </w:tcBorders>
          </w:tcPr>
          <w:p w14:paraId="2AD78379" w14:textId="77777777" w:rsidR="00CE53CA" w:rsidRPr="005440A6" w:rsidRDefault="00CE53CA" w:rsidP="00B7100D">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28DB75E0" w14:textId="77777777" w:rsidR="00CE53CA" w:rsidRPr="005440A6" w:rsidRDefault="00CE53CA" w:rsidP="00B7100D">
            <w:pPr>
              <w:ind w:left="63"/>
              <w:rPr>
                <w:snapToGrid w:val="0"/>
                <w:kern w:val="22"/>
                <w:szCs w:val="22"/>
              </w:rPr>
            </w:pPr>
            <w:r w:rsidRPr="005440A6">
              <w:rPr>
                <w:snapToGrid w:val="0"/>
                <w:kern w:val="22"/>
                <w:szCs w:val="22"/>
              </w:rPr>
              <w:t>Distr.</w:t>
            </w:r>
          </w:p>
          <w:p w14:paraId="0645DFB4" w14:textId="4F3041B4" w:rsidR="00CE53CA" w:rsidRPr="005440A6" w:rsidRDefault="006A13CA" w:rsidP="00B7100D">
            <w:pPr>
              <w:ind w:left="63"/>
              <w:rPr>
                <w:snapToGrid w:val="0"/>
                <w:kern w:val="22"/>
                <w:szCs w:val="22"/>
              </w:rPr>
            </w:pPr>
            <w:r>
              <w:rPr>
                <w:snapToGrid w:val="0"/>
                <w:kern w:val="22"/>
                <w:szCs w:val="22"/>
              </w:rPr>
              <w:t>GÉNÉRALE</w:t>
            </w:r>
          </w:p>
          <w:p w14:paraId="41A3C140" w14:textId="77777777" w:rsidR="00CE53CA" w:rsidRPr="005440A6" w:rsidRDefault="00CE53CA" w:rsidP="00B7100D">
            <w:pPr>
              <w:ind w:left="63"/>
              <w:rPr>
                <w:snapToGrid w:val="0"/>
                <w:kern w:val="22"/>
                <w:szCs w:val="22"/>
              </w:rPr>
            </w:pPr>
          </w:p>
          <w:p w14:paraId="42398B51" w14:textId="21471548" w:rsidR="00CE53CA" w:rsidRPr="005440A6" w:rsidRDefault="000F2AAE" w:rsidP="00B7100D">
            <w:pPr>
              <w:ind w:left="63"/>
              <w:rPr>
                <w:snapToGrid w:val="0"/>
                <w:kern w:val="22"/>
                <w:szCs w:val="22"/>
              </w:rPr>
            </w:pPr>
            <w:sdt>
              <w:sdtPr>
                <w:rPr>
                  <w:snapToGrid w:val="0"/>
                  <w:kern w:val="22"/>
                  <w:szCs w:val="22"/>
                  <w:lang w:val="en-US"/>
                </w:rPr>
                <w:alias w:val="Subject"/>
                <w:tag w:val=""/>
                <w:id w:val="-344942035"/>
                <w:placeholder>
                  <w:docPart w:val="CCEBAC812B83496E97E1ABC3F0E3F3B6"/>
                </w:placeholder>
                <w:dataBinding w:prefixMappings="xmlns:ns0='http://purl.org/dc/elements/1.1/' xmlns:ns1='http://schemas.openxmlformats.org/package/2006/metadata/core-properties' " w:xpath="/ns1:coreProperties[1]/ns0:subject[1]" w:storeItemID="{6C3C8BC8-F283-45AE-878A-BAB7291924A1}"/>
                <w:text/>
              </w:sdtPr>
              <w:sdtEndPr/>
              <w:sdtContent>
                <w:r w:rsidR="00CE53CA">
                  <w:rPr>
                    <w:snapToGrid w:val="0"/>
                    <w:kern w:val="22"/>
                    <w:szCs w:val="22"/>
                    <w:lang w:val="en-US"/>
                  </w:rPr>
                  <w:t>CBD/SBSTTA/</w:t>
                </w:r>
                <w:r w:rsidR="006A13CA">
                  <w:rPr>
                    <w:snapToGrid w:val="0"/>
                    <w:kern w:val="22"/>
                    <w:szCs w:val="22"/>
                    <w:lang w:val="en-US"/>
                  </w:rPr>
                  <w:t>REC/</w:t>
                </w:r>
                <w:r w:rsidR="00CE53CA">
                  <w:rPr>
                    <w:snapToGrid w:val="0"/>
                    <w:kern w:val="22"/>
                    <w:szCs w:val="22"/>
                    <w:lang w:val="en-US"/>
                  </w:rPr>
                  <w:t>23/</w:t>
                </w:r>
                <w:r w:rsidR="006A13CA">
                  <w:rPr>
                    <w:snapToGrid w:val="0"/>
                    <w:kern w:val="22"/>
                    <w:szCs w:val="22"/>
                    <w:lang w:val="en-US"/>
                  </w:rPr>
                  <w:t>4</w:t>
                </w:r>
              </w:sdtContent>
            </w:sdt>
          </w:p>
          <w:p w14:paraId="34A27ED0" w14:textId="6C64DBA6" w:rsidR="00CE53CA" w:rsidRPr="006A13CA" w:rsidRDefault="001F76AE" w:rsidP="00B7100D">
            <w:pPr>
              <w:ind w:left="63"/>
              <w:rPr>
                <w:snapToGrid w:val="0"/>
                <w:kern w:val="22"/>
                <w:szCs w:val="22"/>
                <w:lang w:val="fr-FR"/>
              </w:rPr>
            </w:pPr>
            <w:r w:rsidRPr="006A13CA">
              <w:rPr>
                <w:snapToGrid w:val="0"/>
                <w:kern w:val="22"/>
                <w:szCs w:val="22"/>
                <w:lang w:val="fr-FR"/>
              </w:rPr>
              <w:t>29</w:t>
            </w:r>
            <w:r w:rsidR="00CE53CA" w:rsidRPr="006A13CA">
              <w:rPr>
                <w:snapToGrid w:val="0"/>
                <w:kern w:val="22"/>
                <w:szCs w:val="22"/>
                <w:lang w:val="fr-FR"/>
              </w:rPr>
              <w:t xml:space="preserve"> </w:t>
            </w:r>
            <w:r w:rsidR="00196846" w:rsidRPr="006A13CA">
              <w:rPr>
                <w:snapToGrid w:val="0"/>
                <w:kern w:val="22"/>
                <w:szCs w:val="22"/>
                <w:lang w:val="fr-FR"/>
              </w:rPr>
              <w:t>novembre</w:t>
            </w:r>
            <w:r w:rsidR="00CE53CA" w:rsidRPr="006A13CA">
              <w:rPr>
                <w:snapToGrid w:val="0"/>
                <w:kern w:val="22"/>
                <w:szCs w:val="22"/>
                <w:lang w:val="fr-FR"/>
              </w:rPr>
              <w:t xml:space="preserve"> 2019</w:t>
            </w:r>
          </w:p>
          <w:p w14:paraId="58E7C9FA" w14:textId="77777777" w:rsidR="00CE53CA" w:rsidRPr="005440A6" w:rsidRDefault="00CE53CA" w:rsidP="00B7100D">
            <w:pPr>
              <w:ind w:left="63"/>
              <w:rPr>
                <w:snapToGrid w:val="0"/>
                <w:kern w:val="22"/>
                <w:szCs w:val="22"/>
              </w:rPr>
            </w:pPr>
          </w:p>
          <w:p w14:paraId="0B07B6BD" w14:textId="77777777" w:rsidR="00196846" w:rsidRDefault="00196846" w:rsidP="00B7100D">
            <w:pPr>
              <w:ind w:left="63"/>
              <w:rPr>
                <w:snapToGrid w:val="0"/>
                <w:kern w:val="22"/>
                <w:szCs w:val="22"/>
              </w:rPr>
            </w:pPr>
            <w:r>
              <w:rPr>
                <w:snapToGrid w:val="0"/>
                <w:kern w:val="22"/>
                <w:szCs w:val="22"/>
              </w:rPr>
              <w:t>FRANÇAIS</w:t>
            </w:r>
          </w:p>
          <w:p w14:paraId="4F3C628C" w14:textId="34BC1F37" w:rsidR="00CE53CA" w:rsidRPr="005440A6" w:rsidRDefault="00CE53CA" w:rsidP="00B7100D">
            <w:pPr>
              <w:ind w:left="63"/>
              <w:rPr>
                <w:snapToGrid w:val="0"/>
                <w:color w:val="FF0000"/>
                <w:kern w:val="22"/>
                <w:szCs w:val="22"/>
                <w:u w:val="single"/>
              </w:rPr>
            </w:pPr>
            <w:r w:rsidRPr="005440A6">
              <w:rPr>
                <w:snapToGrid w:val="0"/>
                <w:kern w:val="22"/>
                <w:szCs w:val="22"/>
              </w:rPr>
              <w:t>ORIGINAL</w:t>
            </w:r>
            <w:r w:rsidR="00196846">
              <w:rPr>
                <w:snapToGrid w:val="0"/>
                <w:kern w:val="22"/>
                <w:szCs w:val="22"/>
              </w:rPr>
              <w:t xml:space="preserve"> </w:t>
            </w:r>
            <w:r w:rsidRPr="005440A6">
              <w:rPr>
                <w:snapToGrid w:val="0"/>
                <w:kern w:val="22"/>
                <w:szCs w:val="22"/>
              </w:rPr>
              <w:t>: ENGLISH</w:t>
            </w:r>
          </w:p>
        </w:tc>
      </w:tr>
    </w:tbl>
    <w:bookmarkEnd w:id="0"/>
    <w:p w14:paraId="60896304" w14:textId="7AB7CAB3" w:rsidR="004B7F50" w:rsidRPr="006A13CA" w:rsidRDefault="004B7F50" w:rsidP="004B7F50">
      <w:pPr>
        <w:pStyle w:val="meetingname"/>
        <w:ind w:right="4642"/>
        <w:jc w:val="left"/>
        <w:rPr>
          <w:kern w:val="22"/>
          <w:lang w:val="fr-FR"/>
        </w:rPr>
      </w:pPr>
      <w:r w:rsidRPr="006A13CA">
        <w:rPr>
          <w:kern w:val="22"/>
          <w:lang w:val="fr-FR"/>
        </w:rPr>
        <w:t>organe subsidiaire chargÉ de fournir des avis scientif</w:t>
      </w:r>
      <w:r w:rsidR="00196846" w:rsidRPr="006A13CA">
        <w:rPr>
          <w:kern w:val="22"/>
          <w:lang w:val="fr-FR"/>
        </w:rPr>
        <w:t>i</w:t>
      </w:r>
      <w:r w:rsidRPr="006A13CA">
        <w:rPr>
          <w:kern w:val="22"/>
          <w:lang w:val="fr-FR"/>
        </w:rPr>
        <w:t>ques, techniques et technologiques</w:t>
      </w:r>
    </w:p>
    <w:p w14:paraId="11A87B74" w14:textId="77777777" w:rsidR="004B7F50" w:rsidRPr="006A13CA" w:rsidRDefault="004B7F50" w:rsidP="004B7F50">
      <w:pPr>
        <w:ind w:left="284" w:hanging="284"/>
        <w:jc w:val="left"/>
        <w:rPr>
          <w:noProof/>
          <w:snapToGrid w:val="0"/>
          <w:kern w:val="22"/>
          <w:szCs w:val="22"/>
          <w:lang w:val="fr-FR" w:eastAsia="nb-NO"/>
        </w:rPr>
      </w:pPr>
      <w:r w:rsidRPr="006A13CA">
        <w:rPr>
          <w:noProof/>
          <w:snapToGrid w:val="0"/>
          <w:kern w:val="22"/>
          <w:szCs w:val="22"/>
          <w:lang w:val="fr-FR" w:eastAsia="nb-NO"/>
        </w:rPr>
        <w:t>Vingt</w:t>
      </w:r>
      <w:r w:rsidRPr="006A13CA">
        <w:rPr>
          <w:noProof/>
          <w:snapToGrid w:val="0"/>
          <w:kern w:val="22"/>
          <w:szCs w:val="22"/>
          <w:lang w:val="fr-FR" w:eastAsia="nb-NO"/>
        </w:rPr>
        <w:noBreakHyphen/>
        <w:t>troisième réunion</w:t>
      </w:r>
    </w:p>
    <w:p w14:paraId="0794D34E" w14:textId="77777777" w:rsidR="004B7F50" w:rsidRPr="006A13CA" w:rsidRDefault="004B7F50" w:rsidP="004B7F50">
      <w:pPr>
        <w:rPr>
          <w:snapToGrid w:val="0"/>
          <w:kern w:val="22"/>
          <w:szCs w:val="22"/>
          <w:lang w:val="fr-FR" w:eastAsia="nb-NO"/>
        </w:rPr>
      </w:pPr>
      <w:r w:rsidRPr="006A13CA">
        <w:rPr>
          <w:snapToGrid w:val="0"/>
          <w:kern w:val="22"/>
          <w:szCs w:val="22"/>
          <w:lang w:val="fr-FR" w:eastAsia="nb-NO"/>
        </w:rPr>
        <w:t>Montréal (Canada), 25</w:t>
      </w:r>
      <w:r w:rsidRPr="006A13CA">
        <w:rPr>
          <w:snapToGrid w:val="0"/>
          <w:kern w:val="22"/>
          <w:szCs w:val="22"/>
          <w:lang w:val="fr-FR" w:eastAsia="nb-NO"/>
        </w:rPr>
        <w:noBreakHyphen/>
        <w:t>29 novembre 2019</w:t>
      </w:r>
    </w:p>
    <w:p w14:paraId="54B6CBFA" w14:textId="09178B09" w:rsidR="00C9161D" w:rsidRPr="006A13CA" w:rsidRDefault="004B7F50" w:rsidP="004B7F50">
      <w:pPr>
        <w:rPr>
          <w:lang w:val="fr-FR"/>
        </w:rPr>
      </w:pPr>
      <w:r w:rsidRPr="006A13CA">
        <w:rPr>
          <w:kern w:val="22"/>
          <w:lang w:val="fr-FR"/>
        </w:rPr>
        <w:t>Point </w:t>
      </w:r>
      <w:r w:rsidR="00196846" w:rsidRPr="006A13CA">
        <w:rPr>
          <w:kern w:val="22"/>
          <w:lang w:val="fr-FR"/>
        </w:rPr>
        <w:t>8</w:t>
      </w:r>
      <w:r w:rsidRPr="006A13CA">
        <w:rPr>
          <w:kern w:val="22"/>
          <w:lang w:val="fr-FR"/>
        </w:rPr>
        <w:t xml:space="preserve"> de l’ordre du jour</w:t>
      </w:r>
    </w:p>
    <w:p w14:paraId="03BC1CC7" w14:textId="1F25FACD" w:rsidR="00C9161D" w:rsidRPr="00196846" w:rsidRDefault="006A13CA" w:rsidP="00277427">
      <w:pPr>
        <w:pStyle w:val="Heading1"/>
        <w:tabs>
          <w:tab w:val="clear" w:pos="720"/>
        </w:tabs>
        <w:rPr>
          <w:b w:val="0"/>
          <w:caps w:val="0"/>
          <w:lang w:val="fr-CA"/>
        </w:rPr>
      </w:pPr>
      <w:r w:rsidRPr="006A13CA">
        <w:rPr>
          <w:lang w:val="fr-FR" w:eastAsia="fr-FR"/>
        </w:rPr>
        <w:t>recommandation adoptÉe par l’organe subsidiaire chargÉ de fournir des avis scientifiques, techniques et technologiques</w:t>
      </w:r>
      <w:r w:rsidR="001750C2" w:rsidRPr="00196846">
        <w:rPr>
          <w:lang w:val="fr-CA"/>
        </w:rPr>
        <w:t xml:space="preserve"> </w:t>
      </w:r>
    </w:p>
    <w:p w14:paraId="3B378E09" w14:textId="00338A6D" w:rsidR="00A2286C" w:rsidRPr="00196846" w:rsidRDefault="006A13CA" w:rsidP="00277427">
      <w:pPr>
        <w:pStyle w:val="Heading2"/>
        <w:tabs>
          <w:tab w:val="clear" w:pos="720"/>
        </w:tabs>
        <w:rPr>
          <w:i/>
          <w:lang w:val="fr-FR"/>
        </w:rPr>
      </w:pPr>
      <w:r>
        <w:rPr>
          <w:lang w:val="fr-FR"/>
        </w:rPr>
        <w:t>23/4.</w:t>
      </w:r>
      <w:r>
        <w:rPr>
          <w:lang w:val="fr-FR"/>
        </w:rPr>
        <w:tab/>
        <w:t>Résultats de l’atelier régional visant à facilite</w:t>
      </w:r>
      <w:bookmarkStart w:id="1" w:name="_GoBack"/>
      <w:bookmarkEnd w:id="1"/>
      <w:r>
        <w:rPr>
          <w:lang w:val="fr-FR"/>
        </w:rPr>
        <w:t>r la description des aires marines d’importance écologique ou biologique dans l’Atlantique Nord-Est</w:t>
      </w:r>
    </w:p>
    <w:p w14:paraId="3B18BE57" w14:textId="77777777" w:rsidR="00196846" w:rsidRPr="00623275" w:rsidRDefault="00196846" w:rsidP="00196846">
      <w:pPr>
        <w:spacing w:before="120" w:after="120"/>
        <w:ind w:firstLine="720"/>
        <w:jc w:val="left"/>
        <w:rPr>
          <w:i/>
          <w:iCs/>
          <w:szCs w:val="22"/>
          <w:lang w:val="fr-FR"/>
        </w:rPr>
      </w:pPr>
      <w:r w:rsidRPr="00623275">
        <w:rPr>
          <w:i/>
          <w:snapToGrid w:val="0"/>
          <w:kern w:val="22"/>
          <w:szCs w:val="22"/>
          <w:lang w:val="fr-FR"/>
        </w:rPr>
        <w:t xml:space="preserve">L’Organe subsidiaire chargé de fournir des avis scientifiques, techniques et technologiques </w:t>
      </w:r>
    </w:p>
    <w:p w14:paraId="3F4ADCDB" w14:textId="22862B8F" w:rsidR="00196846" w:rsidRPr="00FB3A5F" w:rsidRDefault="00196846" w:rsidP="00196846">
      <w:pPr>
        <w:spacing w:before="120" w:after="120"/>
        <w:ind w:firstLine="720"/>
        <w:rPr>
          <w:iCs/>
          <w:snapToGrid w:val="0"/>
          <w:kern w:val="22"/>
          <w:szCs w:val="22"/>
          <w:lang w:val="fr-FR"/>
        </w:rPr>
      </w:pPr>
      <w:r w:rsidRPr="00FB3A5F">
        <w:rPr>
          <w:szCs w:val="22"/>
          <w:lang w:val="fr-FR"/>
        </w:rPr>
        <w:t>1.</w:t>
      </w:r>
      <w:r w:rsidRPr="00FB3A5F">
        <w:rPr>
          <w:szCs w:val="22"/>
          <w:lang w:val="fr-FR"/>
        </w:rPr>
        <w:tab/>
      </w:r>
      <w:r w:rsidRPr="00FB3A5F">
        <w:rPr>
          <w:i/>
          <w:szCs w:val="22"/>
          <w:lang w:val="fr-FR"/>
        </w:rPr>
        <w:t>Prend acte</w:t>
      </w:r>
      <w:r w:rsidRPr="00FB3A5F">
        <w:rPr>
          <w:szCs w:val="22"/>
          <w:lang w:val="fr-FR"/>
        </w:rPr>
        <w:t xml:space="preserve"> de la</w:t>
      </w:r>
      <w:r>
        <w:rPr>
          <w:szCs w:val="22"/>
          <w:lang w:val="fr-FR"/>
        </w:rPr>
        <w:t xml:space="preserve"> collaboration </w:t>
      </w:r>
      <w:r w:rsidR="00C6749B">
        <w:rPr>
          <w:szCs w:val="22"/>
          <w:lang w:val="fr-FR"/>
        </w:rPr>
        <w:t>entre</w:t>
      </w:r>
      <w:r w:rsidRPr="00FB3A5F">
        <w:rPr>
          <w:iCs/>
          <w:snapToGrid w:val="0"/>
          <w:kern w:val="22"/>
          <w:szCs w:val="22"/>
          <w:lang w:val="fr-FR"/>
        </w:rPr>
        <w:t xml:space="preserve"> </w:t>
      </w:r>
      <w:r>
        <w:rPr>
          <w:iCs/>
          <w:snapToGrid w:val="0"/>
          <w:kern w:val="22"/>
          <w:szCs w:val="22"/>
          <w:lang w:val="fr-FR"/>
        </w:rPr>
        <w:t>la</w:t>
      </w:r>
      <w:r w:rsidRPr="00B12BE2">
        <w:rPr>
          <w:iCs/>
          <w:snapToGrid w:val="0"/>
          <w:kern w:val="22"/>
          <w:szCs w:val="22"/>
          <w:lang w:val="fr-FR"/>
        </w:rPr>
        <w:t xml:space="preserve"> </w:t>
      </w:r>
      <w:r>
        <w:rPr>
          <w:iCs/>
          <w:snapToGrid w:val="0"/>
          <w:kern w:val="22"/>
          <w:szCs w:val="22"/>
          <w:lang w:val="fr-FR"/>
        </w:rPr>
        <w:t>Convention pour la p</w:t>
      </w:r>
      <w:r w:rsidRPr="00B12BE2">
        <w:rPr>
          <w:iCs/>
          <w:snapToGrid w:val="0"/>
          <w:kern w:val="22"/>
          <w:szCs w:val="22"/>
          <w:lang w:val="fr-FR"/>
        </w:rPr>
        <w:t xml:space="preserve">rotection </w:t>
      </w:r>
      <w:r>
        <w:rPr>
          <w:iCs/>
          <w:snapToGrid w:val="0"/>
          <w:kern w:val="22"/>
          <w:szCs w:val="22"/>
          <w:lang w:val="fr-FR"/>
        </w:rPr>
        <w:t>du milieu marin de l’Atlantique du Nord-Est</w:t>
      </w:r>
      <w:r w:rsidRPr="00B12BE2">
        <w:rPr>
          <w:iCs/>
          <w:snapToGrid w:val="0"/>
          <w:kern w:val="22"/>
          <w:szCs w:val="22"/>
          <w:lang w:val="fr-FR"/>
        </w:rPr>
        <w:t xml:space="preserve"> et </w:t>
      </w:r>
      <w:r>
        <w:rPr>
          <w:iCs/>
          <w:snapToGrid w:val="0"/>
          <w:kern w:val="22"/>
          <w:szCs w:val="22"/>
          <w:lang w:val="fr-FR"/>
        </w:rPr>
        <w:t xml:space="preserve">la </w:t>
      </w:r>
      <w:r w:rsidRPr="00B12BE2">
        <w:rPr>
          <w:iCs/>
          <w:snapToGrid w:val="0"/>
          <w:kern w:val="22"/>
          <w:szCs w:val="22"/>
          <w:lang w:val="fr-FR"/>
        </w:rPr>
        <w:t xml:space="preserve">Commission </w:t>
      </w:r>
      <w:r>
        <w:rPr>
          <w:iCs/>
          <w:snapToGrid w:val="0"/>
          <w:kern w:val="22"/>
          <w:szCs w:val="22"/>
          <w:lang w:val="fr-FR"/>
        </w:rPr>
        <w:t>des pêches de l’Atlantique du Nord-Est</w:t>
      </w:r>
      <w:r w:rsidRPr="00FB3A5F">
        <w:rPr>
          <w:iCs/>
          <w:snapToGrid w:val="0"/>
          <w:kern w:val="22"/>
          <w:szCs w:val="22"/>
          <w:lang w:val="fr-FR"/>
        </w:rPr>
        <w:t xml:space="preserve">, en </w:t>
      </w:r>
      <w:r>
        <w:rPr>
          <w:iCs/>
          <w:snapToGrid w:val="0"/>
          <w:kern w:val="22"/>
          <w:szCs w:val="22"/>
          <w:lang w:val="fr-FR"/>
        </w:rPr>
        <w:t>particulier</w:t>
      </w:r>
      <w:r w:rsidR="00C6749B">
        <w:rPr>
          <w:iCs/>
          <w:snapToGrid w:val="0"/>
          <w:kern w:val="22"/>
          <w:szCs w:val="22"/>
          <w:lang w:val="fr-FR"/>
        </w:rPr>
        <w:t xml:space="preserve"> en ce qui concerne leurs</w:t>
      </w:r>
      <w:r>
        <w:rPr>
          <w:iCs/>
          <w:snapToGrid w:val="0"/>
          <w:kern w:val="22"/>
          <w:szCs w:val="22"/>
          <w:lang w:val="fr-FR"/>
        </w:rPr>
        <w:t xml:space="preserve"> travaux pionniers </w:t>
      </w:r>
      <w:r w:rsidR="00C6749B">
        <w:rPr>
          <w:iCs/>
          <w:snapToGrid w:val="0"/>
          <w:kern w:val="22"/>
          <w:szCs w:val="22"/>
          <w:lang w:val="fr-FR"/>
        </w:rPr>
        <w:t>relatifs aux</w:t>
      </w:r>
      <w:r w:rsidRPr="00FB3A5F">
        <w:rPr>
          <w:snapToGrid w:val="0"/>
          <w:kern w:val="22"/>
          <w:szCs w:val="22"/>
          <w:lang w:val="fr-FR"/>
        </w:rPr>
        <w:t xml:space="preserve"> </w:t>
      </w:r>
      <w:r>
        <w:rPr>
          <w:snapToGrid w:val="0"/>
          <w:kern w:val="22"/>
          <w:szCs w:val="22"/>
          <w:lang w:val="fr-FR"/>
        </w:rPr>
        <w:t>aires marines d’importance écologique ou biologique dans l</w:t>
      </w:r>
      <w:r w:rsidR="00C6749B">
        <w:rPr>
          <w:snapToGrid w:val="0"/>
          <w:kern w:val="22"/>
          <w:szCs w:val="22"/>
          <w:lang w:val="fr-FR"/>
        </w:rPr>
        <w:t>’</w:t>
      </w:r>
      <w:r w:rsidRPr="00B12BE2">
        <w:rPr>
          <w:snapToGrid w:val="0"/>
          <w:kern w:val="22"/>
          <w:szCs w:val="22"/>
          <w:lang w:val="fr-FR"/>
        </w:rPr>
        <w:t>Atlantique Nord-Est</w:t>
      </w:r>
      <w:r w:rsidR="00C6749B">
        <w:rPr>
          <w:snapToGrid w:val="0"/>
          <w:kern w:val="22"/>
          <w:szCs w:val="22"/>
          <w:lang w:val="fr-FR"/>
        </w:rPr>
        <w:t> </w:t>
      </w:r>
      <w:r w:rsidR="00C6749B">
        <w:rPr>
          <w:iCs/>
          <w:snapToGrid w:val="0"/>
          <w:kern w:val="22"/>
          <w:szCs w:val="22"/>
          <w:lang w:val="fr-FR"/>
        </w:rPr>
        <w:t>;</w:t>
      </w:r>
    </w:p>
    <w:p w14:paraId="3607A1D0" w14:textId="193C66B1" w:rsidR="00196846" w:rsidRPr="00CB797E" w:rsidRDefault="00196846" w:rsidP="00196846">
      <w:pPr>
        <w:spacing w:before="120" w:after="120"/>
        <w:ind w:firstLine="720"/>
        <w:rPr>
          <w:iCs/>
          <w:snapToGrid w:val="0"/>
          <w:kern w:val="22"/>
          <w:szCs w:val="22"/>
          <w:lang w:val="fr-FR"/>
        </w:rPr>
      </w:pPr>
      <w:r w:rsidRPr="00CB797E">
        <w:rPr>
          <w:iCs/>
          <w:snapToGrid w:val="0"/>
          <w:kern w:val="22"/>
          <w:szCs w:val="22"/>
          <w:lang w:val="fr-FR"/>
        </w:rPr>
        <w:t>2.</w:t>
      </w:r>
      <w:r w:rsidRPr="00CB797E">
        <w:rPr>
          <w:iCs/>
          <w:snapToGrid w:val="0"/>
          <w:kern w:val="22"/>
          <w:szCs w:val="22"/>
          <w:lang w:val="fr-FR"/>
        </w:rPr>
        <w:tab/>
      </w:r>
      <w:r>
        <w:rPr>
          <w:i/>
          <w:lang w:val="fr-FR"/>
        </w:rPr>
        <w:t>Invite</w:t>
      </w:r>
      <w:r>
        <w:rPr>
          <w:lang w:val="fr-FR"/>
        </w:rPr>
        <w:t xml:space="preserve"> l</w:t>
      </w:r>
      <w:r w:rsidRPr="00CB797E">
        <w:rPr>
          <w:lang w:val="fr-FR"/>
        </w:rPr>
        <w:t xml:space="preserve">e </w:t>
      </w:r>
      <w:r w:rsidRPr="002F15F6">
        <w:rPr>
          <w:kern w:val="22"/>
          <w:szCs w:val="22"/>
          <w:lang w:val="fr-FR" w:bidi="fr-FR"/>
        </w:rPr>
        <w:t xml:space="preserve">Groupe de travail à </w:t>
      </w:r>
      <w:r>
        <w:rPr>
          <w:kern w:val="22"/>
          <w:szCs w:val="22"/>
          <w:lang w:val="fr-FR" w:bidi="fr-FR"/>
        </w:rPr>
        <w:t>composition non limitée sur le c</w:t>
      </w:r>
      <w:r w:rsidRPr="002F15F6">
        <w:rPr>
          <w:kern w:val="22"/>
          <w:szCs w:val="22"/>
          <w:lang w:val="fr-FR" w:bidi="fr-FR"/>
        </w:rPr>
        <w:t>adre mondial de la</w:t>
      </w:r>
      <w:r>
        <w:rPr>
          <w:kern w:val="22"/>
          <w:szCs w:val="22"/>
          <w:lang w:val="fr-FR" w:bidi="fr-FR"/>
        </w:rPr>
        <w:t xml:space="preserve"> biodiversité pour l'après-2020 à utiliser les </w:t>
      </w:r>
      <w:r w:rsidRPr="00CB797E">
        <w:rPr>
          <w:lang w:val="fr-FR"/>
        </w:rPr>
        <w:t>information</w:t>
      </w:r>
      <w:r>
        <w:rPr>
          <w:lang w:val="fr-FR"/>
        </w:rPr>
        <w:t>s scientifiques relatives aux</w:t>
      </w:r>
      <w:r w:rsidRPr="00CB797E">
        <w:rPr>
          <w:lang w:val="fr-FR"/>
        </w:rPr>
        <w:t xml:space="preserve"> </w:t>
      </w:r>
      <w:r w:rsidRPr="00CB797E">
        <w:rPr>
          <w:snapToGrid w:val="0"/>
          <w:kern w:val="22"/>
          <w:szCs w:val="22"/>
          <w:lang w:val="fr-FR"/>
        </w:rPr>
        <w:t xml:space="preserve">aires marines d’importance écologique ou biologique </w:t>
      </w:r>
      <w:r w:rsidRPr="00CB797E">
        <w:rPr>
          <w:iCs/>
          <w:snapToGrid w:val="0"/>
          <w:kern w:val="22"/>
          <w:szCs w:val="22"/>
          <w:lang w:val="fr-FR"/>
        </w:rPr>
        <w:t>comme base de connaissances pour appuyer l’élaboration du cadre mondial de la biodiversité pour l’</w:t>
      </w:r>
      <w:r>
        <w:rPr>
          <w:iCs/>
          <w:snapToGrid w:val="0"/>
          <w:kern w:val="22"/>
          <w:szCs w:val="22"/>
          <w:lang w:val="fr-FR"/>
        </w:rPr>
        <w:t>après</w:t>
      </w:r>
      <w:r w:rsidRPr="00CB797E">
        <w:rPr>
          <w:lang w:val="fr-FR"/>
        </w:rPr>
        <w:noBreakHyphen/>
        <w:t>2020</w:t>
      </w:r>
      <w:r>
        <w:rPr>
          <w:lang w:val="fr-FR"/>
        </w:rPr>
        <w:t xml:space="preserve"> en ce qui concerne le milieu marin</w:t>
      </w:r>
      <w:r w:rsidR="00C6749B">
        <w:rPr>
          <w:lang w:val="fr-FR"/>
        </w:rPr>
        <w:t> ;</w:t>
      </w:r>
    </w:p>
    <w:p w14:paraId="5DD783C0" w14:textId="77777777" w:rsidR="00196846" w:rsidRPr="00623275" w:rsidRDefault="00196846" w:rsidP="00196846">
      <w:pPr>
        <w:pStyle w:val="ListParagraph"/>
        <w:spacing w:before="120" w:after="120"/>
        <w:ind w:left="0" w:firstLine="720"/>
        <w:contextualSpacing w:val="0"/>
        <w:rPr>
          <w:szCs w:val="22"/>
          <w:lang w:val="fr-FR"/>
        </w:rPr>
      </w:pPr>
      <w:r w:rsidRPr="00623275">
        <w:rPr>
          <w:szCs w:val="22"/>
          <w:lang w:val="fr-FR"/>
        </w:rPr>
        <w:t>3.</w:t>
      </w:r>
      <w:r w:rsidRPr="00623275">
        <w:rPr>
          <w:szCs w:val="22"/>
          <w:lang w:val="fr-FR"/>
        </w:rPr>
        <w:tab/>
      </w:r>
      <w:r w:rsidRPr="00623275">
        <w:rPr>
          <w:i/>
          <w:lang w:val="fr-FR"/>
        </w:rPr>
        <w:t xml:space="preserve">Recommande </w:t>
      </w:r>
      <w:r w:rsidRPr="00623275">
        <w:rPr>
          <w:snapToGrid w:val="0"/>
          <w:kern w:val="22"/>
          <w:szCs w:val="22"/>
          <w:lang w:val="fr-FR"/>
        </w:rPr>
        <w:t>que la Conférence des Parties adopte, à sa quinzième réunion, une décision libellée comme suit</w:t>
      </w:r>
      <w:r w:rsidRPr="00623275">
        <w:rPr>
          <w:lang w:val="fr-FR"/>
        </w:rPr>
        <w:t xml:space="preserve"> :</w:t>
      </w:r>
    </w:p>
    <w:p w14:paraId="2FE638C3" w14:textId="77777777" w:rsidR="00196846" w:rsidRPr="00EE4FD0" w:rsidRDefault="00196846" w:rsidP="00196846">
      <w:pPr>
        <w:suppressLineNumbers/>
        <w:suppressAutoHyphens/>
        <w:kinsoku w:val="0"/>
        <w:overflowPunct w:val="0"/>
        <w:autoSpaceDE w:val="0"/>
        <w:autoSpaceDN w:val="0"/>
        <w:spacing w:before="120" w:after="120"/>
        <w:ind w:left="720" w:firstLine="720"/>
        <w:rPr>
          <w:bCs/>
          <w:i/>
          <w:snapToGrid w:val="0"/>
          <w:kern w:val="22"/>
          <w:szCs w:val="22"/>
          <w:lang w:val="fr-FR" w:eastAsia="ko-KR"/>
        </w:rPr>
      </w:pPr>
      <w:r w:rsidRPr="00EE4FD0">
        <w:rPr>
          <w:bCs/>
          <w:i/>
          <w:snapToGrid w:val="0"/>
          <w:kern w:val="22"/>
          <w:szCs w:val="22"/>
          <w:lang w:val="fr-FR" w:eastAsia="ko-KR"/>
        </w:rPr>
        <w:t>La Conférence des Parties</w:t>
      </w:r>
    </w:p>
    <w:p w14:paraId="2E1C6CC7" w14:textId="5048AC06" w:rsidR="00196846" w:rsidRPr="00FF6C82" w:rsidRDefault="00196846" w:rsidP="00196846">
      <w:pPr>
        <w:spacing w:before="120" w:after="120"/>
        <w:ind w:left="709" w:firstLine="709"/>
        <w:rPr>
          <w:iCs/>
          <w:szCs w:val="22"/>
          <w:lang w:val="fr-FR"/>
        </w:rPr>
      </w:pPr>
      <w:r w:rsidRPr="00FF6C82">
        <w:rPr>
          <w:iCs/>
          <w:snapToGrid w:val="0"/>
          <w:kern w:val="22"/>
          <w:szCs w:val="22"/>
          <w:lang w:val="fr-FR"/>
        </w:rPr>
        <w:t>1.</w:t>
      </w:r>
      <w:r w:rsidRPr="00FF6C82">
        <w:rPr>
          <w:iCs/>
          <w:snapToGrid w:val="0"/>
          <w:kern w:val="22"/>
          <w:szCs w:val="22"/>
          <w:lang w:val="fr-FR"/>
        </w:rPr>
        <w:tab/>
      </w:r>
      <w:r w:rsidRPr="00FF6C82">
        <w:rPr>
          <w:i/>
          <w:iCs/>
          <w:szCs w:val="22"/>
          <w:lang w:val="fr-FR"/>
        </w:rPr>
        <w:t xml:space="preserve">Prend acte </w:t>
      </w:r>
      <w:r w:rsidRPr="00FF6C82">
        <w:rPr>
          <w:iCs/>
          <w:szCs w:val="22"/>
          <w:lang w:val="fr-FR"/>
        </w:rPr>
        <w:t xml:space="preserve">du fait que la Secrétaire </w:t>
      </w:r>
      <w:r>
        <w:rPr>
          <w:iCs/>
          <w:szCs w:val="22"/>
          <w:lang w:val="fr-FR"/>
        </w:rPr>
        <w:t>exé</w:t>
      </w:r>
      <w:r w:rsidRPr="00FF6C82">
        <w:rPr>
          <w:iCs/>
          <w:szCs w:val="22"/>
          <w:lang w:val="fr-FR"/>
        </w:rPr>
        <w:t xml:space="preserve">cutive, comme demandé par la Conférence des Parties </w:t>
      </w:r>
      <w:r w:rsidR="00951C84">
        <w:rPr>
          <w:iCs/>
          <w:szCs w:val="22"/>
          <w:lang w:val="fr-FR"/>
        </w:rPr>
        <w:t xml:space="preserve">à ses dixième et onzième </w:t>
      </w:r>
      <w:r w:rsidRPr="00FF6C82">
        <w:rPr>
          <w:iCs/>
          <w:szCs w:val="22"/>
          <w:lang w:val="fr-FR"/>
        </w:rPr>
        <w:t>réunion</w:t>
      </w:r>
      <w:r w:rsidR="00951C84">
        <w:rPr>
          <w:iCs/>
          <w:szCs w:val="22"/>
          <w:lang w:val="fr-FR"/>
        </w:rPr>
        <w:t>s</w:t>
      </w:r>
      <w:r w:rsidR="00C6749B" w:rsidRPr="0052289A">
        <w:rPr>
          <w:rStyle w:val="FootnoteReference"/>
          <w:szCs w:val="22"/>
        </w:rPr>
        <w:footnoteReference w:id="2"/>
      </w:r>
      <w:r w:rsidRPr="00FF6C82">
        <w:rPr>
          <w:iCs/>
          <w:szCs w:val="22"/>
          <w:lang w:val="fr-FR"/>
        </w:rPr>
        <w:t xml:space="preserve">, a mené à bien avec succès la série d’ateliers régionaux, couvrant la plupart des </w:t>
      </w:r>
      <w:r>
        <w:rPr>
          <w:iCs/>
          <w:szCs w:val="22"/>
          <w:lang w:val="fr-FR"/>
        </w:rPr>
        <w:t>océ</w:t>
      </w:r>
      <w:r w:rsidRPr="00FF6C82">
        <w:rPr>
          <w:iCs/>
          <w:szCs w:val="22"/>
          <w:lang w:val="fr-FR"/>
        </w:rPr>
        <w:t xml:space="preserve">ans de la planète, facilitant </w:t>
      </w:r>
      <w:r>
        <w:rPr>
          <w:iCs/>
          <w:szCs w:val="22"/>
          <w:lang w:val="fr-FR"/>
        </w:rPr>
        <w:t xml:space="preserve">ainsi </w:t>
      </w:r>
      <w:r w:rsidRPr="00FF6C82">
        <w:rPr>
          <w:iCs/>
          <w:szCs w:val="22"/>
          <w:lang w:val="fr-FR"/>
        </w:rPr>
        <w:t xml:space="preserve">la description de 338 </w:t>
      </w:r>
      <w:r>
        <w:rPr>
          <w:iCs/>
          <w:szCs w:val="22"/>
          <w:lang w:val="fr-FR"/>
        </w:rPr>
        <w:t>zone</w:t>
      </w:r>
      <w:r w:rsidRPr="00FF6C82">
        <w:rPr>
          <w:iCs/>
          <w:szCs w:val="22"/>
          <w:lang w:val="fr-FR"/>
        </w:rPr>
        <w:t xml:space="preserve">s </w:t>
      </w:r>
      <w:r>
        <w:rPr>
          <w:iCs/>
          <w:szCs w:val="22"/>
          <w:lang w:val="fr-FR"/>
        </w:rPr>
        <w:t xml:space="preserve">qui répondent aux critères des </w:t>
      </w:r>
      <w:r w:rsidRPr="00CB797E">
        <w:rPr>
          <w:snapToGrid w:val="0"/>
          <w:kern w:val="22"/>
          <w:szCs w:val="22"/>
          <w:lang w:val="fr-FR"/>
        </w:rPr>
        <w:t>aires marines d’importance écologique ou biologique</w:t>
      </w:r>
      <w:r w:rsidR="004603CB">
        <w:rPr>
          <w:snapToGrid w:val="0"/>
          <w:kern w:val="22"/>
          <w:szCs w:val="22"/>
          <w:lang w:val="fr-FR"/>
        </w:rPr>
        <w:t> </w:t>
      </w:r>
      <w:r w:rsidR="004603CB">
        <w:rPr>
          <w:iCs/>
          <w:szCs w:val="22"/>
          <w:lang w:val="fr-FR"/>
        </w:rPr>
        <w:t>;</w:t>
      </w:r>
    </w:p>
    <w:p w14:paraId="1385E344" w14:textId="0137D3B8" w:rsidR="00196846" w:rsidRPr="00C41CED" w:rsidRDefault="00196846" w:rsidP="00196846">
      <w:pPr>
        <w:spacing w:before="120" w:after="120"/>
        <w:ind w:left="709" w:firstLine="709"/>
        <w:rPr>
          <w:lang w:val="fr-FR"/>
        </w:rPr>
      </w:pPr>
      <w:r w:rsidRPr="00C41CED">
        <w:rPr>
          <w:lang w:val="fr-FR"/>
        </w:rPr>
        <w:t>2.</w:t>
      </w:r>
      <w:r w:rsidRPr="00C41CED">
        <w:rPr>
          <w:lang w:val="fr-FR"/>
        </w:rPr>
        <w:tab/>
      </w:r>
      <w:r>
        <w:rPr>
          <w:i/>
          <w:iCs/>
          <w:lang w:val="fr-FR"/>
        </w:rPr>
        <w:t xml:space="preserve">Exprime sa reconnaissance </w:t>
      </w:r>
      <w:r w:rsidRPr="00C41CED">
        <w:rPr>
          <w:lang w:val="fr-FR"/>
        </w:rPr>
        <w:t>à toutes les Parties, aux autres gouvernements, aux organisations et</w:t>
      </w:r>
      <w:r>
        <w:rPr>
          <w:lang w:val="fr-FR"/>
        </w:rPr>
        <w:t xml:space="preserve"> aux</w:t>
      </w:r>
      <w:r w:rsidRPr="00C41CED">
        <w:rPr>
          <w:lang w:val="fr-FR"/>
        </w:rPr>
        <w:t xml:space="preserve"> parties prenantes qui ont contribué à ce processus, et </w:t>
      </w:r>
      <w:r w:rsidRPr="00C41CED">
        <w:rPr>
          <w:i/>
          <w:iCs/>
          <w:lang w:val="fr-FR"/>
        </w:rPr>
        <w:t>encourage</w:t>
      </w:r>
      <w:r>
        <w:rPr>
          <w:lang w:val="fr-FR"/>
        </w:rPr>
        <w:t xml:space="preserve"> la poursuite des initiatives visant à décrire des aires qui répondent aux critères des</w:t>
      </w:r>
      <w:r w:rsidRPr="00BA0F63">
        <w:rPr>
          <w:snapToGrid w:val="0"/>
          <w:kern w:val="22"/>
          <w:szCs w:val="22"/>
          <w:lang w:val="fr-FR"/>
        </w:rPr>
        <w:t xml:space="preserve"> </w:t>
      </w:r>
      <w:r w:rsidRPr="00CB797E">
        <w:rPr>
          <w:snapToGrid w:val="0"/>
          <w:kern w:val="22"/>
          <w:szCs w:val="22"/>
          <w:lang w:val="fr-FR"/>
        </w:rPr>
        <w:t>aires marines d’importance écologique ou biologique</w:t>
      </w:r>
      <w:r>
        <w:rPr>
          <w:snapToGrid w:val="0"/>
          <w:kern w:val="22"/>
          <w:szCs w:val="22"/>
          <w:lang w:val="fr-FR"/>
        </w:rPr>
        <w:t xml:space="preserve"> en utilisant les meilleures </w:t>
      </w:r>
      <w:r w:rsidRPr="00C41CED">
        <w:rPr>
          <w:lang w:val="fr-FR"/>
        </w:rPr>
        <w:t>information</w:t>
      </w:r>
      <w:r>
        <w:rPr>
          <w:lang w:val="fr-FR"/>
        </w:rPr>
        <w:t xml:space="preserve">s scientifiques disponibles et afin d’accroître le nombre et la couverture des aires </w:t>
      </w:r>
      <w:r w:rsidRPr="00CB797E">
        <w:rPr>
          <w:snapToGrid w:val="0"/>
          <w:kern w:val="22"/>
          <w:szCs w:val="22"/>
          <w:lang w:val="fr-FR"/>
        </w:rPr>
        <w:t>marines d’importance écologique ou biologique</w:t>
      </w:r>
      <w:r>
        <w:rPr>
          <w:snapToGrid w:val="0"/>
          <w:kern w:val="22"/>
          <w:szCs w:val="22"/>
          <w:lang w:val="fr-FR"/>
        </w:rPr>
        <w:t xml:space="preserve"> partout dans le monde</w:t>
      </w:r>
      <w:r w:rsidRPr="00C41CED">
        <w:rPr>
          <w:lang w:val="fr-FR"/>
        </w:rPr>
        <w:t>;</w:t>
      </w:r>
    </w:p>
    <w:p w14:paraId="126C5A6F" w14:textId="38BAB1C4" w:rsidR="00196846" w:rsidRPr="002741E3" w:rsidRDefault="00196846" w:rsidP="00196846">
      <w:pPr>
        <w:spacing w:before="120" w:after="120"/>
        <w:ind w:left="709" w:firstLine="709"/>
        <w:rPr>
          <w:iCs/>
          <w:snapToGrid w:val="0"/>
          <w:kern w:val="22"/>
          <w:szCs w:val="22"/>
          <w:lang w:val="fr-FR"/>
        </w:rPr>
      </w:pPr>
      <w:r w:rsidRPr="002741E3">
        <w:rPr>
          <w:iCs/>
          <w:snapToGrid w:val="0"/>
          <w:kern w:val="22"/>
          <w:szCs w:val="22"/>
          <w:lang w:val="fr-FR"/>
        </w:rPr>
        <w:t>3.</w:t>
      </w:r>
      <w:r w:rsidRPr="002741E3">
        <w:rPr>
          <w:i/>
          <w:snapToGrid w:val="0"/>
          <w:kern w:val="22"/>
          <w:szCs w:val="22"/>
          <w:lang w:val="fr-FR"/>
        </w:rPr>
        <w:tab/>
      </w:r>
      <w:r>
        <w:rPr>
          <w:i/>
          <w:snapToGrid w:val="0"/>
          <w:kern w:val="22"/>
          <w:szCs w:val="22"/>
          <w:lang w:val="fr-FR"/>
        </w:rPr>
        <w:t>Adresse ses remerciements</w:t>
      </w:r>
      <w:r w:rsidRPr="002741E3">
        <w:rPr>
          <w:i/>
          <w:snapToGrid w:val="0"/>
          <w:kern w:val="22"/>
          <w:szCs w:val="22"/>
          <w:lang w:val="fr-FR"/>
        </w:rPr>
        <w:t xml:space="preserve"> </w:t>
      </w:r>
      <w:r w:rsidRPr="002741E3">
        <w:rPr>
          <w:iCs/>
          <w:snapToGrid w:val="0"/>
          <w:kern w:val="22"/>
          <w:szCs w:val="22"/>
          <w:lang w:val="fr-FR"/>
        </w:rPr>
        <w:t xml:space="preserve">au Gouvernement suédois pour avoir hébergé l’atelier régional visant à faciliter la description des aires marines d’importance écologique ou biologique dans l’Atlantique Nord-Est, </w:t>
      </w:r>
      <w:r>
        <w:rPr>
          <w:iCs/>
          <w:snapToGrid w:val="0"/>
          <w:kern w:val="22"/>
          <w:szCs w:val="22"/>
          <w:lang w:val="fr-FR"/>
        </w:rPr>
        <w:t>ainsi qu’aux</w:t>
      </w:r>
      <w:r w:rsidRPr="002741E3">
        <w:rPr>
          <w:iCs/>
          <w:snapToGrid w:val="0"/>
          <w:kern w:val="22"/>
          <w:szCs w:val="22"/>
          <w:lang w:val="fr-FR"/>
        </w:rPr>
        <w:t xml:space="preserve"> </w:t>
      </w:r>
      <w:r w:rsidR="004603CB">
        <w:rPr>
          <w:iCs/>
          <w:snapToGrid w:val="0"/>
          <w:kern w:val="22"/>
          <w:szCs w:val="22"/>
          <w:lang w:val="fr-FR"/>
        </w:rPr>
        <w:t>G</w:t>
      </w:r>
      <w:r w:rsidRPr="002741E3">
        <w:rPr>
          <w:iCs/>
          <w:snapToGrid w:val="0"/>
          <w:kern w:val="22"/>
          <w:szCs w:val="22"/>
          <w:lang w:val="fr-FR"/>
        </w:rPr>
        <w:t xml:space="preserve">ouvernements de l’Allemagne, du Danemark, de la France et de la Suède pour leur soutien financier apporté à l’atelier, et </w:t>
      </w:r>
      <w:r>
        <w:rPr>
          <w:iCs/>
          <w:snapToGrid w:val="0"/>
          <w:kern w:val="22"/>
          <w:szCs w:val="22"/>
          <w:lang w:val="fr-FR"/>
        </w:rPr>
        <w:t xml:space="preserve">à </w:t>
      </w:r>
      <w:r w:rsidRPr="002741E3">
        <w:rPr>
          <w:iCs/>
          <w:snapToGrid w:val="0"/>
          <w:kern w:val="22"/>
          <w:szCs w:val="22"/>
          <w:lang w:val="fr-FR"/>
        </w:rPr>
        <w:t xml:space="preserve">la Convention pour la </w:t>
      </w:r>
      <w:r w:rsidRPr="002741E3">
        <w:rPr>
          <w:iCs/>
          <w:snapToGrid w:val="0"/>
          <w:kern w:val="22"/>
          <w:szCs w:val="22"/>
          <w:lang w:val="fr-FR"/>
        </w:rPr>
        <w:lastRenderedPageBreak/>
        <w:t>protection du milieu marin de l’Atlantique du Nord-Est et la Commission des pêches de l’Atlantique du Nord-Est pour leur précieuse contribution scientifique et technique</w:t>
      </w:r>
      <w:r w:rsidR="004603CB">
        <w:rPr>
          <w:iCs/>
          <w:snapToGrid w:val="0"/>
          <w:kern w:val="22"/>
          <w:szCs w:val="22"/>
          <w:lang w:val="fr-FR"/>
        </w:rPr>
        <w:t> ;</w:t>
      </w:r>
    </w:p>
    <w:p w14:paraId="61D606AD" w14:textId="5AC845ED" w:rsidR="00196846" w:rsidRPr="002741E3" w:rsidRDefault="00196846" w:rsidP="00196846">
      <w:pPr>
        <w:suppressLineNumbers/>
        <w:suppressAutoHyphens/>
        <w:kinsoku w:val="0"/>
        <w:overflowPunct w:val="0"/>
        <w:autoSpaceDE w:val="0"/>
        <w:autoSpaceDN w:val="0"/>
        <w:spacing w:before="120" w:after="120"/>
        <w:ind w:left="709" w:firstLine="709"/>
        <w:rPr>
          <w:snapToGrid w:val="0"/>
          <w:kern w:val="22"/>
          <w:szCs w:val="22"/>
          <w:lang w:val="fr-FR"/>
        </w:rPr>
      </w:pPr>
      <w:r w:rsidRPr="002741E3">
        <w:rPr>
          <w:iCs/>
          <w:snapToGrid w:val="0"/>
          <w:kern w:val="22"/>
          <w:szCs w:val="22"/>
          <w:lang w:val="fr-FR"/>
        </w:rPr>
        <w:t>4.</w:t>
      </w:r>
      <w:r w:rsidRPr="002741E3">
        <w:rPr>
          <w:iCs/>
          <w:snapToGrid w:val="0"/>
          <w:kern w:val="22"/>
          <w:szCs w:val="22"/>
          <w:lang w:val="fr-FR"/>
        </w:rPr>
        <w:tab/>
      </w:r>
      <w:r>
        <w:rPr>
          <w:i/>
          <w:snapToGrid w:val="0"/>
          <w:kern w:val="22"/>
          <w:szCs w:val="22"/>
          <w:lang w:val="fr-FR"/>
        </w:rPr>
        <w:t>Accueille avec satisfaction</w:t>
      </w:r>
      <w:r>
        <w:rPr>
          <w:snapToGrid w:val="0"/>
          <w:kern w:val="22"/>
          <w:szCs w:val="22"/>
          <w:lang w:val="fr-FR"/>
        </w:rPr>
        <w:t xml:space="preserve"> l</w:t>
      </w:r>
      <w:r w:rsidRPr="00B12BE2">
        <w:rPr>
          <w:snapToGrid w:val="0"/>
          <w:kern w:val="22"/>
          <w:szCs w:val="22"/>
          <w:lang w:val="fr-FR"/>
        </w:rPr>
        <w:t>es rapports de synthèse</w:t>
      </w:r>
      <w:r>
        <w:rPr>
          <w:snapToGrid w:val="0"/>
          <w:kern w:val="22"/>
          <w:szCs w:val="22"/>
          <w:lang w:val="fr-FR"/>
        </w:rPr>
        <w:t xml:space="preserve"> établi</w:t>
      </w:r>
      <w:r w:rsidRPr="00B12BE2">
        <w:rPr>
          <w:snapToGrid w:val="0"/>
          <w:kern w:val="22"/>
          <w:szCs w:val="22"/>
          <w:lang w:val="fr-FR"/>
        </w:rPr>
        <w:t xml:space="preserve">s par l’Organe subsidiaire chargé de fournir des avis scientifiques, techniques et technologiques </w:t>
      </w:r>
      <w:r>
        <w:rPr>
          <w:kern w:val="22"/>
          <w:szCs w:val="22"/>
          <w:lang w:val="fr-FR"/>
        </w:rPr>
        <w:t xml:space="preserve">à sa vingt-troisième </w:t>
      </w:r>
      <w:r w:rsidRPr="00B12BE2">
        <w:rPr>
          <w:snapToGrid w:val="0"/>
          <w:kern w:val="22"/>
          <w:szCs w:val="22"/>
          <w:lang w:val="fr-FR"/>
        </w:rPr>
        <w:t xml:space="preserve">réunion, </w:t>
      </w:r>
      <w:r>
        <w:rPr>
          <w:snapToGrid w:val="0"/>
          <w:kern w:val="22"/>
          <w:szCs w:val="22"/>
          <w:lang w:val="fr-FR"/>
        </w:rPr>
        <w:t xml:space="preserve">qui figurent dans l’annexe </w:t>
      </w:r>
      <w:r w:rsidR="004603CB">
        <w:rPr>
          <w:snapToGrid w:val="0"/>
          <w:kern w:val="22"/>
          <w:szCs w:val="22"/>
          <w:lang w:val="fr-FR"/>
        </w:rPr>
        <w:t>du</w:t>
      </w:r>
      <w:r>
        <w:rPr>
          <w:snapToGrid w:val="0"/>
          <w:kern w:val="22"/>
          <w:szCs w:val="22"/>
          <w:lang w:val="fr-FR"/>
        </w:rPr>
        <w:t xml:space="preserve"> présent projet de </w:t>
      </w:r>
      <w:r w:rsidRPr="00B12BE2">
        <w:rPr>
          <w:snapToGrid w:val="0"/>
          <w:kern w:val="22"/>
          <w:szCs w:val="22"/>
          <w:lang w:val="fr-FR"/>
        </w:rPr>
        <w:t xml:space="preserve">décision et </w:t>
      </w:r>
      <w:r>
        <w:rPr>
          <w:snapToGrid w:val="0"/>
          <w:kern w:val="22"/>
          <w:szCs w:val="22"/>
          <w:lang w:val="fr-FR"/>
        </w:rPr>
        <w:t>sont basés sur le rapport de l’A</w:t>
      </w:r>
      <w:r w:rsidRPr="00B12BE2">
        <w:rPr>
          <w:snapToGrid w:val="0"/>
          <w:kern w:val="22"/>
          <w:szCs w:val="22"/>
          <w:lang w:val="fr-FR"/>
        </w:rPr>
        <w:t>telier régional</w:t>
      </w:r>
      <w:r>
        <w:rPr>
          <w:snapToGrid w:val="0"/>
          <w:kern w:val="22"/>
          <w:szCs w:val="22"/>
          <w:lang w:val="fr-FR"/>
        </w:rPr>
        <w:t xml:space="preserve"> </w:t>
      </w:r>
      <w:r w:rsidR="004603CB">
        <w:rPr>
          <w:snapToGrid w:val="0"/>
          <w:kern w:val="22"/>
          <w:szCs w:val="22"/>
          <w:lang w:val="fr-FR"/>
        </w:rPr>
        <w:t>visant à</w:t>
      </w:r>
      <w:r>
        <w:rPr>
          <w:snapToGrid w:val="0"/>
          <w:kern w:val="22"/>
          <w:szCs w:val="22"/>
          <w:lang w:val="fr-FR"/>
        </w:rPr>
        <w:t xml:space="preserve"> faciliter la description des aires marines d’importance écologique ou biologique dans l</w:t>
      </w:r>
      <w:r w:rsidR="004603CB">
        <w:rPr>
          <w:snapToGrid w:val="0"/>
          <w:kern w:val="22"/>
          <w:szCs w:val="22"/>
          <w:lang w:val="fr-FR"/>
        </w:rPr>
        <w:t>’</w:t>
      </w:r>
      <w:r w:rsidRPr="00B12BE2">
        <w:rPr>
          <w:snapToGrid w:val="0"/>
          <w:kern w:val="22"/>
          <w:szCs w:val="22"/>
          <w:lang w:val="fr-FR"/>
        </w:rPr>
        <w:t>Atlantique Nord-Est</w:t>
      </w:r>
      <w:r w:rsidRPr="00C51754">
        <w:rPr>
          <w:rStyle w:val="FootnoteReference"/>
          <w:rFonts w:eastAsiaTheme="majorEastAsia"/>
          <w:snapToGrid w:val="0"/>
          <w:kern w:val="22"/>
          <w:szCs w:val="22"/>
        </w:rPr>
        <w:footnoteReference w:id="3"/>
      </w:r>
      <w:r w:rsidRPr="002741E3">
        <w:rPr>
          <w:snapToGrid w:val="0"/>
          <w:kern w:val="22"/>
          <w:szCs w:val="22"/>
          <w:lang w:val="fr-FR"/>
        </w:rPr>
        <w:t>;</w:t>
      </w:r>
    </w:p>
    <w:p w14:paraId="3F025B7F" w14:textId="77777777" w:rsidR="00962639" w:rsidRDefault="00196846" w:rsidP="00962639">
      <w:pPr>
        <w:suppressLineNumbers/>
        <w:suppressAutoHyphens/>
        <w:spacing w:before="120" w:after="120"/>
        <w:ind w:left="720" w:firstLine="720"/>
        <w:rPr>
          <w:snapToGrid w:val="0"/>
          <w:lang w:val="fr-CA"/>
        </w:rPr>
        <w:sectPr w:rsidR="00962639" w:rsidSect="00A73F50">
          <w:headerReference w:type="even" r:id="rId15"/>
          <w:headerReference w:type="default" r:id="rId16"/>
          <w:footerReference w:type="even" r:id="rId17"/>
          <w:type w:val="continuous"/>
          <w:pgSz w:w="12240" w:h="15840"/>
          <w:pgMar w:top="567" w:right="1389" w:bottom="1134" w:left="1389" w:header="709" w:footer="709" w:gutter="0"/>
          <w:cols w:space="708"/>
          <w:titlePg/>
          <w:docGrid w:linePitch="360"/>
        </w:sectPr>
      </w:pPr>
      <w:r w:rsidRPr="002741E3">
        <w:rPr>
          <w:iCs/>
          <w:snapToGrid w:val="0"/>
          <w:shd w:val="clear" w:color="auto" w:fill="FFFFFF"/>
          <w:lang w:val="fr-FR"/>
        </w:rPr>
        <w:t>5.</w:t>
      </w:r>
      <w:r w:rsidRPr="002741E3">
        <w:rPr>
          <w:iCs/>
          <w:snapToGrid w:val="0"/>
          <w:shd w:val="clear" w:color="auto" w:fill="FFFFFF"/>
          <w:lang w:val="fr-FR"/>
        </w:rPr>
        <w:tab/>
      </w:r>
      <w:r w:rsidRPr="00B12BE2">
        <w:rPr>
          <w:i/>
          <w:snapToGrid w:val="0"/>
          <w:shd w:val="clear" w:color="auto" w:fill="FFFFFF"/>
          <w:lang w:val="fr-FR"/>
        </w:rPr>
        <w:t>Prie</w:t>
      </w:r>
      <w:r>
        <w:rPr>
          <w:snapToGrid w:val="0"/>
          <w:lang w:val="fr-FR"/>
        </w:rPr>
        <w:t xml:space="preserve"> la</w:t>
      </w:r>
      <w:r w:rsidRPr="00B12BE2">
        <w:rPr>
          <w:snapToGrid w:val="0"/>
          <w:lang w:val="fr-FR"/>
        </w:rPr>
        <w:t xml:space="preserve"> Secrétaire exécutive</w:t>
      </w:r>
      <w:r>
        <w:rPr>
          <w:snapToGrid w:val="0"/>
          <w:lang w:val="fr-FR"/>
        </w:rPr>
        <w:t xml:space="preserve"> d’inclure les </w:t>
      </w:r>
      <w:r w:rsidRPr="00B12BE2">
        <w:rPr>
          <w:snapToGrid w:val="0"/>
          <w:lang w:val="fr-FR"/>
        </w:rPr>
        <w:t xml:space="preserve">rapports de synthèse </w:t>
      </w:r>
      <w:r>
        <w:rPr>
          <w:snapToGrid w:val="0"/>
          <w:lang w:val="fr-FR"/>
        </w:rPr>
        <w:t xml:space="preserve">dans le registre des </w:t>
      </w:r>
      <w:r w:rsidRPr="00B12BE2">
        <w:rPr>
          <w:snapToGrid w:val="0"/>
          <w:lang w:val="fr-FR"/>
        </w:rPr>
        <w:t>aires marines d’importance écologique ou biologique</w:t>
      </w:r>
      <w:r>
        <w:rPr>
          <w:snapToGrid w:val="0"/>
          <w:lang w:val="fr-FR"/>
        </w:rPr>
        <w:t>,</w:t>
      </w:r>
      <w:r w:rsidRPr="00B12BE2">
        <w:rPr>
          <w:snapToGrid w:val="0"/>
          <w:lang w:val="fr-FR"/>
        </w:rPr>
        <w:t xml:space="preserve"> et </w:t>
      </w:r>
      <w:r>
        <w:rPr>
          <w:snapToGrid w:val="0"/>
          <w:lang w:val="fr-FR"/>
        </w:rPr>
        <w:t xml:space="preserve">de les transmettre à l’Assemblée générale des Nations Unies et à ses processus pertinents, ainsi qu’aux </w:t>
      </w:r>
      <w:r w:rsidRPr="00B12BE2">
        <w:rPr>
          <w:snapToGrid w:val="0"/>
          <w:lang w:val="fr-FR"/>
        </w:rPr>
        <w:t xml:space="preserve">Parties, </w:t>
      </w:r>
      <w:r>
        <w:rPr>
          <w:snapToGrid w:val="0"/>
          <w:lang w:val="fr-FR"/>
        </w:rPr>
        <w:t>aux autres g</w:t>
      </w:r>
      <w:r w:rsidRPr="00B12BE2">
        <w:rPr>
          <w:snapToGrid w:val="0"/>
          <w:lang w:val="fr-FR"/>
        </w:rPr>
        <w:t>o</w:t>
      </w:r>
      <w:r>
        <w:rPr>
          <w:snapToGrid w:val="0"/>
          <w:lang w:val="fr-FR"/>
        </w:rPr>
        <w:t>u</w:t>
      </w:r>
      <w:r w:rsidRPr="00B12BE2">
        <w:rPr>
          <w:snapToGrid w:val="0"/>
          <w:lang w:val="fr-FR"/>
        </w:rPr>
        <w:t>vern</w:t>
      </w:r>
      <w:r>
        <w:rPr>
          <w:snapToGrid w:val="0"/>
          <w:lang w:val="fr-FR"/>
        </w:rPr>
        <w:t>e</w:t>
      </w:r>
      <w:r w:rsidRPr="00B12BE2">
        <w:rPr>
          <w:snapToGrid w:val="0"/>
          <w:lang w:val="fr-FR"/>
        </w:rPr>
        <w:t xml:space="preserve">ments et </w:t>
      </w:r>
      <w:r>
        <w:rPr>
          <w:snapToGrid w:val="0"/>
          <w:lang w:val="fr-FR"/>
        </w:rPr>
        <w:t xml:space="preserve">aux organisations </w:t>
      </w:r>
      <w:r w:rsidRPr="00B12BE2">
        <w:rPr>
          <w:snapToGrid w:val="0"/>
          <w:lang w:val="fr-FR"/>
        </w:rPr>
        <w:t>international</w:t>
      </w:r>
      <w:r>
        <w:rPr>
          <w:snapToGrid w:val="0"/>
          <w:lang w:val="fr-FR"/>
        </w:rPr>
        <w:t xml:space="preserve">es compétentes, </w:t>
      </w:r>
      <w:r w:rsidR="0058526C">
        <w:rPr>
          <w:snapToGrid w:val="0"/>
          <w:lang w:val="fr-FR"/>
        </w:rPr>
        <w:t>conformément au</w:t>
      </w:r>
      <w:r>
        <w:rPr>
          <w:snapToGrid w:val="0"/>
          <w:lang w:val="fr-FR"/>
        </w:rPr>
        <w:t xml:space="preserve"> but et </w:t>
      </w:r>
      <w:r w:rsidR="0058526C">
        <w:rPr>
          <w:snapToGrid w:val="0"/>
          <w:lang w:val="fr-FR"/>
        </w:rPr>
        <w:t>aux</w:t>
      </w:r>
      <w:r>
        <w:rPr>
          <w:snapToGrid w:val="0"/>
          <w:lang w:val="fr-FR"/>
        </w:rPr>
        <w:t xml:space="preserve"> procédures énoncés dans les </w:t>
      </w:r>
      <w:r w:rsidRPr="00B12BE2">
        <w:rPr>
          <w:snapToGrid w:val="0"/>
          <w:lang w:val="fr-FR"/>
        </w:rPr>
        <w:t xml:space="preserve">décisions </w:t>
      </w:r>
      <w:hyperlink r:id="rId18" w:history="1">
        <w:r w:rsidRPr="00B12BE2">
          <w:rPr>
            <w:rStyle w:val="Hyperlink"/>
            <w:snapToGrid w:val="0"/>
            <w:kern w:val="22"/>
            <w:sz w:val="22"/>
            <w:szCs w:val="22"/>
            <w:u w:val="none"/>
            <w:lang w:val="fr-FR"/>
          </w:rPr>
          <w:t>X/29</w:t>
        </w:r>
      </w:hyperlink>
      <w:r w:rsidRPr="00B12BE2">
        <w:rPr>
          <w:snapToGrid w:val="0"/>
          <w:lang w:val="fr-FR"/>
        </w:rPr>
        <w:t xml:space="preserve">, </w:t>
      </w:r>
      <w:hyperlink r:id="rId19" w:history="1">
        <w:r w:rsidRPr="00B12BE2">
          <w:rPr>
            <w:rStyle w:val="Hyperlink"/>
            <w:snapToGrid w:val="0"/>
            <w:kern w:val="22"/>
            <w:sz w:val="22"/>
            <w:szCs w:val="22"/>
            <w:u w:val="none"/>
            <w:lang w:val="fr-FR"/>
          </w:rPr>
          <w:t>XI/17</w:t>
        </w:r>
      </w:hyperlink>
      <w:r w:rsidRPr="00B12BE2">
        <w:rPr>
          <w:snapToGrid w:val="0"/>
          <w:lang w:val="fr-FR"/>
        </w:rPr>
        <w:t xml:space="preserve">, </w:t>
      </w:r>
      <w:hyperlink r:id="rId20" w:history="1">
        <w:r w:rsidRPr="00B12BE2">
          <w:rPr>
            <w:rStyle w:val="Hyperlink"/>
            <w:snapToGrid w:val="0"/>
            <w:kern w:val="22"/>
            <w:sz w:val="22"/>
            <w:szCs w:val="22"/>
            <w:u w:val="none"/>
            <w:lang w:val="fr-FR"/>
          </w:rPr>
          <w:t>XII/22</w:t>
        </w:r>
      </w:hyperlink>
      <w:r w:rsidRPr="00B12BE2">
        <w:rPr>
          <w:snapToGrid w:val="0"/>
          <w:lang w:val="fr-FR"/>
        </w:rPr>
        <w:t xml:space="preserve">, </w:t>
      </w:r>
      <w:hyperlink r:id="rId21" w:history="1">
        <w:r w:rsidRPr="00B12BE2">
          <w:rPr>
            <w:rStyle w:val="Hyperlink"/>
            <w:snapToGrid w:val="0"/>
            <w:kern w:val="22"/>
            <w:sz w:val="22"/>
            <w:szCs w:val="22"/>
            <w:u w:val="none"/>
            <w:lang w:val="fr-FR"/>
          </w:rPr>
          <w:t>XIII/12</w:t>
        </w:r>
      </w:hyperlink>
      <w:r w:rsidRPr="00B12BE2">
        <w:rPr>
          <w:rStyle w:val="Hyperlink"/>
          <w:snapToGrid w:val="0"/>
          <w:color w:val="auto"/>
          <w:kern w:val="22"/>
          <w:sz w:val="22"/>
          <w:szCs w:val="22"/>
          <w:u w:val="none"/>
          <w:lang w:val="fr-FR"/>
        </w:rPr>
        <w:t xml:space="preserve"> et </w:t>
      </w:r>
      <w:hyperlink r:id="rId22" w:history="1">
        <w:r w:rsidRPr="00B12BE2">
          <w:rPr>
            <w:rStyle w:val="Hyperlink"/>
            <w:snapToGrid w:val="0"/>
            <w:kern w:val="22"/>
            <w:sz w:val="22"/>
            <w:szCs w:val="22"/>
            <w:u w:val="none"/>
            <w:lang w:val="fr-FR"/>
          </w:rPr>
          <w:t>14/9</w:t>
        </w:r>
      </w:hyperlink>
      <w:r w:rsidR="00684C89" w:rsidRPr="00196846">
        <w:rPr>
          <w:snapToGrid w:val="0"/>
          <w:lang w:val="fr-CA"/>
        </w:rPr>
        <w:t>.</w:t>
      </w:r>
    </w:p>
    <w:p w14:paraId="09EBF072" w14:textId="6A86589C" w:rsidR="00196846" w:rsidRPr="00EE4FD0" w:rsidRDefault="00196846" w:rsidP="002027AF">
      <w:pPr>
        <w:suppressLineNumbers/>
        <w:suppressAutoHyphens/>
        <w:spacing w:before="120" w:after="120"/>
        <w:jc w:val="center"/>
        <w:rPr>
          <w:bCs/>
          <w:i/>
          <w:lang w:val="fr-FR"/>
        </w:rPr>
      </w:pPr>
      <w:r w:rsidRPr="00EE4FD0">
        <w:rPr>
          <w:bCs/>
          <w:i/>
          <w:lang w:val="fr-FR"/>
        </w:rPr>
        <w:lastRenderedPageBreak/>
        <w:t>Add</w:t>
      </w:r>
      <w:r w:rsidR="001430F6">
        <w:rPr>
          <w:bCs/>
          <w:i/>
          <w:lang w:val="fr-FR"/>
        </w:rPr>
        <w:t>itif</w:t>
      </w:r>
    </w:p>
    <w:p w14:paraId="3B73E8A2" w14:textId="77777777" w:rsidR="00196846" w:rsidRPr="00092172" w:rsidRDefault="00196846" w:rsidP="00196846">
      <w:pPr>
        <w:jc w:val="center"/>
        <w:rPr>
          <w:b/>
          <w:bCs/>
          <w:szCs w:val="22"/>
          <w:lang w:val="fr-FR"/>
        </w:rPr>
      </w:pPr>
    </w:p>
    <w:p w14:paraId="68B05090" w14:textId="00D4E7BD" w:rsidR="00196846" w:rsidRPr="00092172" w:rsidRDefault="00196846" w:rsidP="00196846">
      <w:pPr>
        <w:spacing w:after="360"/>
        <w:jc w:val="center"/>
        <w:rPr>
          <w:b/>
          <w:bCs/>
          <w:szCs w:val="22"/>
          <w:lang w:val="fr-FR"/>
        </w:rPr>
      </w:pPr>
      <w:r w:rsidRPr="00092172">
        <w:rPr>
          <w:b/>
          <w:bCs/>
          <w:szCs w:val="22"/>
          <w:lang w:val="fr-FR"/>
        </w:rPr>
        <w:t>RAPPORT DE SYNTHÈSE SUR LA DESCRIPTI</w:t>
      </w:r>
      <w:r>
        <w:rPr>
          <w:b/>
          <w:bCs/>
          <w:szCs w:val="22"/>
          <w:lang w:val="fr-FR"/>
        </w:rPr>
        <w:t>ON DES AIRES QUI RÉPONDENT AUX</w:t>
      </w:r>
      <w:r w:rsidRPr="00092172">
        <w:rPr>
          <w:b/>
          <w:bCs/>
          <w:szCs w:val="22"/>
          <w:lang w:val="fr-FR"/>
        </w:rPr>
        <w:t xml:space="preserve"> CRITÈRES SCIENTIFIQUES DES AIRES MARINES D’IMPORTANCE ÉCOLOGIQUE OU BIOLOGIQUE</w:t>
      </w:r>
      <w:r>
        <w:rPr>
          <w:b/>
          <w:bCs/>
          <w:szCs w:val="22"/>
          <w:lang w:val="fr-FR"/>
        </w:rPr>
        <w:t xml:space="preserve"> DANS L'ATLANTIQUE NORD-EST ET DES ZONES ADJACENTES</w:t>
      </w:r>
    </w:p>
    <w:p w14:paraId="4F0F899D" w14:textId="0E882DCF" w:rsidR="00196846" w:rsidRPr="00092172" w:rsidRDefault="001430F6" w:rsidP="00196846">
      <w:pPr>
        <w:keepNext/>
        <w:suppressLineNumbers/>
        <w:suppressAutoHyphens/>
        <w:kinsoku w:val="0"/>
        <w:overflowPunct w:val="0"/>
        <w:autoSpaceDE w:val="0"/>
        <w:autoSpaceDN w:val="0"/>
        <w:spacing w:before="120" w:after="240"/>
        <w:jc w:val="center"/>
        <w:outlineLvl w:val="0"/>
        <w:rPr>
          <w:bCs/>
          <w:caps/>
          <w:snapToGrid w:val="0"/>
          <w:kern w:val="22"/>
          <w:szCs w:val="22"/>
          <w:lang w:val="fr-FR"/>
        </w:rPr>
      </w:pPr>
      <w:r>
        <w:rPr>
          <w:b/>
          <w:bCs/>
          <w:caps/>
          <w:snapToGrid w:val="0"/>
          <w:kern w:val="22"/>
          <w:szCs w:val="22"/>
          <w:lang w:val="fr-FR"/>
        </w:rPr>
        <w:t>renseignements</w:t>
      </w:r>
      <w:r w:rsidR="00196846" w:rsidRPr="00092172">
        <w:rPr>
          <w:b/>
          <w:bCs/>
          <w:caps/>
          <w:snapToGrid w:val="0"/>
          <w:kern w:val="22"/>
          <w:szCs w:val="22"/>
          <w:lang w:val="fr-FR"/>
        </w:rPr>
        <w:t xml:space="preserve"> gÉnÉr</w:t>
      </w:r>
      <w:r>
        <w:rPr>
          <w:b/>
          <w:bCs/>
          <w:caps/>
          <w:snapToGrid w:val="0"/>
          <w:kern w:val="22"/>
          <w:szCs w:val="22"/>
          <w:lang w:val="fr-FR"/>
        </w:rPr>
        <w:t>aux</w:t>
      </w:r>
    </w:p>
    <w:p w14:paraId="221F3C0E" w14:textId="5BB02B61" w:rsidR="00196846" w:rsidRPr="00092172" w:rsidRDefault="00196846" w:rsidP="00196846">
      <w:pPr>
        <w:suppressLineNumbers/>
        <w:suppressAutoHyphens/>
        <w:kinsoku w:val="0"/>
        <w:overflowPunct w:val="0"/>
        <w:autoSpaceDE w:val="0"/>
        <w:autoSpaceDN w:val="0"/>
        <w:spacing w:before="120" w:after="120"/>
        <w:rPr>
          <w:snapToGrid w:val="0"/>
          <w:kern w:val="22"/>
          <w:szCs w:val="22"/>
          <w:lang w:val="fr-FR"/>
        </w:rPr>
      </w:pPr>
      <w:r w:rsidRPr="00092172">
        <w:rPr>
          <w:snapToGrid w:val="0"/>
          <w:kern w:val="22"/>
          <w:szCs w:val="22"/>
          <w:lang w:val="fr-FR" w:eastAsia="en-GB"/>
        </w:rPr>
        <w:t>1.</w:t>
      </w:r>
      <w:r w:rsidRPr="00092172">
        <w:rPr>
          <w:snapToGrid w:val="0"/>
          <w:kern w:val="22"/>
          <w:szCs w:val="22"/>
          <w:lang w:val="fr-FR" w:eastAsia="en-GB"/>
        </w:rPr>
        <w:tab/>
        <w:t xml:space="preserve">Conformément au paragraphe 36 de la décision </w:t>
      </w:r>
      <w:hyperlink r:id="rId23" w:history="1">
        <w:r w:rsidRPr="00092172">
          <w:rPr>
            <w:snapToGrid w:val="0"/>
            <w:color w:val="0000FF"/>
            <w:kern w:val="22"/>
            <w:szCs w:val="22"/>
            <w:u w:val="single"/>
            <w:lang w:val="fr-FR" w:eastAsia="en-GB"/>
          </w:rPr>
          <w:t>X/29</w:t>
        </w:r>
      </w:hyperlink>
      <w:r w:rsidRPr="00092172">
        <w:rPr>
          <w:snapToGrid w:val="0"/>
          <w:kern w:val="22"/>
          <w:szCs w:val="22"/>
          <w:lang w:val="fr-FR" w:eastAsia="en-GB"/>
        </w:rPr>
        <w:t xml:space="preserve">, au paragraphe 12 de la décision </w:t>
      </w:r>
      <w:hyperlink r:id="rId24" w:history="1">
        <w:r w:rsidRPr="00092172">
          <w:rPr>
            <w:snapToGrid w:val="0"/>
            <w:color w:val="0000FF"/>
            <w:kern w:val="22"/>
            <w:szCs w:val="22"/>
            <w:u w:val="single"/>
            <w:lang w:val="fr-FR" w:eastAsia="en-GB"/>
          </w:rPr>
          <w:t>XI/17</w:t>
        </w:r>
      </w:hyperlink>
      <w:r w:rsidRPr="00092172">
        <w:rPr>
          <w:snapToGrid w:val="0"/>
          <w:kern w:val="22"/>
          <w:szCs w:val="22"/>
          <w:lang w:val="fr-FR" w:eastAsia="en-GB"/>
        </w:rPr>
        <w:t xml:space="preserve">, au paragraphe 6 de la décision </w:t>
      </w:r>
      <w:hyperlink r:id="rId25" w:history="1">
        <w:r w:rsidRPr="00092172">
          <w:rPr>
            <w:snapToGrid w:val="0"/>
            <w:color w:val="0000FF"/>
            <w:kern w:val="22"/>
            <w:szCs w:val="22"/>
            <w:u w:val="single"/>
            <w:lang w:val="fr-FR" w:eastAsia="en-GB"/>
          </w:rPr>
          <w:t>XII/22</w:t>
        </w:r>
      </w:hyperlink>
      <w:r w:rsidRPr="00092172">
        <w:rPr>
          <w:snapToGrid w:val="0"/>
          <w:kern w:val="22"/>
          <w:szCs w:val="22"/>
          <w:lang w:val="fr-FR" w:eastAsia="en-GB"/>
        </w:rPr>
        <w:t xml:space="preserve">, au paragraphe 8 de la décision </w:t>
      </w:r>
      <w:hyperlink r:id="rId26" w:history="1">
        <w:r w:rsidRPr="00092172">
          <w:rPr>
            <w:snapToGrid w:val="0"/>
            <w:color w:val="0000FF"/>
            <w:kern w:val="22"/>
            <w:szCs w:val="22"/>
            <w:u w:val="single"/>
            <w:lang w:val="fr-FR" w:eastAsia="en-GB"/>
          </w:rPr>
          <w:t>XIII/12</w:t>
        </w:r>
      </w:hyperlink>
      <w:r w:rsidRPr="00092172">
        <w:rPr>
          <w:snapToGrid w:val="0"/>
          <w:kern w:val="22"/>
          <w:szCs w:val="22"/>
          <w:lang w:val="fr-FR" w:eastAsia="en-GB"/>
        </w:rPr>
        <w:t xml:space="preserve"> et au paragraphe 4 de la  décision </w:t>
      </w:r>
      <w:hyperlink r:id="rId27" w:history="1">
        <w:r w:rsidRPr="00092172">
          <w:rPr>
            <w:snapToGrid w:val="0"/>
            <w:color w:val="0000FF"/>
            <w:kern w:val="22"/>
            <w:szCs w:val="22"/>
            <w:u w:val="single"/>
            <w:lang w:val="fr-FR" w:eastAsia="en-GB"/>
          </w:rPr>
          <w:t>14/9</w:t>
        </w:r>
      </w:hyperlink>
      <w:r w:rsidRPr="00092172">
        <w:rPr>
          <w:snapToGrid w:val="0"/>
          <w:kern w:val="22"/>
          <w:szCs w:val="22"/>
          <w:lang w:val="fr-FR" w:eastAsia="en-GB"/>
        </w:rPr>
        <w:t>, un atelier régional a été organisé par la Secrétaire exécutive de la Convention sur la diversité biologique visant à faciliter la description des aires marines d’importance écologique ou biologique dans l’Atlantique Nord-Est (Stockholm, 23-27 septembre 2019)</w:t>
      </w:r>
      <w:r w:rsidRPr="00092172">
        <w:rPr>
          <w:snapToGrid w:val="0"/>
          <w:kern w:val="22"/>
          <w:szCs w:val="22"/>
          <w:vertAlign w:val="superscript"/>
          <w:lang w:eastAsia="en-GB"/>
        </w:rPr>
        <w:footnoteReference w:id="4"/>
      </w:r>
      <w:r w:rsidRPr="00092172">
        <w:rPr>
          <w:snapToGrid w:val="0"/>
          <w:kern w:val="22"/>
          <w:szCs w:val="22"/>
          <w:lang w:val="fr-FR" w:eastAsia="en-GB"/>
        </w:rPr>
        <w:t>.</w:t>
      </w:r>
    </w:p>
    <w:p w14:paraId="234FADC5" w14:textId="77AEBD74" w:rsidR="00196846" w:rsidRPr="00092172" w:rsidRDefault="00196846" w:rsidP="00196846">
      <w:pPr>
        <w:suppressLineNumbers/>
        <w:suppressAutoHyphens/>
        <w:kinsoku w:val="0"/>
        <w:overflowPunct w:val="0"/>
        <w:autoSpaceDE w:val="0"/>
        <w:autoSpaceDN w:val="0"/>
        <w:spacing w:before="120" w:after="120"/>
        <w:rPr>
          <w:snapToGrid w:val="0"/>
          <w:kern w:val="22"/>
          <w:szCs w:val="22"/>
          <w:lang w:val="fr-FR"/>
        </w:rPr>
      </w:pPr>
      <w:r w:rsidRPr="00092172">
        <w:rPr>
          <w:snapToGrid w:val="0"/>
          <w:kern w:val="22"/>
          <w:szCs w:val="22"/>
          <w:lang w:val="fr-FR"/>
        </w:rPr>
        <w:t>2.</w:t>
      </w:r>
      <w:r w:rsidRPr="00092172">
        <w:rPr>
          <w:snapToGrid w:val="0"/>
          <w:kern w:val="22"/>
          <w:szCs w:val="22"/>
          <w:lang w:val="fr-FR"/>
        </w:rPr>
        <w:tab/>
      </w:r>
      <w:r w:rsidRPr="00B119CC">
        <w:rPr>
          <w:snapToGrid w:val="0"/>
          <w:kern w:val="22"/>
          <w:szCs w:val="22"/>
          <w:lang w:val="fr-FR"/>
        </w:rPr>
        <w:t>La description des zones qui répondent aux critères des aires marines d’importance écologique ou biologique</w:t>
      </w:r>
      <w:r w:rsidRPr="00B119CC">
        <w:rPr>
          <w:snapToGrid w:val="0"/>
          <w:kern w:val="22"/>
          <w:szCs w:val="22"/>
          <w:lang w:val="fr-FR" w:eastAsia="en-CA"/>
        </w:rPr>
        <w:t xml:space="preserve"> n’implique aucune prise de position quant au statut juridique de tel ou tel pays, territoire, ville ou région ou de ses autorités, ou du tracé de ses frontières. Elle n’a </w:t>
      </w:r>
      <w:r w:rsidR="00B119CC">
        <w:rPr>
          <w:snapToGrid w:val="0"/>
          <w:kern w:val="22"/>
          <w:szCs w:val="22"/>
          <w:lang w:val="fr-FR" w:eastAsia="en-CA"/>
        </w:rPr>
        <w:t xml:space="preserve">également </w:t>
      </w:r>
      <w:r w:rsidRPr="00B119CC">
        <w:rPr>
          <w:snapToGrid w:val="0"/>
          <w:kern w:val="22"/>
          <w:szCs w:val="22"/>
          <w:lang w:val="fr-FR" w:eastAsia="en-CA"/>
        </w:rPr>
        <w:t>aucune conséquence économique</w:t>
      </w:r>
      <w:r w:rsidR="00B119CC">
        <w:rPr>
          <w:snapToGrid w:val="0"/>
          <w:kern w:val="22"/>
          <w:szCs w:val="22"/>
          <w:lang w:val="fr-FR" w:eastAsia="en-CA"/>
        </w:rPr>
        <w:t xml:space="preserve"> ou juridique</w:t>
      </w:r>
      <w:r w:rsidRPr="00B119CC">
        <w:rPr>
          <w:snapToGrid w:val="0"/>
          <w:kern w:val="22"/>
          <w:szCs w:val="22"/>
          <w:lang w:val="fr-FR" w:eastAsia="en-CA"/>
        </w:rPr>
        <w:t>; il s’agit uniquement d’un exercice scientifique et technique</w:t>
      </w:r>
      <w:r w:rsidRPr="00B119CC">
        <w:rPr>
          <w:snapToGrid w:val="0"/>
          <w:kern w:val="22"/>
          <w:szCs w:val="22"/>
          <w:lang w:val="fr-FR"/>
        </w:rPr>
        <w:t>.</w:t>
      </w:r>
    </w:p>
    <w:p w14:paraId="42CA1963" w14:textId="46114D54" w:rsidR="00196846" w:rsidRDefault="00196846" w:rsidP="00196846">
      <w:pPr>
        <w:suppressLineNumbers/>
        <w:suppressAutoHyphens/>
        <w:kinsoku w:val="0"/>
        <w:overflowPunct w:val="0"/>
        <w:autoSpaceDE w:val="0"/>
        <w:autoSpaceDN w:val="0"/>
        <w:spacing w:before="120" w:after="120"/>
        <w:rPr>
          <w:snapToGrid w:val="0"/>
          <w:kern w:val="22"/>
          <w:szCs w:val="22"/>
          <w:lang w:val="fr-FR"/>
        </w:rPr>
      </w:pPr>
      <w:r w:rsidRPr="00092172">
        <w:rPr>
          <w:snapToGrid w:val="0"/>
          <w:kern w:val="22"/>
          <w:szCs w:val="22"/>
          <w:lang w:val="fr-FR"/>
        </w:rPr>
        <w:t>3.</w:t>
      </w:r>
      <w:r w:rsidRPr="00092172">
        <w:rPr>
          <w:snapToGrid w:val="0"/>
          <w:kern w:val="22"/>
          <w:szCs w:val="22"/>
          <w:lang w:val="fr-FR"/>
        </w:rPr>
        <w:tab/>
        <w:t xml:space="preserve">Conformément au paragraphe 12 de la décision XI/17, un résumé des résultats de cet atelier régional figure dans le tableau 1 ci-dessous, tandis qu’une description complète de la façon dont ces zones </w:t>
      </w:r>
      <w:r>
        <w:rPr>
          <w:snapToGrid w:val="0"/>
          <w:kern w:val="22"/>
          <w:szCs w:val="22"/>
          <w:lang w:val="fr-FR"/>
        </w:rPr>
        <w:t>répondent aux critères</w:t>
      </w:r>
      <w:r w:rsidRPr="00092172">
        <w:rPr>
          <w:snapToGrid w:val="0"/>
          <w:kern w:val="22"/>
          <w:szCs w:val="22"/>
          <w:lang w:val="fr-FR"/>
        </w:rPr>
        <w:t xml:space="preserve"> des aires marines d’importance écologique ou biologique figure dans l’annexe </w:t>
      </w:r>
      <w:r w:rsidR="00B119CC">
        <w:rPr>
          <w:snapToGrid w:val="0"/>
          <w:kern w:val="22"/>
          <w:szCs w:val="22"/>
          <w:lang w:val="fr-FR"/>
        </w:rPr>
        <w:t>du</w:t>
      </w:r>
      <w:r w:rsidRPr="00092172">
        <w:rPr>
          <w:snapToGrid w:val="0"/>
          <w:kern w:val="22"/>
          <w:szCs w:val="22"/>
          <w:lang w:val="fr-FR"/>
        </w:rPr>
        <w:t xml:space="preserve"> rapport sur l’atelier</w:t>
      </w:r>
      <w:r>
        <w:rPr>
          <w:snapToGrid w:val="0"/>
          <w:kern w:val="22"/>
          <w:szCs w:val="22"/>
          <w:lang w:val="fr-FR"/>
        </w:rPr>
        <w:t>.</w:t>
      </w:r>
    </w:p>
    <w:p w14:paraId="59F85FCB" w14:textId="7A4F67DA" w:rsidR="00196846" w:rsidRPr="00092172" w:rsidRDefault="00196846" w:rsidP="00196846">
      <w:pPr>
        <w:suppressLineNumbers/>
        <w:suppressAutoHyphens/>
        <w:kinsoku w:val="0"/>
        <w:overflowPunct w:val="0"/>
        <w:autoSpaceDE w:val="0"/>
        <w:autoSpaceDN w:val="0"/>
        <w:spacing w:before="120" w:after="120"/>
        <w:rPr>
          <w:snapToGrid w:val="0"/>
          <w:kern w:val="22"/>
          <w:szCs w:val="22"/>
          <w:lang w:val="fr-FR"/>
        </w:rPr>
      </w:pPr>
      <w:r w:rsidRPr="00092172">
        <w:rPr>
          <w:snapToGrid w:val="0"/>
          <w:kern w:val="22"/>
          <w:szCs w:val="22"/>
          <w:lang w:val="fr-FR"/>
        </w:rPr>
        <w:t>4.</w:t>
      </w:r>
      <w:r w:rsidRPr="00092172">
        <w:rPr>
          <w:snapToGrid w:val="0"/>
          <w:kern w:val="22"/>
          <w:szCs w:val="22"/>
          <w:lang w:val="fr-FR"/>
        </w:rPr>
        <w:tab/>
        <w:t xml:space="preserve">Au paragraphe 26 de la décision X/29, </w:t>
      </w:r>
      <w:r w:rsidRPr="00092172">
        <w:rPr>
          <w:snapToGrid w:val="0"/>
          <w:kern w:val="22"/>
          <w:szCs w:val="22"/>
          <w:lang w:val="fr-FR" w:eastAsia="en-GB"/>
        </w:rPr>
        <w:t>la Conférence des Parties a indiqué que l’</w:t>
      </w:r>
      <w:r w:rsidRPr="00092172">
        <w:rPr>
          <w:snapToGrid w:val="0"/>
          <w:kern w:val="22"/>
          <w:szCs w:val="22"/>
          <w:lang w:val="fr-FR"/>
        </w:rPr>
        <w:t>application des critères des aires marines d’importance écologique ou biologique est un exercice scientifique et technique, que les aires qui r</w:t>
      </w:r>
      <w:r w:rsidR="00B119CC">
        <w:rPr>
          <w:snapToGrid w:val="0"/>
          <w:kern w:val="22"/>
          <w:szCs w:val="22"/>
          <w:lang w:val="fr-FR"/>
        </w:rPr>
        <w:t>épondent</w:t>
      </w:r>
      <w:r w:rsidRPr="00092172">
        <w:rPr>
          <w:snapToGrid w:val="0"/>
          <w:kern w:val="22"/>
          <w:szCs w:val="22"/>
          <w:lang w:val="fr-FR"/>
        </w:rPr>
        <w:t xml:space="preserve"> effectivement </w:t>
      </w:r>
      <w:r w:rsidR="00B119CC">
        <w:rPr>
          <w:snapToGrid w:val="0"/>
          <w:kern w:val="22"/>
          <w:szCs w:val="22"/>
          <w:lang w:val="fr-FR"/>
        </w:rPr>
        <w:t xml:space="preserve">à </w:t>
      </w:r>
      <w:r w:rsidRPr="00092172">
        <w:rPr>
          <w:snapToGrid w:val="0"/>
          <w:kern w:val="22"/>
          <w:szCs w:val="22"/>
          <w:lang w:val="fr-FR"/>
        </w:rPr>
        <w:t xml:space="preserve">ces critères peuvent nécessiter des mesures de conservation et de gestion renforcées, et que ceci peut être accompli par différents moyens, tels que la planification de l’espace marin, les aires marines protégées, d’autres mesures de conservation efficaces par zone, et des études d’impact. Elle a souligné également que l’identification des aires marines d’importance écologique ou biologique et le choix des mesures de conservation et de gestion renforcées relèvent de la compétence des </w:t>
      </w:r>
      <w:r w:rsidR="00F922CD">
        <w:rPr>
          <w:snapToGrid w:val="0"/>
          <w:kern w:val="22"/>
          <w:szCs w:val="22"/>
          <w:lang w:val="fr-FR"/>
        </w:rPr>
        <w:t>É</w:t>
      </w:r>
      <w:r w:rsidRPr="00092172">
        <w:rPr>
          <w:snapToGrid w:val="0"/>
          <w:kern w:val="22"/>
          <w:szCs w:val="22"/>
          <w:lang w:val="fr-FR"/>
        </w:rPr>
        <w:t>tats et des organisations internationales compétentes, conformément au droit international en vigueur, y compris la Convention des Nations Unies sur le droit de la mer</w:t>
      </w:r>
      <w:r w:rsidRPr="00092172">
        <w:rPr>
          <w:rFonts w:eastAsiaTheme="majorEastAsia"/>
          <w:snapToGrid w:val="0"/>
          <w:kern w:val="22"/>
          <w:szCs w:val="22"/>
          <w:vertAlign w:val="superscript"/>
        </w:rPr>
        <w:footnoteReference w:id="5"/>
      </w:r>
      <w:r w:rsidRPr="00092172">
        <w:rPr>
          <w:snapToGrid w:val="0"/>
          <w:kern w:val="22"/>
          <w:szCs w:val="22"/>
          <w:lang w:val="fr-FR"/>
        </w:rPr>
        <w:t>.</w:t>
      </w:r>
    </w:p>
    <w:p w14:paraId="4D01E8D7" w14:textId="77777777" w:rsidR="00196846" w:rsidRPr="00F922CD" w:rsidRDefault="00196846" w:rsidP="00196846">
      <w:pPr>
        <w:keepNext/>
        <w:suppressLineNumbers/>
        <w:tabs>
          <w:tab w:val="left" w:pos="720"/>
          <w:tab w:val="left" w:pos="5865"/>
        </w:tabs>
        <w:suppressAutoHyphens/>
        <w:kinsoku w:val="0"/>
        <w:overflowPunct w:val="0"/>
        <w:autoSpaceDE w:val="0"/>
        <w:autoSpaceDN w:val="0"/>
        <w:spacing w:before="240" w:after="120"/>
        <w:jc w:val="left"/>
        <w:outlineLvl w:val="1"/>
        <w:rPr>
          <w:rFonts w:asciiTheme="majorBidi" w:hAnsiTheme="majorBidi" w:cstheme="majorBidi"/>
          <w:b/>
          <w:bCs/>
          <w:snapToGrid w:val="0"/>
          <w:kern w:val="22"/>
          <w:lang w:val="fr-FR"/>
        </w:rPr>
      </w:pPr>
      <w:r w:rsidRPr="00F922CD">
        <w:rPr>
          <w:rFonts w:asciiTheme="majorBidi" w:hAnsiTheme="majorBidi" w:cstheme="majorBidi"/>
          <w:b/>
          <w:bCs/>
          <w:snapToGrid w:val="0"/>
          <w:kern w:val="22"/>
          <w:lang w:val="fr-FR"/>
        </w:rPr>
        <w:t>Légende des tableaux</w:t>
      </w:r>
      <w:r w:rsidRPr="00F922CD">
        <w:rPr>
          <w:rFonts w:asciiTheme="majorBidi" w:hAnsiTheme="majorBidi" w:cstheme="majorBidi"/>
          <w:b/>
          <w:bCs/>
          <w:snapToGrid w:val="0"/>
          <w:kern w:val="22"/>
          <w:lang w:val="fr-FR"/>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61"/>
        <w:gridCol w:w="5367"/>
      </w:tblGrid>
      <w:tr w:rsidR="00196846" w:rsidRPr="00092172" w14:paraId="293A2D69" w14:textId="77777777" w:rsidTr="00706C3C">
        <w:tc>
          <w:tcPr>
            <w:tcW w:w="3590" w:type="dxa"/>
            <w:shd w:val="clear" w:color="auto" w:fill="auto"/>
          </w:tcPr>
          <w:p w14:paraId="5D4E5A05" w14:textId="77777777" w:rsidR="00196846" w:rsidRPr="00092172" w:rsidRDefault="00196846" w:rsidP="00706C3C">
            <w:pPr>
              <w:suppressLineNumbers/>
              <w:suppressAutoHyphens/>
              <w:kinsoku w:val="0"/>
              <w:overflowPunct w:val="0"/>
              <w:autoSpaceDE w:val="0"/>
              <w:autoSpaceDN w:val="0"/>
              <w:snapToGrid w:val="0"/>
              <w:spacing w:before="120" w:after="120"/>
              <w:jc w:val="left"/>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CLASSEMENT DES CRITÈRES D’IDENTIFICATION DES AIRES MARINES D’IMPORTANCE ÉCOLOGIQUE OU BIOLOGIQUE</w:t>
            </w:r>
          </w:p>
          <w:p w14:paraId="21E04A75" w14:textId="77777777" w:rsidR="00196846" w:rsidRPr="00092172" w:rsidRDefault="00196846" w:rsidP="00706C3C">
            <w:pPr>
              <w:suppressLineNumbers/>
              <w:suppressAutoHyphens/>
              <w:kinsoku w:val="0"/>
              <w:overflowPunct w:val="0"/>
              <w:autoSpaceDE w:val="0"/>
              <w:autoSpaceDN w:val="0"/>
              <w:snapToGrid w:val="0"/>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Degré de pertinence</w:t>
            </w:r>
          </w:p>
          <w:p w14:paraId="34953FC6" w14:textId="77777777" w:rsidR="00196846" w:rsidRPr="00092172" w:rsidRDefault="00196846" w:rsidP="00706C3C">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H :</w:t>
            </w:r>
            <w:r w:rsidRPr="00092172">
              <w:rPr>
                <w:rFonts w:asciiTheme="majorBidi" w:eastAsia="MS Mincho" w:hAnsiTheme="majorBidi" w:cstheme="majorBidi"/>
                <w:b/>
                <w:snapToGrid w:val="0"/>
                <w:kern w:val="22"/>
                <w:szCs w:val="22"/>
                <w:lang w:val="fr-FR"/>
              </w:rPr>
              <w:tab/>
            </w:r>
            <w:r w:rsidRPr="00092172">
              <w:rPr>
                <w:rFonts w:eastAsia="MS Mincho"/>
                <w:b/>
                <w:sz w:val="20"/>
                <w:szCs w:val="20"/>
                <w:lang w:val="fr-FR" w:eastAsia="en-CA"/>
              </w:rPr>
              <w:t>Élevé</w:t>
            </w:r>
          </w:p>
          <w:p w14:paraId="5CBC5D87" w14:textId="77777777" w:rsidR="00196846" w:rsidRPr="00092172" w:rsidRDefault="00196846" w:rsidP="00706C3C">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M :</w:t>
            </w:r>
            <w:r w:rsidRPr="00092172">
              <w:rPr>
                <w:rFonts w:asciiTheme="majorBidi" w:eastAsia="MS Mincho" w:hAnsiTheme="majorBidi" w:cstheme="majorBidi"/>
                <w:b/>
                <w:snapToGrid w:val="0"/>
                <w:kern w:val="22"/>
                <w:szCs w:val="22"/>
                <w:lang w:val="fr-FR"/>
              </w:rPr>
              <w:tab/>
              <w:t>Moyen</w:t>
            </w:r>
          </w:p>
          <w:p w14:paraId="415CF2A3" w14:textId="77777777" w:rsidR="00196846" w:rsidRPr="00092172" w:rsidRDefault="00196846" w:rsidP="00706C3C">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L :</w:t>
            </w:r>
            <w:r w:rsidRPr="00092172">
              <w:rPr>
                <w:rFonts w:asciiTheme="majorBidi" w:eastAsia="MS Mincho" w:hAnsiTheme="majorBidi" w:cstheme="majorBidi"/>
                <w:b/>
                <w:snapToGrid w:val="0"/>
                <w:kern w:val="22"/>
                <w:szCs w:val="22"/>
                <w:lang w:val="fr-FR"/>
              </w:rPr>
              <w:tab/>
              <w:t>Faible</w:t>
            </w:r>
          </w:p>
          <w:p w14:paraId="25D534F4" w14:textId="77777777" w:rsidR="00196846" w:rsidRPr="00092172" w:rsidRDefault="00196846" w:rsidP="00706C3C">
            <w:pPr>
              <w:suppressLineNumbers/>
              <w:tabs>
                <w:tab w:val="left" w:pos="836"/>
              </w:tabs>
              <w:suppressAutoHyphens/>
              <w:kinsoku w:val="0"/>
              <w:overflowPunct w:val="0"/>
              <w:autoSpaceDE w:val="0"/>
              <w:autoSpaceDN w:val="0"/>
              <w:snapToGrid w:val="0"/>
              <w:spacing w:after="120"/>
              <w:ind w:left="425"/>
              <w:rPr>
                <w:rFonts w:asciiTheme="majorBidi" w:eastAsia="MS Mincho" w:hAnsiTheme="majorBidi" w:cstheme="majorBidi"/>
                <w:b/>
                <w:snapToGrid w:val="0"/>
                <w:kern w:val="22"/>
                <w:szCs w:val="22"/>
                <w:lang w:val="fr-FR"/>
              </w:rPr>
            </w:pPr>
            <w:r w:rsidRPr="00092172">
              <w:rPr>
                <w:rFonts w:asciiTheme="majorBidi" w:eastAsia="MS Mincho" w:hAnsiTheme="majorBidi" w:cstheme="majorBidi"/>
                <w:b/>
                <w:snapToGrid w:val="0"/>
                <w:kern w:val="22"/>
                <w:szCs w:val="22"/>
                <w:lang w:val="fr-FR"/>
              </w:rPr>
              <w:t>- :</w:t>
            </w:r>
            <w:r w:rsidRPr="00092172">
              <w:rPr>
                <w:rFonts w:asciiTheme="majorBidi" w:eastAsia="MS Mincho" w:hAnsiTheme="majorBidi" w:cstheme="majorBidi"/>
                <w:b/>
                <w:snapToGrid w:val="0"/>
                <w:kern w:val="22"/>
                <w:szCs w:val="22"/>
                <w:lang w:val="fr-FR"/>
              </w:rPr>
              <w:tab/>
              <w:t>Aucune information</w:t>
            </w:r>
          </w:p>
          <w:p w14:paraId="7F5D3107" w14:textId="77777777" w:rsidR="00196846" w:rsidRPr="00092172" w:rsidRDefault="00196846" w:rsidP="00706C3C">
            <w:pPr>
              <w:suppressLineNumbers/>
              <w:suppressAutoHyphens/>
              <w:kinsoku w:val="0"/>
              <w:overflowPunct w:val="0"/>
              <w:autoSpaceDE w:val="0"/>
              <w:autoSpaceDN w:val="0"/>
              <w:snapToGrid w:val="0"/>
              <w:ind w:left="360"/>
              <w:rPr>
                <w:rFonts w:asciiTheme="majorBidi" w:hAnsiTheme="majorBidi" w:cstheme="majorBidi"/>
                <w:b/>
                <w:snapToGrid w:val="0"/>
                <w:kern w:val="22"/>
                <w:szCs w:val="22"/>
                <w:lang w:val="fr-FR"/>
              </w:rPr>
            </w:pPr>
          </w:p>
        </w:tc>
        <w:tc>
          <w:tcPr>
            <w:tcW w:w="5452" w:type="dxa"/>
          </w:tcPr>
          <w:p w14:paraId="352EE92E" w14:textId="77777777" w:rsidR="00196846" w:rsidRPr="00092172" w:rsidRDefault="00196846" w:rsidP="00706C3C">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Cs w:val="22"/>
              </w:rPr>
            </w:pPr>
            <w:r w:rsidRPr="00092172">
              <w:rPr>
                <w:rFonts w:asciiTheme="majorBidi" w:eastAsia="MS Mincho" w:hAnsiTheme="majorBidi" w:cstheme="majorBidi"/>
                <w:b/>
                <w:snapToGrid w:val="0"/>
                <w:kern w:val="22"/>
                <w:szCs w:val="22"/>
              </w:rPr>
              <w:t>CRITÈRES</w:t>
            </w:r>
          </w:p>
          <w:p w14:paraId="63B46B7E" w14:textId="77777777" w:rsidR="00196846" w:rsidRPr="00F922CD" w:rsidRDefault="00196846" w:rsidP="00196846">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F922CD">
              <w:rPr>
                <w:rFonts w:asciiTheme="majorBidi" w:hAnsiTheme="majorBidi" w:cstheme="majorBidi"/>
                <w:b/>
                <w:bCs/>
                <w:snapToGrid w:val="0"/>
                <w:color w:val="000000"/>
                <w:kern w:val="22"/>
                <w:szCs w:val="22"/>
              </w:rPr>
              <w:t xml:space="preserve">C1 </w:t>
            </w:r>
            <w:r w:rsidRPr="00F922CD">
              <w:rPr>
                <w:rFonts w:asciiTheme="majorBidi" w:hAnsiTheme="majorBidi" w:cstheme="majorBidi"/>
                <w:bCs/>
                <w:snapToGrid w:val="0"/>
                <w:color w:val="000000"/>
                <w:kern w:val="22"/>
                <w:szCs w:val="22"/>
              </w:rPr>
              <w:t xml:space="preserve">: </w:t>
            </w:r>
            <w:r w:rsidRPr="00F922CD">
              <w:rPr>
                <w:color w:val="000000"/>
                <w:szCs w:val="22"/>
                <w:lang w:val="fr-FR" w:eastAsia="en-CA"/>
              </w:rPr>
              <w:t>Caractère unique ou rareté</w:t>
            </w:r>
            <w:r w:rsidRPr="00F922CD">
              <w:rPr>
                <w:rFonts w:asciiTheme="majorBidi" w:hAnsiTheme="majorBidi" w:cstheme="majorBidi"/>
                <w:bCs/>
                <w:snapToGrid w:val="0"/>
                <w:color w:val="000000"/>
                <w:kern w:val="22"/>
                <w:szCs w:val="22"/>
              </w:rPr>
              <w:t xml:space="preserve"> </w:t>
            </w:r>
          </w:p>
          <w:p w14:paraId="1B8C9C30" w14:textId="77777777" w:rsidR="00196846" w:rsidRPr="00F922CD" w:rsidRDefault="00196846" w:rsidP="00196846">
            <w:pPr>
              <w:numPr>
                <w:ilvl w:val="0"/>
                <w:numId w:val="21"/>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Cs w:val="22"/>
                <w:lang w:val="fr-FR"/>
              </w:rPr>
            </w:pPr>
            <w:r w:rsidRPr="00F922CD">
              <w:rPr>
                <w:rFonts w:asciiTheme="majorBidi" w:hAnsiTheme="majorBidi" w:cstheme="majorBidi"/>
                <w:b/>
                <w:bCs/>
                <w:snapToGrid w:val="0"/>
                <w:color w:val="000000"/>
                <w:kern w:val="22"/>
                <w:szCs w:val="22"/>
                <w:lang w:val="fr-FR"/>
              </w:rPr>
              <w:t xml:space="preserve">C2 </w:t>
            </w:r>
            <w:r w:rsidRPr="00F922CD">
              <w:rPr>
                <w:rFonts w:asciiTheme="majorBidi" w:hAnsiTheme="majorBidi" w:cstheme="majorBidi"/>
                <w:bCs/>
                <w:snapToGrid w:val="0"/>
                <w:color w:val="000000"/>
                <w:kern w:val="22"/>
                <w:szCs w:val="22"/>
                <w:lang w:val="fr-FR"/>
              </w:rPr>
              <w:t xml:space="preserve">: </w:t>
            </w:r>
            <w:r w:rsidRPr="00F922CD">
              <w:rPr>
                <w:bCs/>
                <w:color w:val="000000"/>
                <w:szCs w:val="22"/>
                <w:lang w:val="fr-FR" w:eastAsia="en-CA"/>
              </w:rPr>
              <w:t>Importance particulière pour les stades du cycle de vie des espèces</w:t>
            </w:r>
            <w:r w:rsidRPr="00F922CD">
              <w:rPr>
                <w:rFonts w:asciiTheme="majorBidi" w:hAnsiTheme="majorBidi" w:cstheme="majorBidi"/>
                <w:bCs/>
                <w:snapToGrid w:val="0"/>
                <w:color w:val="000000"/>
                <w:kern w:val="22"/>
                <w:szCs w:val="22"/>
                <w:lang w:val="fr-FR"/>
              </w:rPr>
              <w:t xml:space="preserve"> </w:t>
            </w:r>
          </w:p>
          <w:p w14:paraId="7C50A7FD" w14:textId="77777777" w:rsidR="00196846" w:rsidRPr="00F922CD" w:rsidRDefault="00196846" w:rsidP="00196846">
            <w:pPr>
              <w:numPr>
                <w:ilvl w:val="0"/>
                <w:numId w:val="21"/>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Cs w:val="22"/>
                <w:lang w:val="fr-FR"/>
              </w:rPr>
            </w:pPr>
            <w:r w:rsidRPr="00F922CD">
              <w:rPr>
                <w:rFonts w:asciiTheme="majorBidi" w:hAnsiTheme="majorBidi" w:cstheme="majorBidi"/>
                <w:b/>
                <w:bCs/>
                <w:snapToGrid w:val="0"/>
                <w:color w:val="000000"/>
                <w:kern w:val="22"/>
                <w:szCs w:val="22"/>
                <w:lang w:val="fr-FR"/>
              </w:rPr>
              <w:t xml:space="preserve">C3 </w:t>
            </w:r>
            <w:r w:rsidRPr="00F922CD">
              <w:rPr>
                <w:rFonts w:asciiTheme="majorBidi" w:hAnsiTheme="majorBidi" w:cstheme="majorBidi"/>
                <w:bCs/>
                <w:snapToGrid w:val="0"/>
                <w:color w:val="000000"/>
                <w:kern w:val="22"/>
                <w:szCs w:val="22"/>
                <w:lang w:val="fr-FR"/>
              </w:rPr>
              <w:t xml:space="preserve">: Importance </w:t>
            </w:r>
            <w:r w:rsidRPr="00F922CD">
              <w:rPr>
                <w:bCs/>
                <w:color w:val="000000"/>
                <w:szCs w:val="22"/>
                <w:lang w:val="fr-FR" w:eastAsia="en-CA"/>
              </w:rPr>
              <w:t>pour les espèces et/ou les habitats menacés, en danger ou en déclin</w:t>
            </w:r>
          </w:p>
          <w:p w14:paraId="3D498AD9" w14:textId="77777777" w:rsidR="00196846" w:rsidRPr="00F922CD" w:rsidRDefault="00196846" w:rsidP="00196846">
            <w:pPr>
              <w:numPr>
                <w:ilvl w:val="0"/>
                <w:numId w:val="21"/>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Cs w:val="22"/>
                <w:lang w:val="fr-FR"/>
              </w:rPr>
            </w:pPr>
            <w:r w:rsidRPr="00F922CD">
              <w:rPr>
                <w:rFonts w:asciiTheme="majorBidi" w:hAnsiTheme="majorBidi" w:cstheme="majorBidi"/>
                <w:b/>
                <w:bCs/>
                <w:snapToGrid w:val="0"/>
                <w:color w:val="000000"/>
                <w:kern w:val="22"/>
                <w:szCs w:val="22"/>
                <w:lang w:val="fr-FR"/>
              </w:rPr>
              <w:t xml:space="preserve">C4 </w:t>
            </w:r>
            <w:r w:rsidRPr="00F922CD">
              <w:rPr>
                <w:rFonts w:asciiTheme="majorBidi" w:hAnsiTheme="majorBidi" w:cstheme="majorBidi"/>
                <w:bCs/>
                <w:snapToGrid w:val="0"/>
                <w:color w:val="000000"/>
                <w:kern w:val="22"/>
                <w:szCs w:val="22"/>
                <w:lang w:val="fr-FR"/>
              </w:rPr>
              <w:t>: Vulnérabilité, fragilité, sensibilité ou récupération lente</w:t>
            </w:r>
          </w:p>
          <w:p w14:paraId="49607D13" w14:textId="77777777" w:rsidR="00196846" w:rsidRPr="00F922CD" w:rsidRDefault="00196846" w:rsidP="00196846">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fr-FR"/>
              </w:rPr>
            </w:pPr>
            <w:r w:rsidRPr="00F922CD">
              <w:rPr>
                <w:rFonts w:asciiTheme="majorBidi" w:hAnsiTheme="majorBidi" w:cstheme="majorBidi"/>
                <w:b/>
                <w:bCs/>
                <w:snapToGrid w:val="0"/>
                <w:color w:val="000000"/>
                <w:kern w:val="22"/>
                <w:szCs w:val="22"/>
                <w:lang w:val="fr-FR"/>
              </w:rPr>
              <w:t xml:space="preserve">C5 </w:t>
            </w:r>
            <w:r w:rsidRPr="00F922CD">
              <w:rPr>
                <w:rFonts w:asciiTheme="majorBidi" w:hAnsiTheme="majorBidi" w:cstheme="majorBidi"/>
                <w:bCs/>
                <w:snapToGrid w:val="0"/>
                <w:color w:val="000000"/>
                <w:kern w:val="22"/>
                <w:szCs w:val="22"/>
                <w:lang w:val="fr-FR"/>
              </w:rPr>
              <w:t>: Productivité biologique</w:t>
            </w:r>
          </w:p>
          <w:p w14:paraId="15AB1E5E" w14:textId="77777777" w:rsidR="00196846" w:rsidRPr="00F922CD" w:rsidRDefault="00196846" w:rsidP="00196846">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fr-FR"/>
              </w:rPr>
            </w:pPr>
            <w:r w:rsidRPr="00F922CD">
              <w:rPr>
                <w:rFonts w:asciiTheme="majorBidi" w:hAnsiTheme="majorBidi" w:cstheme="majorBidi"/>
                <w:b/>
                <w:bCs/>
                <w:snapToGrid w:val="0"/>
                <w:color w:val="000000"/>
                <w:kern w:val="22"/>
                <w:szCs w:val="22"/>
                <w:lang w:val="fr-FR"/>
              </w:rPr>
              <w:t xml:space="preserve">C6 </w:t>
            </w:r>
            <w:r w:rsidRPr="00F922CD">
              <w:rPr>
                <w:rFonts w:asciiTheme="majorBidi" w:hAnsiTheme="majorBidi" w:cstheme="majorBidi"/>
                <w:bCs/>
                <w:snapToGrid w:val="0"/>
                <w:color w:val="000000"/>
                <w:kern w:val="22"/>
                <w:szCs w:val="22"/>
                <w:lang w:val="fr-FR"/>
              </w:rPr>
              <w:t>: Diversité biologique</w:t>
            </w:r>
          </w:p>
          <w:p w14:paraId="290B153A" w14:textId="2C03A0F2" w:rsidR="00196846" w:rsidRPr="00092172" w:rsidRDefault="00196846" w:rsidP="003F3E03">
            <w:pPr>
              <w:numPr>
                <w:ilvl w:val="0"/>
                <w:numId w:val="21"/>
              </w:numPr>
              <w:suppressLineNumbers/>
              <w:suppressAutoHyphens/>
              <w:kinsoku w:val="0"/>
              <w:overflowPunct w:val="0"/>
              <w:autoSpaceDE w:val="0"/>
              <w:autoSpaceDN w:val="0"/>
              <w:snapToGrid w:val="0"/>
              <w:rPr>
                <w:rFonts w:asciiTheme="majorBidi" w:eastAsia="MS Mincho" w:hAnsiTheme="majorBidi" w:cstheme="majorBidi"/>
                <w:b/>
                <w:snapToGrid w:val="0"/>
                <w:kern w:val="22"/>
                <w:szCs w:val="22"/>
              </w:rPr>
            </w:pPr>
            <w:r w:rsidRPr="00F922CD">
              <w:rPr>
                <w:rFonts w:asciiTheme="majorBidi" w:hAnsiTheme="majorBidi" w:cstheme="majorBidi"/>
                <w:b/>
                <w:snapToGrid w:val="0"/>
                <w:color w:val="000000"/>
                <w:kern w:val="22"/>
                <w:szCs w:val="22"/>
                <w:lang w:val="fr-FR"/>
              </w:rPr>
              <w:t xml:space="preserve">C7 </w:t>
            </w:r>
            <w:r w:rsidRPr="00F922CD">
              <w:rPr>
                <w:rFonts w:asciiTheme="majorBidi" w:hAnsiTheme="majorBidi" w:cstheme="majorBidi"/>
                <w:snapToGrid w:val="0"/>
                <w:color w:val="000000"/>
                <w:kern w:val="22"/>
                <w:szCs w:val="22"/>
                <w:lang w:val="fr-FR"/>
              </w:rPr>
              <w:t>: Caractère naturel</w:t>
            </w:r>
          </w:p>
        </w:tc>
      </w:tr>
    </w:tbl>
    <w:p w14:paraId="37ECD8BB" w14:textId="77777777" w:rsidR="00196846" w:rsidRDefault="00196846" w:rsidP="00196846">
      <w:pPr>
        <w:rPr>
          <w:b/>
          <w:bCs/>
        </w:rPr>
        <w:sectPr w:rsidR="00196846" w:rsidSect="00962639">
          <w:pgSz w:w="12240" w:h="15840"/>
          <w:pgMar w:top="567" w:right="1389" w:bottom="1134" w:left="1389" w:header="709" w:footer="709" w:gutter="0"/>
          <w:cols w:space="708"/>
          <w:docGrid w:linePitch="360"/>
        </w:sectPr>
      </w:pPr>
    </w:p>
    <w:p w14:paraId="144351A2" w14:textId="77777777" w:rsidR="00196846" w:rsidRPr="009F0333" w:rsidRDefault="00196846" w:rsidP="00196846">
      <w:pPr>
        <w:suppressLineNumbers/>
        <w:tabs>
          <w:tab w:val="center" w:pos="4320"/>
          <w:tab w:val="right" w:pos="8640"/>
        </w:tabs>
        <w:suppressAutoHyphens/>
        <w:kinsoku w:val="0"/>
        <w:overflowPunct w:val="0"/>
        <w:autoSpaceDE w:val="0"/>
        <w:autoSpaceDN w:val="0"/>
        <w:ind w:left="1134" w:hanging="1134"/>
        <w:jc w:val="left"/>
        <w:outlineLvl w:val="3"/>
        <w:rPr>
          <w:b/>
          <w:snapToGrid w:val="0"/>
          <w:kern w:val="22"/>
          <w:lang w:val="fr-FR"/>
        </w:rPr>
      </w:pPr>
      <w:r w:rsidRPr="009F0333">
        <w:rPr>
          <w:b/>
          <w:snapToGrid w:val="0"/>
          <w:kern w:val="22"/>
          <w:lang w:val="fr-FR"/>
        </w:rPr>
        <w:lastRenderedPageBreak/>
        <w:t xml:space="preserve">Tableau 1. </w:t>
      </w:r>
      <w:r w:rsidRPr="009F0333">
        <w:rPr>
          <w:b/>
          <w:snapToGrid w:val="0"/>
          <w:kern w:val="22"/>
          <w:lang w:val="fr-FR"/>
        </w:rPr>
        <w:tab/>
        <w:t xml:space="preserve">Description des aires qui </w:t>
      </w:r>
      <w:r>
        <w:rPr>
          <w:b/>
          <w:snapToGrid w:val="0"/>
          <w:kern w:val="22"/>
          <w:lang w:val="fr-FR"/>
        </w:rPr>
        <w:t>répondent aux critères</w:t>
      </w:r>
      <w:r w:rsidRPr="009F0333">
        <w:rPr>
          <w:b/>
          <w:snapToGrid w:val="0"/>
          <w:kern w:val="22"/>
          <w:lang w:val="fr-FR"/>
        </w:rPr>
        <w:t xml:space="preserve"> des aires marines d’importance écologique ou biologique dans l’océan Atlantique Nord-Est</w:t>
      </w:r>
      <w:r>
        <w:rPr>
          <w:b/>
          <w:snapToGrid w:val="0"/>
          <w:kern w:val="22"/>
          <w:lang w:val="fr-FR"/>
        </w:rPr>
        <w:t>, et des zones adjacentes</w:t>
      </w:r>
    </w:p>
    <w:p w14:paraId="759F6334" w14:textId="3049EFDF" w:rsidR="00196846" w:rsidRPr="009F0333" w:rsidRDefault="00196846" w:rsidP="00196846">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lang w:val="fr-FR"/>
        </w:rPr>
      </w:pPr>
      <w:r w:rsidRPr="009F0333">
        <w:rPr>
          <w:i/>
          <w:snapToGrid w:val="0"/>
          <w:kern w:val="22"/>
          <w:lang w:val="fr-FR"/>
        </w:rPr>
        <w:t>(Une description détaillée figure dans le rapport de l’atelier régional visant à faciliter la description des aires marines d’importance écologique ou biologique dans l’Atlantique Nord-Est (</w:t>
      </w:r>
      <w:r w:rsidRPr="009F0333">
        <w:rPr>
          <w:i/>
          <w:snapToGrid w:val="0"/>
          <w:kern w:val="22"/>
          <w:szCs w:val="22"/>
          <w:lang w:val="fr-FR"/>
        </w:rPr>
        <w:t>CBD/EBSA/WS/2019/1/4</w:t>
      </w:r>
      <w:r w:rsidRPr="009F0333">
        <w:rPr>
          <w:i/>
          <w:snapToGrid w:val="0"/>
          <w:kern w:val="22"/>
          <w:lang w:val="fr-FR"/>
        </w:rPr>
        <w:t>))</w:t>
      </w:r>
    </w:p>
    <w:tbl>
      <w:tblPr>
        <w:tblW w:w="132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489"/>
      </w:tblGrid>
      <w:tr w:rsidR="00196846" w:rsidRPr="009F0333" w14:paraId="77D527C5" w14:textId="77777777" w:rsidTr="00E55451">
        <w:trPr>
          <w:trHeight w:val="264"/>
          <w:tblHeader/>
        </w:trPr>
        <w:tc>
          <w:tcPr>
            <w:tcW w:w="9687" w:type="dxa"/>
            <w:vMerge w:val="restart"/>
            <w:shd w:val="clear" w:color="auto" w:fill="auto"/>
          </w:tcPr>
          <w:p w14:paraId="7EADBA4C"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lang w:val="fr-FR"/>
              </w:rPr>
            </w:pPr>
            <w:r w:rsidRPr="009F0333">
              <w:rPr>
                <w:b/>
                <w:snapToGrid w:val="0"/>
                <w:kern w:val="22"/>
                <w:lang w:val="fr-FR"/>
              </w:rPr>
              <w:t>Situation géographique et brève description des aires</w:t>
            </w:r>
          </w:p>
        </w:tc>
        <w:tc>
          <w:tcPr>
            <w:tcW w:w="506" w:type="dxa"/>
          </w:tcPr>
          <w:p w14:paraId="69D0F1EA"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C1</w:t>
            </w:r>
          </w:p>
        </w:tc>
        <w:tc>
          <w:tcPr>
            <w:tcW w:w="506" w:type="dxa"/>
          </w:tcPr>
          <w:p w14:paraId="0FDD850A"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C2</w:t>
            </w:r>
          </w:p>
        </w:tc>
        <w:tc>
          <w:tcPr>
            <w:tcW w:w="506" w:type="dxa"/>
          </w:tcPr>
          <w:p w14:paraId="40457ABE"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C3</w:t>
            </w:r>
          </w:p>
        </w:tc>
        <w:tc>
          <w:tcPr>
            <w:tcW w:w="506" w:type="dxa"/>
          </w:tcPr>
          <w:p w14:paraId="4482A802"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C4</w:t>
            </w:r>
          </w:p>
        </w:tc>
        <w:tc>
          <w:tcPr>
            <w:tcW w:w="506" w:type="dxa"/>
          </w:tcPr>
          <w:p w14:paraId="63743E86"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C5</w:t>
            </w:r>
          </w:p>
        </w:tc>
        <w:tc>
          <w:tcPr>
            <w:tcW w:w="506" w:type="dxa"/>
          </w:tcPr>
          <w:p w14:paraId="7D8F86CC"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C6</w:t>
            </w:r>
          </w:p>
        </w:tc>
        <w:tc>
          <w:tcPr>
            <w:tcW w:w="489" w:type="dxa"/>
          </w:tcPr>
          <w:p w14:paraId="06334470"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r w:rsidRPr="009F0333">
              <w:rPr>
                <w:b/>
                <w:snapToGrid w:val="0"/>
                <w:kern w:val="22"/>
              </w:rPr>
              <w:t>C7</w:t>
            </w:r>
          </w:p>
        </w:tc>
      </w:tr>
      <w:tr w:rsidR="00196846" w:rsidRPr="00196846" w14:paraId="7438A573" w14:textId="77777777" w:rsidTr="00E55451">
        <w:trPr>
          <w:trHeight w:val="264"/>
          <w:tblHeader/>
        </w:trPr>
        <w:tc>
          <w:tcPr>
            <w:tcW w:w="9687" w:type="dxa"/>
            <w:vMerge/>
            <w:shd w:val="clear" w:color="auto" w:fill="auto"/>
          </w:tcPr>
          <w:p w14:paraId="47639B6A" w14:textId="77777777" w:rsidR="00196846" w:rsidRPr="009F0333" w:rsidRDefault="00196846" w:rsidP="00706C3C">
            <w:pPr>
              <w:suppressLineNumbers/>
              <w:suppressAutoHyphens/>
              <w:kinsoku w:val="0"/>
              <w:overflowPunct w:val="0"/>
              <w:autoSpaceDE w:val="0"/>
              <w:autoSpaceDN w:val="0"/>
              <w:snapToGrid w:val="0"/>
              <w:jc w:val="center"/>
              <w:rPr>
                <w:b/>
                <w:snapToGrid w:val="0"/>
                <w:kern w:val="22"/>
              </w:rPr>
            </w:pPr>
          </w:p>
        </w:tc>
        <w:tc>
          <w:tcPr>
            <w:tcW w:w="3525" w:type="dxa"/>
            <w:gridSpan w:val="7"/>
          </w:tcPr>
          <w:p w14:paraId="534E0C3F" w14:textId="435BD335" w:rsidR="00196846" w:rsidRPr="009F0333" w:rsidRDefault="00196846" w:rsidP="00706C3C">
            <w:pPr>
              <w:suppressLineNumbers/>
              <w:suppressAutoHyphens/>
              <w:kinsoku w:val="0"/>
              <w:overflowPunct w:val="0"/>
              <w:autoSpaceDE w:val="0"/>
              <w:autoSpaceDN w:val="0"/>
              <w:snapToGrid w:val="0"/>
              <w:jc w:val="center"/>
              <w:rPr>
                <w:b/>
                <w:snapToGrid w:val="0"/>
                <w:kern w:val="22"/>
                <w:lang w:val="fr-FR"/>
              </w:rPr>
            </w:pPr>
            <w:r w:rsidRPr="009F0333">
              <w:rPr>
                <w:rFonts w:ascii="Arial Narrow" w:hAnsi="Arial Narrow"/>
                <w:snapToGrid w:val="0"/>
                <w:kern w:val="22"/>
                <w:sz w:val="20"/>
                <w:lang w:val="fr-FR"/>
              </w:rPr>
              <w:t xml:space="preserve">Voir la légende des </w:t>
            </w:r>
            <w:r w:rsidR="001530AB">
              <w:rPr>
                <w:rFonts w:ascii="Arial Narrow" w:hAnsi="Arial Narrow"/>
                <w:snapToGrid w:val="0"/>
                <w:kern w:val="22"/>
                <w:sz w:val="20"/>
                <w:lang w:val="fr-FR"/>
              </w:rPr>
              <w:t>tableaux</w:t>
            </w:r>
            <w:r w:rsidRPr="009F0333">
              <w:rPr>
                <w:rFonts w:ascii="Arial Narrow" w:hAnsi="Arial Narrow"/>
                <w:snapToGrid w:val="0"/>
                <w:kern w:val="22"/>
                <w:sz w:val="20"/>
                <w:lang w:val="fr-FR"/>
              </w:rPr>
              <w:t xml:space="preserve"> </w:t>
            </w:r>
            <w:r w:rsidR="001530AB">
              <w:rPr>
                <w:rFonts w:ascii="Arial Narrow" w:hAnsi="Arial Narrow"/>
                <w:snapToGrid w:val="0"/>
                <w:kern w:val="22"/>
                <w:sz w:val="20"/>
                <w:lang w:val="fr-FR"/>
              </w:rPr>
              <w:t>ci-dessus</w:t>
            </w:r>
          </w:p>
        </w:tc>
      </w:tr>
      <w:tr w:rsidR="00196846" w:rsidRPr="009F0333" w14:paraId="08E4C622" w14:textId="77777777" w:rsidTr="00E55451">
        <w:tc>
          <w:tcPr>
            <w:tcW w:w="9687" w:type="dxa"/>
            <w:shd w:val="clear" w:color="auto" w:fill="auto"/>
          </w:tcPr>
          <w:p w14:paraId="3C302171" w14:textId="77777777" w:rsidR="00196846" w:rsidRPr="009F0333" w:rsidRDefault="00196846" w:rsidP="00706C3C">
            <w:pPr>
              <w:suppressLineNumbers/>
              <w:suppressAutoHyphens/>
              <w:kinsoku w:val="0"/>
              <w:overflowPunct w:val="0"/>
              <w:autoSpaceDE w:val="0"/>
              <w:autoSpaceDN w:val="0"/>
              <w:snapToGrid w:val="0"/>
              <w:rPr>
                <w:b/>
                <w:snapToGrid w:val="0"/>
                <w:kern w:val="22"/>
              </w:rPr>
            </w:pPr>
            <w:r w:rsidRPr="009F0333">
              <w:rPr>
                <w:b/>
                <w:snapToGrid w:val="0"/>
                <w:kern w:val="22"/>
              </w:rPr>
              <w:t xml:space="preserve">1. Skagerrak </w:t>
            </w:r>
            <w:proofErr w:type="spellStart"/>
            <w:r w:rsidRPr="009F0333">
              <w:rPr>
                <w:b/>
                <w:snapToGrid w:val="0"/>
                <w:kern w:val="22"/>
              </w:rPr>
              <w:t>danois</w:t>
            </w:r>
            <w:proofErr w:type="spellEnd"/>
          </w:p>
          <w:p w14:paraId="1D7FBED9" w14:textId="77777777" w:rsidR="00196846" w:rsidRPr="009F0333" w:rsidRDefault="00196846" w:rsidP="00196846">
            <w:pPr>
              <w:numPr>
                <w:ilvl w:val="0"/>
                <w:numId w:val="22"/>
              </w:numPr>
              <w:suppressLineNumbers/>
              <w:suppressAutoHyphens/>
              <w:kinsoku w:val="0"/>
              <w:overflowPunct w:val="0"/>
              <w:autoSpaceDE w:val="0"/>
              <w:autoSpaceDN w:val="0"/>
              <w:rPr>
                <w:snapToGrid w:val="0"/>
                <w:kern w:val="22"/>
                <w:lang w:val="fr-FR"/>
              </w:rPr>
            </w:pPr>
            <w:r w:rsidRPr="009F0333">
              <w:rPr>
                <w:snapToGrid w:val="0"/>
                <w:kern w:val="22"/>
                <w:lang w:val="fr-FR"/>
              </w:rPr>
              <w:t xml:space="preserve">Situation géographique : Cette aire est située dans la partie danoise de Skagerrak. L’aire s’étend à l’est à 6°45’E, jusqu’à </w:t>
            </w:r>
            <w:proofErr w:type="spellStart"/>
            <w:r w:rsidRPr="009F0333">
              <w:rPr>
                <w:snapToGrid w:val="0"/>
                <w:kern w:val="22"/>
                <w:lang w:val="fr-FR"/>
              </w:rPr>
              <w:t>Skagen</w:t>
            </w:r>
            <w:proofErr w:type="spellEnd"/>
            <w:r w:rsidRPr="009F0333">
              <w:rPr>
                <w:snapToGrid w:val="0"/>
                <w:kern w:val="22"/>
                <w:lang w:val="fr-FR"/>
              </w:rPr>
              <w:t xml:space="preserve">, la pointe nord de Jutland, et s’étend au nord-est en partant de </w:t>
            </w:r>
            <w:proofErr w:type="spellStart"/>
            <w:r w:rsidRPr="009F0333">
              <w:rPr>
                <w:snapToGrid w:val="0"/>
                <w:kern w:val="22"/>
                <w:lang w:val="fr-FR"/>
              </w:rPr>
              <w:t>Skagen</w:t>
            </w:r>
            <w:proofErr w:type="spellEnd"/>
            <w:r w:rsidRPr="009F0333">
              <w:rPr>
                <w:snapToGrid w:val="0"/>
                <w:kern w:val="22"/>
                <w:lang w:val="fr-FR"/>
              </w:rPr>
              <w:t>. Elle couvre une superficie de 7876 km</w:t>
            </w:r>
            <w:r w:rsidRPr="009F0333">
              <w:rPr>
                <w:snapToGrid w:val="0"/>
                <w:kern w:val="22"/>
                <w:vertAlign w:val="superscript"/>
                <w:lang w:val="fr-FR"/>
              </w:rPr>
              <w:t>2</w:t>
            </w:r>
            <w:r w:rsidRPr="009F0333">
              <w:rPr>
                <w:snapToGrid w:val="0"/>
                <w:kern w:val="22"/>
                <w:lang w:val="fr-FR"/>
              </w:rPr>
              <w:t xml:space="preserve"> et atteint des profondeurs de 465 mètres en s’éloignant des côtes. Les parties nord et ouest de l’aire couvrent la limite sud de la Fosse norvégienne.</w:t>
            </w:r>
          </w:p>
          <w:p w14:paraId="48C959A8" w14:textId="77777777" w:rsidR="00196846" w:rsidRPr="009F0333" w:rsidRDefault="00196846" w:rsidP="00196846">
            <w:pPr>
              <w:numPr>
                <w:ilvl w:val="0"/>
                <w:numId w:val="22"/>
              </w:numPr>
              <w:suppressLineNumbers/>
              <w:suppressAutoHyphens/>
              <w:kinsoku w:val="0"/>
              <w:overflowPunct w:val="0"/>
              <w:autoSpaceDE w:val="0"/>
              <w:autoSpaceDN w:val="0"/>
              <w:rPr>
                <w:snapToGrid w:val="0"/>
                <w:kern w:val="22"/>
                <w:lang w:val="fr-FR"/>
              </w:rPr>
            </w:pPr>
            <w:r w:rsidRPr="009F0333">
              <w:rPr>
                <w:snapToGrid w:val="0"/>
                <w:kern w:val="22"/>
                <w:lang w:val="fr-FR"/>
              </w:rPr>
              <w:t>Cette aire est caractérisée par une zone de remontée d’eaux profondes très productive, située le long de la limite sud de la Fosse norvégienne. Cette aire contient une biomasse et une diversité halieutiques élevées, et la zone de remontée d’eaux profondes fournit aussi des sites d’alimentation importants pour plusieurs espèces de cétacés et d’oiseaux.</w:t>
            </w:r>
          </w:p>
        </w:tc>
        <w:tc>
          <w:tcPr>
            <w:tcW w:w="506" w:type="dxa"/>
            <w:vAlign w:val="center"/>
          </w:tcPr>
          <w:p w14:paraId="6F815F2A"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12CC5F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DB4854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516AC79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L</w:t>
            </w:r>
          </w:p>
        </w:tc>
        <w:tc>
          <w:tcPr>
            <w:tcW w:w="506" w:type="dxa"/>
            <w:vAlign w:val="center"/>
          </w:tcPr>
          <w:p w14:paraId="0878E0C7"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053E6B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489" w:type="dxa"/>
            <w:vAlign w:val="center"/>
          </w:tcPr>
          <w:p w14:paraId="4DC7E68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L</w:t>
            </w:r>
          </w:p>
        </w:tc>
      </w:tr>
      <w:tr w:rsidR="00196846" w:rsidRPr="009F0333" w14:paraId="48A2541B" w14:textId="77777777" w:rsidTr="00E55451">
        <w:tc>
          <w:tcPr>
            <w:tcW w:w="9687" w:type="dxa"/>
            <w:shd w:val="clear" w:color="auto" w:fill="auto"/>
          </w:tcPr>
          <w:p w14:paraId="4B91B315" w14:textId="77777777" w:rsidR="00196846" w:rsidRPr="009F0333" w:rsidRDefault="00196846" w:rsidP="00706C3C">
            <w:pPr>
              <w:suppressLineNumbers/>
              <w:suppressAutoHyphens/>
              <w:kinsoku w:val="0"/>
              <w:overflowPunct w:val="0"/>
              <w:autoSpaceDE w:val="0"/>
              <w:autoSpaceDN w:val="0"/>
              <w:snapToGrid w:val="0"/>
              <w:rPr>
                <w:b/>
                <w:snapToGrid w:val="0"/>
                <w:kern w:val="22"/>
              </w:rPr>
            </w:pPr>
            <w:r w:rsidRPr="009F0333">
              <w:rPr>
                <w:b/>
                <w:snapToGrid w:val="0"/>
                <w:kern w:val="22"/>
              </w:rPr>
              <w:t xml:space="preserve">2. Kattegat </w:t>
            </w:r>
            <w:proofErr w:type="spellStart"/>
            <w:r w:rsidRPr="009F0333">
              <w:rPr>
                <w:b/>
                <w:snapToGrid w:val="0"/>
                <w:kern w:val="22"/>
              </w:rPr>
              <w:t>danois</w:t>
            </w:r>
            <w:proofErr w:type="spellEnd"/>
          </w:p>
          <w:p w14:paraId="2F901754" w14:textId="04158AB1" w:rsidR="00196846" w:rsidRPr="009F0333" w:rsidRDefault="00196846" w:rsidP="00196846">
            <w:pPr>
              <w:numPr>
                <w:ilvl w:val="0"/>
                <w:numId w:val="22"/>
              </w:numPr>
              <w:suppressLineNumbers/>
              <w:suppressAutoHyphens/>
              <w:kinsoku w:val="0"/>
              <w:overflowPunct w:val="0"/>
              <w:autoSpaceDE w:val="0"/>
              <w:autoSpaceDN w:val="0"/>
              <w:jc w:val="left"/>
              <w:rPr>
                <w:snapToGrid w:val="0"/>
                <w:kern w:val="22"/>
                <w:szCs w:val="22"/>
                <w:lang w:val="fr-FR"/>
              </w:rPr>
            </w:pPr>
            <w:r w:rsidRPr="009F0333">
              <w:rPr>
                <w:snapToGrid w:val="0"/>
                <w:kern w:val="22"/>
                <w:szCs w:val="22"/>
                <w:lang w:val="fr-FR"/>
              </w:rPr>
              <w:t xml:space="preserve">Situation géographique : L’aire de Kattegat couvre la partie septentrionale des eaux intérieures danoises. Elle est délimitée au sud par la côte nord de </w:t>
            </w:r>
            <w:proofErr w:type="spellStart"/>
            <w:r w:rsidRPr="009F0333">
              <w:rPr>
                <w:snapToGrid w:val="0"/>
                <w:kern w:val="22"/>
                <w:szCs w:val="22"/>
                <w:lang w:val="fr-FR"/>
              </w:rPr>
              <w:t>Sealand</w:t>
            </w:r>
            <w:proofErr w:type="spellEnd"/>
            <w:r w:rsidRPr="009F0333">
              <w:rPr>
                <w:snapToGrid w:val="0"/>
                <w:kern w:val="22"/>
                <w:szCs w:val="22"/>
                <w:lang w:val="fr-FR"/>
              </w:rPr>
              <w:t>, à l’ouest par la côte nord-est de Jutland, à l’est par la frontière entre le Danemark et la Suède, et au nord par une ligne allant de la pointe extrême nord du Danemark vers le nord-est. Elle couvre une superficie totale de 14 995 km</w:t>
            </w:r>
            <w:r w:rsidRPr="009F0333">
              <w:rPr>
                <w:snapToGrid w:val="0"/>
                <w:kern w:val="22"/>
                <w:szCs w:val="22"/>
                <w:vertAlign w:val="superscript"/>
                <w:lang w:val="fr-FR"/>
              </w:rPr>
              <w:t>2</w:t>
            </w:r>
            <w:r w:rsidRPr="009F0333">
              <w:rPr>
                <w:snapToGrid w:val="0"/>
                <w:kern w:val="22"/>
                <w:szCs w:val="22"/>
                <w:lang w:val="fr-FR"/>
              </w:rPr>
              <w:t xml:space="preserve">. Une aire marine d’importance écologique ou biologique déjà désignée (Aire No. 9 : </w:t>
            </w:r>
            <w:proofErr w:type="spellStart"/>
            <w:r w:rsidRPr="009F0333">
              <w:rPr>
                <w:snapToGrid w:val="0"/>
                <w:kern w:val="22"/>
                <w:szCs w:val="22"/>
                <w:lang w:val="fr-FR"/>
              </w:rPr>
              <w:t>Fladen</w:t>
            </w:r>
            <w:proofErr w:type="spellEnd"/>
            <w:r w:rsidRPr="009F0333">
              <w:rPr>
                <w:snapToGrid w:val="0"/>
                <w:kern w:val="22"/>
                <w:szCs w:val="22"/>
                <w:lang w:val="fr-FR"/>
              </w:rPr>
              <w:t xml:space="preserve"> et Stora et Lille </w:t>
            </w:r>
            <w:proofErr w:type="spellStart"/>
            <w:r w:rsidRPr="009F0333">
              <w:rPr>
                <w:snapToGrid w:val="0"/>
                <w:kern w:val="22"/>
                <w:szCs w:val="22"/>
                <w:lang w:val="fr-FR"/>
              </w:rPr>
              <w:t>Middelgrund</w:t>
            </w:r>
            <w:proofErr w:type="spellEnd"/>
            <w:r w:rsidRPr="009F0333">
              <w:rPr>
                <w:snapToGrid w:val="0"/>
                <w:kern w:val="22"/>
                <w:szCs w:val="22"/>
                <w:lang w:val="fr-FR"/>
              </w:rPr>
              <w:t xml:space="preserve">), décrite dans l’atelier régional de la CBD sur les aires marines d’importance écologique ou biologique pour la mer Baltique, jouxte cette aire </w:t>
            </w:r>
            <w:r w:rsidRPr="009F0333">
              <w:rPr>
                <w:rFonts w:eastAsia="MS Mincho"/>
                <w:szCs w:val="22"/>
                <w:lang w:val="fr-FR"/>
              </w:rPr>
              <w:t>(voir le rapport de l’atelier à l’adresse:</w:t>
            </w:r>
            <w:r w:rsidR="007D4954">
              <w:rPr>
                <w:rFonts w:eastAsia="MS Mincho"/>
                <w:szCs w:val="22"/>
                <w:lang w:val="fr-FR"/>
              </w:rPr>
              <w:t xml:space="preserve"> </w:t>
            </w:r>
            <w:r w:rsidR="007D4954" w:rsidRPr="00512DD9">
              <w:rPr>
                <w:szCs w:val="22"/>
                <w:lang w:val="fr-FR"/>
              </w:rPr>
              <w:t>https://www.cbd.int/doc/c/aa9a/bde9/eaf24f73bd471d64e8094722/ebsa-ws-2018-01-04-en.pdf</w:t>
            </w:r>
            <w:r w:rsidRPr="00512DD9">
              <w:rPr>
                <w:szCs w:val="22"/>
                <w:lang w:val="fr-FR"/>
              </w:rPr>
              <w:t>)</w:t>
            </w:r>
            <w:r w:rsidRPr="009F0333">
              <w:rPr>
                <w:snapToGrid w:val="0"/>
                <w:kern w:val="22"/>
                <w:szCs w:val="22"/>
                <w:lang w:val="fr-FR"/>
              </w:rPr>
              <w:t>.</w:t>
            </w:r>
          </w:p>
          <w:p w14:paraId="45DBBE2B" w14:textId="77777777" w:rsidR="00196846" w:rsidRPr="009F0333" w:rsidRDefault="00196846" w:rsidP="00196846">
            <w:pPr>
              <w:numPr>
                <w:ilvl w:val="0"/>
                <w:numId w:val="22"/>
              </w:numPr>
              <w:suppressLineNumbers/>
              <w:suppressAutoHyphens/>
              <w:kinsoku w:val="0"/>
              <w:overflowPunct w:val="0"/>
              <w:autoSpaceDE w:val="0"/>
              <w:autoSpaceDN w:val="0"/>
              <w:rPr>
                <w:snapToGrid w:val="0"/>
                <w:kern w:val="22"/>
                <w:lang w:val="fr-FR"/>
              </w:rPr>
            </w:pPr>
            <w:r w:rsidRPr="009F0333">
              <w:rPr>
                <w:snapToGrid w:val="0"/>
                <w:kern w:val="22"/>
                <w:lang w:val="fr-FR"/>
              </w:rPr>
              <w:t xml:space="preserve">La partie danoise de Kattegat se caractérise par un paysage composé d’étendues d’eau peu profonde à fonds sableux, de chenaux boueux plus profonds, et de zones comprenant des récifs à roches et à bulles. Cette aire comprend une avifaune diversifiée, avec des éléments provenant des milieux pélagiques de la mer du Nord, ainsi que des sites d’hivernage pour les oiseaux venant de sites de reproduction de la Fédération de Russie et la Scandinavie. Certaines parties de l’aire sont difficiles d’accès pour les activités humaines, et constituent ainsi des sites de mue importants pour des canards marins comme la macreuse commune et la macreuse à velours. L’aire est un site de rassemblement pour deux sous-populations de marsouins communs. On y trouve aussi des herbiers de zostères, bien que moins vastes qu’ils ne l’étaient en 1900. On trouve encore des forêts d’algues et une faune abondante dans les récifs à roches et les récifs </w:t>
            </w:r>
            <w:r w:rsidRPr="009F0333">
              <w:rPr>
                <w:snapToGrid w:val="0"/>
                <w:kern w:val="22"/>
                <w:lang w:val="fr-FR"/>
              </w:rPr>
              <w:lastRenderedPageBreak/>
              <w:t>à bulles, et les communautés d’</w:t>
            </w:r>
            <w:proofErr w:type="spellStart"/>
            <w:r w:rsidRPr="009F0333">
              <w:rPr>
                <w:snapToGrid w:val="0"/>
                <w:kern w:val="22"/>
                <w:lang w:val="fr-FR"/>
              </w:rPr>
              <w:t>endofaune</w:t>
            </w:r>
            <w:proofErr w:type="spellEnd"/>
            <w:r w:rsidRPr="009F0333">
              <w:rPr>
                <w:snapToGrid w:val="0"/>
                <w:kern w:val="22"/>
                <w:lang w:val="fr-FR"/>
              </w:rPr>
              <w:t xml:space="preserve"> ont une biomasse élevée. Des fonds marins de moules géantes se trouvent principalement dans la partie méridionale de Kattegat, où ils forment des structures de récif biogénique. L’espèce </w:t>
            </w:r>
            <w:proofErr w:type="spellStart"/>
            <w:r w:rsidRPr="009F0333">
              <w:rPr>
                <w:rFonts w:eastAsia="MS Mincho"/>
                <w:i/>
                <w:szCs w:val="22"/>
                <w:lang w:val="fr-FR"/>
              </w:rPr>
              <w:t>Haploops</w:t>
            </w:r>
            <w:proofErr w:type="spellEnd"/>
            <w:r w:rsidRPr="009F0333">
              <w:rPr>
                <w:rFonts w:eastAsia="MS Mincho"/>
                <w:i/>
                <w:szCs w:val="22"/>
                <w:lang w:val="fr-FR"/>
              </w:rPr>
              <w:t xml:space="preserve"> </w:t>
            </w:r>
            <w:proofErr w:type="spellStart"/>
            <w:r w:rsidRPr="009F0333">
              <w:rPr>
                <w:rFonts w:eastAsia="MS Mincho"/>
                <w:i/>
                <w:szCs w:val="22"/>
                <w:lang w:val="fr-FR"/>
              </w:rPr>
              <w:t>tubicola</w:t>
            </w:r>
            <w:proofErr w:type="spellEnd"/>
            <w:r w:rsidRPr="009F0333">
              <w:rPr>
                <w:rFonts w:eastAsia="MS Mincho"/>
                <w:i/>
                <w:szCs w:val="22"/>
                <w:lang w:val="fr-FR"/>
              </w:rPr>
              <w:t xml:space="preserve">, </w:t>
            </w:r>
            <w:r w:rsidRPr="009F0333">
              <w:rPr>
                <w:rFonts w:eastAsia="MS Mincho"/>
                <w:szCs w:val="22"/>
                <w:lang w:val="fr-FR"/>
              </w:rPr>
              <w:t>un petit crustacé, se trouve dans cette aire, mais il ne s’agit plus aujourd’hui d’un habitat spécifique comprenant des densités élevées</w:t>
            </w:r>
            <w:r w:rsidRPr="009F0333">
              <w:rPr>
                <w:snapToGrid w:val="0"/>
                <w:kern w:val="22"/>
                <w:lang w:val="fr-FR"/>
              </w:rPr>
              <w:t>.</w:t>
            </w:r>
          </w:p>
        </w:tc>
        <w:tc>
          <w:tcPr>
            <w:tcW w:w="506" w:type="dxa"/>
            <w:vAlign w:val="center"/>
          </w:tcPr>
          <w:p w14:paraId="1A1B4A7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lastRenderedPageBreak/>
              <w:t>H</w:t>
            </w:r>
          </w:p>
        </w:tc>
        <w:tc>
          <w:tcPr>
            <w:tcW w:w="506" w:type="dxa"/>
            <w:vAlign w:val="center"/>
          </w:tcPr>
          <w:p w14:paraId="24059992"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05E128B2"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29E2E00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7FBA0CB7"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M</w:t>
            </w:r>
          </w:p>
        </w:tc>
        <w:tc>
          <w:tcPr>
            <w:tcW w:w="506" w:type="dxa"/>
            <w:vAlign w:val="center"/>
          </w:tcPr>
          <w:p w14:paraId="1F86B8F3"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M</w:t>
            </w:r>
          </w:p>
        </w:tc>
        <w:tc>
          <w:tcPr>
            <w:tcW w:w="489" w:type="dxa"/>
            <w:vAlign w:val="center"/>
          </w:tcPr>
          <w:p w14:paraId="0E720E7C"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M</w:t>
            </w:r>
          </w:p>
        </w:tc>
      </w:tr>
      <w:tr w:rsidR="00196846" w:rsidRPr="009F0333" w14:paraId="23B4AE65" w14:textId="77777777" w:rsidTr="00E55451">
        <w:tc>
          <w:tcPr>
            <w:tcW w:w="9687" w:type="dxa"/>
            <w:shd w:val="clear" w:color="auto" w:fill="auto"/>
          </w:tcPr>
          <w:p w14:paraId="16817E55" w14:textId="77777777" w:rsidR="00196846" w:rsidRPr="009F0333" w:rsidRDefault="00196846" w:rsidP="00706C3C">
            <w:pPr>
              <w:keepNext/>
              <w:suppressLineNumbers/>
              <w:suppressAutoHyphens/>
              <w:kinsoku w:val="0"/>
              <w:overflowPunct w:val="0"/>
              <w:autoSpaceDE w:val="0"/>
              <w:autoSpaceDN w:val="0"/>
              <w:spacing w:before="120" w:after="120"/>
              <w:rPr>
                <w:b/>
                <w:snapToGrid w:val="0"/>
                <w:kern w:val="22"/>
                <w:szCs w:val="18"/>
                <w:lang w:val="fr-FR"/>
              </w:rPr>
            </w:pPr>
            <w:r w:rsidRPr="009F0333">
              <w:rPr>
                <w:b/>
                <w:snapToGrid w:val="0"/>
                <w:kern w:val="22"/>
                <w:szCs w:val="18"/>
                <w:lang w:val="fr-FR"/>
              </w:rPr>
              <w:t>3. Mer Cantabrique (sud de la baie de Biscaye)</w:t>
            </w:r>
          </w:p>
          <w:p w14:paraId="00D83349" w14:textId="77777777" w:rsidR="00196846" w:rsidRPr="009F0333" w:rsidRDefault="00196846" w:rsidP="00196846">
            <w:pPr>
              <w:numPr>
                <w:ilvl w:val="0"/>
                <w:numId w:val="27"/>
              </w:numPr>
              <w:suppressLineNumbers/>
              <w:suppressAutoHyphens/>
              <w:kinsoku w:val="0"/>
              <w:overflowPunct w:val="0"/>
              <w:autoSpaceDE w:val="0"/>
              <w:autoSpaceDN w:val="0"/>
              <w:adjustRightInd w:val="0"/>
              <w:snapToGrid w:val="0"/>
              <w:rPr>
                <w:snapToGrid w:val="0"/>
                <w:color w:val="000000"/>
                <w:kern w:val="22"/>
                <w:szCs w:val="22"/>
                <w:lang w:val="fr-FR"/>
              </w:rPr>
            </w:pPr>
            <w:r w:rsidRPr="009F0333">
              <w:rPr>
                <w:snapToGrid w:val="0"/>
                <w:kern w:val="22"/>
                <w:lang w:val="fr-FR"/>
              </w:rPr>
              <w:t>Situation géographique : Cette aire se trouve au sud de la baie de Biscaye et est délimitée par les parallèles 43º 25'N et 45º 00'N et les méridiens 2º 10'W et 7º 00'W. L’élément qui caractérise cette aire s’étend aussi plus à l’est et au nord, au-delà des frontières décrites actuellement.</w:t>
            </w:r>
          </w:p>
          <w:p w14:paraId="01343809" w14:textId="77777777" w:rsidR="00196846" w:rsidRPr="009F0333" w:rsidRDefault="00196846" w:rsidP="00196846">
            <w:pPr>
              <w:numPr>
                <w:ilvl w:val="0"/>
                <w:numId w:val="27"/>
              </w:numPr>
              <w:suppressLineNumbers/>
              <w:suppressAutoHyphens/>
              <w:kinsoku w:val="0"/>
              <w:overflowPunct w:val="0"/>
              <w:autoSpaceDE w:val="0"/>
              <w:autoSpaceDN w:val="0"/>
              <w:adjustRightInd w:val="0"/>
              <w:snapToGrid w:val="0"/>
              <w:rPr>
                <w:snapToGrid w:val="0"/>
                <w:color w:val="000000"/>
                <w:kern w:val="22"/>
                <w:szCs w:val="22"/>
                <w:lang w:val="fr-FR"/>
              </w:rPr>
            </w:pPr>
            <w:r w:rsidRPr="009F0333">
              <w:rPr>
                <w:rFonts w:eastAsia="MS Mincho"/>
                <w:snapToGrid w:val="0"/>
                <w:kern w:val="22"/>
                <w:szCs w:val="22"/>
                <w:lang w:val="fr-FR"/>
              </w:rPr>
              <w:t xml:space="preserve">L’écosystème de la mer Cantabrique inclut le plateau continental et le talus continental, ainsi que le bassin abyssal profond (5000 mètres de profondeur), situés le long de la frontière nord de la péninsule Ibérique (sud de la baie de Biscaye), allant de la pointe du canyon de Capbreton jusqu’au cap de </w:t>
            </w:r>
            <w:proofErr w:type="spellStart"/>
            <w:r w:rsidRPr="009F0333">
              <w:rPr>
                <w:rFonts w:eastAsia="MS Mincho"/>
                <w:snapToGrid w:val="0"/>
                <w:kern w:val="22"/>
                <w:szCs w:val="22"/>
                <w:lang w:val="fr-FR"/>
              </w:rPr>
              <w:t>Estaca</w:t>
            </w:r>
            <w:proofErr w:type="spellEnd"/>
            <w:r w:rsidRPr="009F0333">
              <w:rPr>
                <w:rFonts w:eastAsia="MS Mincho"/>
                <w:snapToGrid w:val="0"/>
                <w:kern w:val="22"/>
                <w:szCs w:val="22"/>
                <w:lang w:val="fr-FR"/>
              </w:rPr>
              <w:t xml:space="preserve"> de </w:t>
            </w:r>
            <w:proofErr w:type="spellStart"/>
            <w:r w:rsidRPr="009F0333">
              <w:rPr>
                <w:rFonts w:eastAsia="MS Mincho"/>
                <w:snapToGrid w:val="0"/>
                <w:kern w:val="22"/>
                <w:szCs w:val="22"/>
                <w:lang w:val="fr-FR"/>
              </w:rPr>
              <w:t>Bares</w:t>
            </w:r>
            <w:proofErr w:type="spellEnd"/>
            <w:r w:rsidRPr="009F0333">
              <w:rPr>
                <w:rFonts w:eastAsia="MS Mincho"/>
                <w:snapToGrid w:val="0"/>
                <w:kern w:val="22"/>
                <w:szCs w:val="22"/>
                <w:lang w:val="fr-FR"/>
              </w:rPr>
              <w:t>, sur la côte de Galice. Il s’agit d’une aire très complexe, où le plateau continental étroit est très marqué par l’action de la compression tectonique. L’aire contient des éléments géomorphologiques importants, tels que des grands canyons sous-marins et monts sous-marins. L’hydrologie est complexe également, en raison de l’interaction entre les eaux formées dans l’Atlantique et les eaux d’origine méditerranéenne. Cette aire contient différents habitats benthiques, dont des habitats considérés comme des points chauds de biodiversité. Ces habitats sont utilisés comme sites de reproduction par plusieurs espèces commerciales. L’aire contient aussi des habitats utilisés par des espèces en danger, menacées ou en déclin, et par des espèces pélagiques migratrices, y compris des cétacés.</w:t>
            </w:r>
          </w:p>
        </w:tc>
        <w:tc>
          <w:tcPr>
            <w:tcW w:w="506" w:type="dxa"/>
            <w:vAlign w:val="center"/>
          </w:tcPr>
          <w:p w14:paraId="4B5673C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4EA5969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418DF30C"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7DB1D9F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2B02D07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26032318"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489" w:type="dxa"/>
            <w:vAlign w:val="center"/>
          </w:tcPr>
          <w:p w14:paraId="6166115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L</w:t>
            </w:r>
          </w:p>
        </w:tc>
      </w:tr>
      <w:tr w:rsidR="00196846" w:rsidRPr="009F0333" w14:paraId="5712D9DE" w14:textId="77777777" w:rsidTr="00E55451">
        <w:tc>
          <w:tcPr>
            <w:tcW w:w="9687" w:type="dxa"/>
            <w:shd w:val="clear" w:color="auto" w:fill="auto"/>
          </w:tcPr>
          <w:p w14:paraId="65932677" w14:textId="77777777" w:rsidR="00196846" w:rsidRPr="009F0333" w:rsidRDefault="00196846" w:rsidP="00706C3C">
            <w:pPr>
              <w:suppressLineNumbers/>
              <w:suppressAutoHyphens/>
              <w:kinsoku w:val="0"/>
              <w:overflowPunct w:val="0"/>
              <w:autoSpaceDE w:val="0"/>
              <w:autoSpaceDN w:val="0"/>
              <w:snapToGrid w:val="0"/>
              <w:rPr>
                <w:b/>
                <w:snapToGrid w:val="0"/>
                <w:kern w:val="22"/>
                <w:lang w:val="fr-FR"/>
              </w:rPr>
            </w:pPr>
            <w:r w:rsidRPr="009F0333">
              <w:rPr>
                <w:b/>
                <w:snapToGrid w:val="0"/>
                <w:kern w:val="22"/>
                <w:lang w:val="fr-FR"/>
              </w:rPr>
              <w:t>4. Canyons et bancs de l’ouest de la péninsule Ibérique</w:t>
            </w:r>
          </w:p>
          <w:p w14:paraId="593791E6" w14:textId="77777777" w:rsidR="00196846" w:rsidRPr="009F0333" w:rsidRDefault="00196846" w:rsidP="00196846">
            <w:pPr>
              <w:numPr>
                <w:ilvl w:val="0"/>
                <w:numId w:val="35"/>
              </w:numPr>
              <w:suppressLineNumbers/>
              <w:suppressAutoHyphens/>
              <w:kinsoku w:val="0"/>
              <w:overflowPunct w:val="0"/>
              <w:autoSpaceDE w:val="0"/>
              <w:autoSpaceDN w:val="0"/>
              <w:ind w:left="395"/>
              <w:contextualSpacing/>
              <w:rPr>
                <w:snapToGrid w:val="0"/>
                <w:kern w:val="22"/>
                <w:szCs w:val="22"/>
                <w:lang w:val="fr-FR"/>
              </w:rPr>
            </w:pPr>
            <w:r w:rsidRPr="009F0333">
              <w:rPr>
                <w:rFonts w:eastAsia="Malgun Gothic"/>
                <w:snapToGrid w:val="0"/>
                <w:kern w:val="22"/>
                <w:szCs w:val="22"/>
                <w:lang w:val="fr-FR" w:eastAsia="en-CA"/>
              </w:rPr>
              <w:t>Situation géographique : L’aire se situe dans les eaux qui entourent le Portugal et l’Espagne. Elle couvre une superficie totale de 189 239 km</w:t>
            </w:r>
            <w:r w:rsidRPr="009F0333">
              <w:rPr>
                <w:rFonts w:eastAsia="Malgun Gothic"/>
                <w:snapToGrid w:val="0"/>
                <w:kern w:val="22"/>
                <w:szCs w:val="22"/>
                <w:vertAlign w:val="superscript"/>
                <w:lang w:val="fr-FR" w:eastAsia="en-CA"/>
              </w:rPr>
              <w:t>2</w:t>
            </w:r>
            <w:r w:rsidRPr="009F0333">
              <w:rPr>
                <w:rFonts w:eastAsia="Malgun Gothic"/>
                <w:snapToGrid w:val="0"/>
                <w:kern w:val="22"/>
                <w:szCs w:val="22"/>
                <w:lang w:val="fr-FR" w:eastAsia="en-CA"/>
              </w:rPr>
              <w:t xml:space="preserve"> et se divise en trois parties : la péninsule Ibérique Nord-Ouest, la péninsule Ibérique Centre-Ouest, et la péninsule Ibérique Sud-Ouest. L’aire contient 12 canyons sous-marins, cinq structures de monts sous-marins, ainsi que des bancs, des îles et un archipel.</w:t>
            </w:r>
          </w:p>
          <w:p w14:paraId="43E50942" w14:textId="77777777" w:rsidR="00196846" w:rsidRPr="009F0333" w:rsidRDefault="00196846" w:rsidP="00196846">
            <w:pPr>
              <w:numPr>
                <w:ilvl w:val="0"/>
                <w:numId w:val="35"/>
              </w:numPr>
              <w:suppressLineNumbers/>
              <w:suppressAutoHyphens/>
              <w:kinsoku w:val="0"/>
              <w:overflowPunct w:val="0"/>
              <w:autoSpaceDE w:val="0"/>
              <w:autoSpaceDN w:val="0"/>
              <w:ind w:left="395"/>
              <w:contextualSpacing/>
              <w:rPr>
                <w:snapToGrid w:val="0"/>
                <w:kern w:val="22"/>
                <w:szCs w:val="22"/>
                <w:lang w:val="fr-FR"/>
              </w:rPr>
            </w:pPr>
            <w:r w:rsidRPr="009F0333">
              <w:rPr>
                <w:snapToGrid w:val="0"/>
                <w:kern w:val="22"/>
                <w:szCs w:val="22"/>
                <w:lang w:val="fr-FR"/>
              </w:rPr>
              <w:t xml:space="preserve">L’aire inclut des aires marines protégées (dont six aires marines protégées au titre de la Convention OSPAR), une Réserve de la Biosphère de l’UNESCO, 12 Sites Natura 2000 d’intérêt communautaire et 10 Aires de protection spéciale pour les oiseaux de mer Natura 2000. L’aire est divisée en trois parties : une partie nord-ouest, une partie centre-ouest, et une partie sud-ouest. Les éléments caractéristiques de l’aire sont des points chauds de la vie marine, qui sont des zones de productivité renforcée, comparées notamment aux zones environnantes. L’aire contient des communautés benthiques très diversifiées ainsi que des frayères pour plusieurs espèces, et il s’agit d’une zone importante pour les cétacés. Au total, </w:t>
            </w:r>
            <w:r w:rsidRPr="009F0333">
              <w:rPr>
                <w:snapToGrid w:val="0"/>
                <w:kern w:val="22"/>
                <w:szCs w:val="22"/>
                <w:lang w:val="fr-FR"/>
              </w:rPr>
              <w:lastRenderedPageBreak/>
              <w:t>3411 espèces ont été identifiées dans la zone, dont 11% d’entre elles sont protégées au titre du droit international ou régional en vigueur.</w:t>
            </w:r>
            <w:r w:rsidRPr="009F0333">
              <w:rPr>
                <w:rFonts w:eastAsia="MS Mincho"/>
                <w:snapToGrid w:val="0"/>
                <w:kern w:val="22"/>
                <w:sz w:val="24"/>
                <w:szCs w:val="22"/>
                <w:lang w:val="fr-FR" w:eastAsia="en-CA"/>
              </w:rPr>
              <w:t xml:space="preserve"> </w:t>
            </w:r>
          </w:p>
        </w:tc>
        <w:tc>
          <w:tcPr>
            <w:tcW w:w="506" w:type="dxa"/>
            <w:vAlign w:val="center"/>
          </w:tcPr>
          <w:p w14:paraId="44A1079C"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lastRenderedPageBreak/>
              <w:t>H</w:t>
            </w:r>
          </w:p>
        </w:tc>
        <w:tc>
          <w:tcPr>
            <w:tcW w:w="506" w:type="dxa"/>
            <w:vAlign w:val="center"/>
          </w:tcPr>
          <w:p w14:paraId="70ADD55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7DD88F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68DC9EB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72C269C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762306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7CE778D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L</w:t>
            </w:r>
          </w:p>
        </w:tc>
      </w:tr>
      <w:tr w:rsidR="00196846" w:rsidRPr="009F0333" w14:paraId="55807128" w14:textId="77777777" w:rsidTr="00E55451">
        <w:tc>
          <w:tcPr>
            <w:tcW w:w="9687" w:type="dxa"/>
            <w:shd w:val="clear" w:color="auto" w:fill="auto"/>
          </w:tcPr>
          <w:p w14:paraId="093D01E1" w14:textId="77777777" w:rsidR="00196846" w:rsidRPr="009F0333" w:rsidRDefault="00196846" w:rsidP="00706C3C">
            <w:pPr>
              <w:suppressLineNumbers/>
              <w:suppressAutoHyphens/>
              <w:kinsoku w:val="0"/>
              <w:overflowPunct w:val="0"/>
              <w:autoSpaceDE w:val="0"/>
              <w:autoSpaceDN w:val="0"/>
              <w:snapToGrid w:val="0"/>
              <w:rPr>
                <w:b/>
                <w:snapToGrid w:val="0"/>
                <w:kern w:val="22"/>
              </w:rPr>
            </w:pPr>
            <w:r w:rsidRPr="009F0333">
              <w:rPr>
                <w:b/>
                <w:snapToGrid w:val="0"/>
                <w:kern w:val="22"/>
              </w:rPr>
              <w:t xml:space="preserve">5. </w:t>
            </w:r>
            <w:proofErr w:type="spellStart"/>
            <w:r w:rsidRPr="009F0333">
              <w:rPr>
                <w:b/>
                <w:snapToGrid w:val="0"/>
                <w:kern w:val="22"/>
              </w:rPr>
              <w:t>Golfe</w:t>
            </w:r>
            <w:proofErr w:type="spellEnd"/>
            <w:r w:rsidRPr="009F0333">
              <w:rPr>
                <w:b/>
                <w:snapToGrid w:val="0"/>
                <w:kern w:val="22"/>
              </w:rPr>
              <w:t xml:space="preserve"> de C</w:t>
            </w:r>
            <w:r w:rsidRPr="009F0333">
              <w:rPr>
                <w:b/>
                <w:szCs w:val="22"/>
              </w:rPr>
              <w:t>á</w:t>
            </w:r>
            <w:r w:rsidRPr="009F0333">
              <w:rPr>
                <w:b/>
                <w:snapToGrid w:val="0"/>
                <w:kern w:val="22"/>
              </w:rPr>
              <w:t>diz</w:t>
            </w:r>
          </w:p>
          <w:p w14:paraId="047DBB41" w14:textId="77777777" w:rsidR="00196846" w:rsidRPr="009F0333" w:rsidRDefault="00196846" w:rsidP="00196846">
            <w:pPr>
              <w:numPr>
                <w:ilvl w:val="0"/>
                <w:numId w:val="38"/>
              </w:numPr>
              <w:suppressLineNumbers/>
              <w:suppressAutoHyphens/>
              <w:kinsoku w:val="0"/>
              <w:overflowPunct w:val="0"/>
              <w:autoSpaceDE w:val="0"/>
              <w:autoSpaceDN w:val="0"/>
              <w:snapToGrid w:val="0"/>
              <w:ind w:left="395"/>
              <w:contextualSpacing/>
              <w:rPr>
                <w:rFonts w:eastAsia="MS Mincho"/>
                <w:snapToGrid w:val="0"/>
                <w:kern w:val="22"/>
                <w:szCs w:val="22"/>
                <w:lang w:val="fr-FR"/>
              </w:rPr>
            </w:pPr>
            <w:r w:rsidRPr="009F0333">
              <w:rPr>
                <w:rFonts w:eastAsia="Malgun Gothic"/>
                <w:snapToGrid w:val="0"/>
                <w:kern w:val="22"/>
                <w:szCs w:val="22"/>
                <w:lang w:val="fr-FR" w:eastAsia="en-CA"/>
              </w:rPr>
              <w:t xml:space="preserve">Situation géographique : </w:t>
            </w:r>
            <w:r w:rsidRPr="009F0333">
              <w:rPr>
                <w:rFonts w:eastAsia="MS Mincho"/>
                <w:snapToGrid w:val="0"/>
                <w:kern w:val="22"/>
                <w:szCs w:val="22"/>
                <w:lang w:val="fr-FR" w:eastAsia="en-CA"/>
              </w:rPr>
              <w:t xml:space="preserve">L’aire se trouve au sud-ouest de la péninsule Ibérique. Sa limite orientale est le détroit de </w:t>
            </w:r>
            <w:r w:rsidRPr="009F0333">
              <w:rPr>
                <w:szCs w:val="22"/>
                <w:lang w:val="fr-FR" w:eastAsia="en-CA"/>
              </w:rPr>
              <w:t>Gibraltar, à la limite occidentale de la mer Méditerranée. L’aire est délimitée par les parallèles</w:t>
            </w:r>
            <w:r w:rsidRPr="009F0333">
              <w:rPr>
                <w:rFonts w:eastAsia="MS Mincho"/>
                <w:snapToGrid w:val="0"/>
                <w:kern w:val="22"/>
                <w:szCs w:val="22"/>
                <w:lang w:val="fr-FR" w:eastAsia="en-CA"/>
              </w:rPr>
              <w:t xml:space="preserve"> (37º 00'N et 35º 56'N) et les méridiens (6º 00'W et 7º 24'W). </w:t>
            </w:r>
          </w:p>
          <w:p w14:paraId="66856E06" w14:textId="77777777" w:rsidR="00196846" w:rsidRPr="009F0333" w:rsidRDefault="00196846" w:rsidP="00196846">
            <w:pPr>
              <w:numPr>
                <w:ilvl w:val="0"/>
                <w:numId w:val="38"/>
              </w:numPr>
              <w:suppressLineNumbers/>
              <w:suppressAutoHyphens/>
              <w:kinsoku w:val="0"/>
              <w:overflowPunct w:val="0"/>
              <w:autoSpaceDE w:val="0"/>
              <w:autoSpaceDN w:val="0"/>
              <w:snapToGrid w:val="0"/>
              <w:ind w:left="395"/>
              <w:contextualSpacing/>
              <w:rPr>
                <w:rFonts w:eastAsia="MS Mincho"/>
                <w:snapToGrid w:val="0"/>
                <w:kern w:val="22"/>
                <w:szCs w:val="22"/>
                <w:lang w:val="fr-FR"/>
              </w:rPr>
            </w:pPr>
            <w:r w:rsidRPr="009F0333">
              <w:rPr>
                <w:rFonts w:eastAsia="MS Mincho"/>
                <w:snapToGrid w:val="0"/>
                <w:kern w:val="22"/>
                <w:szCs w:val="22"/>
                <w:lang w:val="fr-FR"/>
              </w:rPr>
              <w:t>Cette aire est structurellement très complexe, et elle contient des éléments géomorphologiques importants, tels que des grands canyons sous-marins et monts sous-marins. L’hydrologie est complexe également, en raison de l’interaction entre les eaux formées dans l’Atlantique et les eaux d’origine méditerranéenne. Cette aire contient différents habitats benthiques, à la fois sur des fonds sableux et rocheux, qui sont considérés comme des points chauds de biodiversité, et ils</w:t>
            </w:r>
            <w:r w:rsidRPr="009F0333">
              <w:rPr>
                <w:rFonts w:eastAsia="MS Mincho"/>
                <w:snapToGrid w:val="0"/>
                <w:kern w:val="22"/>
                <w:szCs w:val="22"/>
                <w:lang w:val="fr-FR" w:eastAsia="en-CA"/>
              </w:rPr>
              <w:t xml:space="preserve"> constituent différents habitats pour des espèces en danger, menacées ou en déclin. L’aire fait partie d’une voie de migration saisonnière pour des grandes</w:t>
            </w:r>
            <w:r w:rsidRPr="009F0333">
              <w:rPr>
                <w:rFonts w:eastAsia="MS Mincho"/>
                <w:snapToGrid w:val="0"/>
                <w:kern w:val="22"/>
                <w:szCs w:val="22"/>
                <w:lang w:val="fr-FR"/>
              </w:rPr>
              <w:t xml:space="preserve"> espèces pélagiques migratrices ; tout particulièrement, cette aire est importante pour les espèces de cétacés.</w:t>
            </w:r>
          </w:p>
        </w:tc>
        <w:tc>
          <w:tcPr>
            <w:tcW w:w="506" w:type="dxa"/>
            <w:vAlign w:val="center"/>
          </w:tcPr>
          <w:p w14:paraId="27DACBF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0FCFE99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364159C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041D7D1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7A556AE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506" w:type="dxa"/>
            <w:vAlign w:val="center"/>
          </w:tcPr>
          <w:p w14:paraId="39F2B73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H</w:t>
            </w:r>
          </w:p>
        </w:tc>
        <w:tc>
          <w:tcPr>
            <w:tcW w:w="489" w:type="dxa"/>
            <w:vAlign w:val="center"/>
          </w:tcPr>
          <w:p w14:paraId="2F6BCC1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lang w:val="fr-FR"/>
              </w:rPr>
            </w:pPr>
            <w:r w:rsidRPr="009F0333">
              <w:rPr>
                <w:snapToGrid w:val="0"/>
                <w:kern w:val="22"/>
                <w:lang w:val="fr-FR"/>
              </w:rPr>
              <w:t>L</w:t>
            </w:r>
          </w:p>
        </w:tc>
      </w:tr>
      <w:tr w:rsidR="00196846" w:rsidRPr="009F0333" w14:paraId="636AEF64" w14:textId="77777777" w:rsidTr="00E55451">
        <w:tc>
          <w:tcPr>
            <w:tcW w:w="9687" w:type="dxa"/>
            <w:shd w:val="clear" w:color="auto" w:fill="auto"/>
          </w:tcPr>
          <w:p w14:paraId="3B81E239" w14:textId="77777777" w:rsidR="00196846" w:rsidRPr="009F0333" w:rsidRDefault="00196846" w:rsidP="00706C3C">
            <w:pPr>
              <w:suppressLineNumbers/>
              <w:suppressAutoHyphens/>
              <w:kinsoku w:val="0"/>
              <w:overflowPunct w:val="0"/>
              <w:autoSpaceDE w:val="0"/>
              <w:autoSpaceDN w:val="0"/>
              <w:snapToGrid w:val="0"/>
              <w:rPr>
                <w:b/>
                <w:snapToGrid w:val="0"/>
                <w:kern w:val="22"/>
                <w:lang w:val="fr-FR"/>
              </w:rPr>
            </w:pPr>
            <w:r w:rsidRPr="009F0333">
              <w:rPr>
                <w:b/>
                <w:snapToGrid w:val="0"/>
                <w:kern w:val="22"/>
                <w:lang w:val="fr-FR"/>
              </w:rPr>
              <w:t>6. Madeira – Tore</w:t>
            </w:r>
          </w:p>
          <w:p w14:paraId="00D0849F" w14:textId="77777777" w:rsidR="00196846" w:rsidRPr="009F0333" w:rsidRDefault="00196846" w:rsidP="00196846">
            <w:pPr>
              <w:numPr>
                <w:ilvl w:val="0"/>
                <w:numId w:val="23"/>
              </w:numPr>
              <w:suppressLineNumbers/>
              <w:suppressAutoHyphens/>
              <w:kinsoku w:val="0"/>
              <w:overflowPunct w:val="0"/>
              <w:autoSpaceDE w:val="0"/>
              <w:autoSpaceDN w:val="0"/>
              <w:rPr>
                <w:snapToGrid w:val="0"/>
                <w:kern w:val="22"/>
                <w:szCs w:val="22"/>
                <w:lang w:val="fr-FR"/>
              </w:rPr>
            </w:pPr>
            <w:r w:rsidRPr="009F0333">
              <w:rPr>
                <w:snapToGrid w:val="0"/>
                <w:kern w:val="22"/>
                <w:lang w:val="fr-FR"/>
              </w:rPr>
              <w:t>Situation géographique : L’aire est délimitée par les parallèles 39º28`4.39``N et 33º31`17.04``N, et les méridiens 13º31`12.88`` W et 14º25`58.54``W.</w:t>
            </w:r>
          </w:p>
          <w:p w14:paraId="5A7C680E" w14:textId="77777777" w:rsidR="00196846" w:rsidRPr="009F0333" w:rsidRDefault="00196846" w:rsidP="00196846">
            <w:pPr>
              <w:numPr>
                <w:ilvl w:val="0"/>
                <w:numId w:val="23"/>
              </w:numPr>
              <w:suppressLineNumbers/>
              <w:suppressAutoHyphens/>
              <w:kinsoku w:val="0"/>
              <w:overflowPunct w:val="0"/>
              <w:autoSpaceDE w:val="0"/>
              <w:autoSpaceDN w:val="0"/>
              <w:rPr>
                <w:snapToGrid w:val="0"/>
                <w:kern w:val="22"/>
                <w:lang w:val="fr-FR"/>
              </w:rPr>
            </w:pPr>
            <w:r w:rsidRPr="009F0333">
              <w:rPr>
                <w:snapToGrid w:val="0"/>
                <w:kern w:val="22"/>
                <w:szCs w:val="22"/>
                <w:lang w:val="fr-FR"/>
              </w:rPr>
              <w:t xml:space="preserve">Cette aire contient </w:t>
            </w:r>
            <w:r w:rsidRPr="009F0333">
              <w:rPr>
                <w:rFonts w:eastAsia="MS Mincho"/>
                <w:szCs w:val="22"/>
                <w:lang w:val="fr-FR"/>
              </w:rPr>
              <w:t>19 structures remarquables</w:t>
            </w:r>
            <w:r w:rsidRPr="009F0333">
              <w:rPr>
                <w:snapToGrid w:val="0"/>
                <w:kern w:val="22"/>
                <w:szCs w:val="22"/>
                <w:lang w:val="fr-FR"/>
              </w:rPr>
              <w:t xml:space="preserve">, dont 17 d’entre elles sont des monts sous-marins. Les monts sous-marins sont des points chauds de la vie marine et, en général, ce sont des zones à la productivité renforcée, comparé notamment aux zones abyssales adjacentes. L’aire </w:t>
            </w:r>
            <w:r w:rsidRPr="009F0333">
              <w:rPr>
                <w:rFonts w:eastAsia="MS Mincho"/>
                <w:szCs w:val="22"/>
                <w:lang w:val="fr-FR"/>
              </w:rPr>
              <w:t>Madeira – Tore</w:t>
            </w:r>
            <w:r w:rsidRPr="009F0333">
              <w:rPr>
                <w:snapToGrid w:val="0"/>
                <w:kern w:val="22"/>
                <w:szCs w:val="22"/>
                <w:lang w:val="fr-FR"/>
              </w:rPr>
              <w:t xml:space="preserve"> couvre une superficie totale de 197 431 km</w:t>
            </w:r>
            <w:r w:rsidRPr="009F0333">
              <w:rPr>
                <w:snapToGrid w:val="0"/>
                <w:kern w:val="22"/>
                <w:szCs w:val="22"/>
                <w:vertAlign w:val="superscript"/>
                <w:lang w:val="fr-FR"/>
              </w:rPr>
              <w:t>2</w:t>
            </w:r>
            <w:r w:rsidRPr="009F0333">
              <w:rPr>
                <w:snapToGrid w:val="0"/>
                <w:kern w:val="22"/>
                <w:szCs w:val="22"/>
                <w:lang w:val="fr-FR"/>
              </w:rPr>
              <w:t xml:space="preserve">, avec des profondeurs allant de 25 mètres de fond (en haut du mont sous-marin de Gettysburg) à 4930 mètres de profondeur (en bas du mont sous-marin de Tore). L’aire inclut un projet de Site d’importance communautaire (banc de </w:t>
            </w:r>
            <w:proofErr w:type="spellStart"/>
            <w:r w:rsidRPr="009F0333">
              <w:rPr>
                <w:snapToGrid w:val="0"/>
                <w:kern w:val="22"/>
                <w:szCs w:val="22"/>
                <w:lang w:val="fr-FR"/>
              </w:rPr>
              <w:t>Gorringe</w:t>
            </w:r>
            <w:proofErr w:type="spellEnd"/>
            <w:r w:rsidRPr="009F0333">
              <w:rPr>
                <w:snapToGrid w:val="0"/>
                <w:kern w:val="22"/>
                <w:szCs w:val="22"/>
                <w:lang w:val="fr-FR"/>
              </w:rPr>
              <w:t xml:space="preserve">) et une Aire marine protégée de la haute mer au titre de la Convention OSPAR (mont sous-marin </w:t>
            </w:r>
            <w:proofErr w:type="spellStart"/>
            <w:r w:rsidRPr="009F0333">
              <w:rPr>
                <w:snapToGrid w:val="0"/>
                <w:kern w:val="22"/>
                <w:szCs w:val="22"/>
                <w:lang w:val="fr-FR"/>
              </w:rPr>
              <w:t>Josephine</w:t>
            </w:r>
            <w:proofErr w:type="spellEnd"/>
            <w:r w:rsidRPr="009F0333">
              <w:rPr>
                <w:snapToGrid w:val="0"/>
                <w:kern w:val="22"/>
                <w:szCs w:val="22"/>
                <w:lang w:val="fr-FR"/>
              </w:rPr>
              <w:t>). Au total, 965 espèces sont présentes dans cette aire, dont 7% d’entre elles sont protégées au titre du droit international ou régional en vigueur.</w:t>
            </w:r>
          </w:p>
        </w:tc>
        <w:tc>
          <w:tcPr>
            <w:tcW w:w="506" w:type="dxa"/>
            <w:vAlign w:val="center"/>
          </w:tcPr>
          <w:p w14:paraId="71B0C5F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5A6803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7F91E43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1AEE210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C76B362"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0CC914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32EDAF4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r>
      <w:tr w:rsidR="00196846" w:rsidRPr="009F0333" w14:paraId="7CD569EC" w14:textId="77777777" w:rsidTr="00E55451">
        <w:tc>
          <w:tcPr>
            <w:tcW w:w="9687" w:type="dxa"/>
            <w:shd w:val="clear" w:color="auto" w:fill="auto"/>
          </w:tcPr>
          <w:p w14:paraId="186EC80A" w14:textId="77777777" w:rsidR="00196846" w:rsidRPr="009F0333" w:rsidRDefault="00196846" w:rsidP="00706C3C">
            <w:pPr>
              <w:suppressLineNumbers/>
              <w:suppressAutoHyphens/>
              <w:kinsoku w:val="0"/>
              <w:overflowPunct w:val="0"/>
              <w:autoSpaceDE w:val="0"/>
              <w:autoSpaceDN w:val="0"/>
              <w:snapToGrid w:val="0"/>
              <w:rPr>
                <w:b/>
                <w:snapToGrid w:val="0"/>
                <w:kern w:val="22"/>
              </w:rPr>
            </w:pPr>
            <w:r w:rsidRPr="009F0333">
              <w:rPr>
                <w:b/>
                <w:snapToGrid w:val="0"/>
                <w:kern w:val="22"/>
              </w:rPr>
              <w:t xml:space="preserve">7. </w:t>
            </w:r>
            <w:proofErr w:type="spellStart"/>
            <w:r w:rsidRPr="009F0333">
              <w:rPr>
                <w:b/>
                <w:snapToGrid w:val="0"/>
                <w:kern w:val="22"/>
              </w:rPr>
              <w:t>Desertas</w:t>
            </w:r>
            <w:proofErr w:type="spellEnd"/>
          </w:p>
          <w:p w14:paraId="6CFCF302" w14:textId="77777777" w:rsidR="00196846" w:rsidRPr="009F0333" w:rsidRDefault="00196846" w:rsidP="00196846">
            <w:pPr>
              <w:numPr>
                <w:ilvl w:val="0"/>
                <w:numId w:val="36"/>
              </w:numPr>
              <w:suppressLineNumbers/>
              <w:suppressAutoHyphens/>
              <w:kinsoku w:val="0"/>
              <w:overflowPunct w:val="0"/>
              <w:autoSpaceDE w:val="0"/>
              <w:autoSpaceDN w:val="0"/>
              <w:adjustRightInd w:val="0"/>
              <w:ind w:left="395"/>
              <w:rPr>
                <w:snapToGrid w:val="0"/>
                <w:kern w:val="22"/>
                <w:szCs w:val="22"/>
                <w:lang w:val="fr-FR"/>
              </w:rPr>
            </w:pPr>
            <w:r w:rsidRPr="009F0333">
              <w:rPr>
                <w:snapToGrid w:val="0"/>
                <w:kern w:val="22"/>
                <w:lang w:val="fr-FR"/>
              </w:rPr>
              <w:t xml:space="preserve">Situation géographique : Cette aire inclut les aires marines adjacentes aux îles </w:t>
            </w:r>
            <w:proofErr w:type="spellStart"/>
            <w:r w:rsidRPr="009F0333">
              <w:rPr>
                <w:snapToGrid w:val="0"/>
                <w:kern w:val="22"/>
                <w:lang w:val="fr-FR"/>
              </w:rPr>
              <w:t>Desertas</w:t>
            </w:r>
            <w:proofErr w:type="spellEnd"/>
            <w:r w:rsidRPr="009F0333">
              <w:rPr>
                <w:snapToGrid w:val="0"/>
                <w:kern w:val="22"/>
                <w:lang w:val="fr-FR"/>
              </w:rPr>
              <w:t>. Elle couvre une superficie de 455 km</w:t>
            </w:r>
            <w:r w:rsidRPr="009F0333">
              <w:rPr>
                <w:snapToGrid w:val="0"/>
                <w:kern w:val="22"/>
                <w:vertAlign w:val="superscript"/>
                <w:lang w:val="fr-FR"/>
              </w:rPr>
              <w:t>2</w:t>
            </w:r>
            <w:r w:rsidRPr="009F0333">
              <w:rPr>
                <w:snapToGrid w:val="0"/>
                <w:kern w:val="22"/>
                <w:lang w:val="fr-FR"/>
              </w:rPr>
              <w:t xml:space="preserve"> et se trouve au sud-est de l’île de Madère, Portugal (32.47N/-16.52W).</w:t>
            </w:r>
          </w:p>
          <w:p w14:paraId="3F038997" w14:textId="77777777" w:rsidR="00196846" w:rsidRPr="009F0333" w:rsidRDefault="00196846" w:rsidP="00196846">
            <w:pPr>
              <w:numPr>
                <w:ilvl w:val="0"/>
                <w:numId w:val="36"/>
              </w:numPr>
              <w:suppressLineNumbers/>
              <w:suppressAutoHyphens/>
              <w:kinsoku w:val="0"/>
              <w:overflowPunct w:val="0"/>
              <w:autoSpaceDE w:val="0"/>
              <w:autoSpaceDN w:val="0"/>
              <w:adjustRightInd w:val="0"/>
              <w:ind w:left="395"/>
              <w:rPr>
                <w:snapToGrid w:val="0"/>
                <w:kern w:val="22"/>
                <w:lang w:val="fr-FR"/>
              </w:rPr>
            </w:pPr>
            <w:r w:rsidRPr="009F0333">
              <w:rPr>
                <w:snapToGrid w:val="0"/>
                <w:kern w:val="22"/>
                <w:szCs w:val="22"/>
                <w:lang w:val="fr-FR"/>
              </w:rPr>
              <w:t xml:space="preserve">Les îles </w:t>
            </w:r>
            <w:proofErr w:type="spellStart"/>
            <w:r w:rsidRPr="009F0333">
              <w:rPr>
                <w:snapToGrid w:val="0"/>
                <w:kern w:val="22"/>
                <w:szCs w:val="22"/>
                <w:lang w:val="fr-FR"/>
              </w:rPr>
              <w:t>Desertas</w:t>
            </w:r>
            <w:proofErr w:type="spellEnd"/>
            <w:r w:rsidRPr="009F0333">
              <w:rPr>
                <w:snapToGrid w:val="0"/>
                <w:kern w:val="22"/>
                <w:szCs w:val="22"/>
                <w:lang w:val="fr-FR"/>
              </w:rPr>
              <w:t xml:space="preserve"> abritent quelques-unes des plus importantes colonies d’oiseaux de mer de l’Atlantique, notamment des populations nombreuses de Procellariiformes, y compris l’unique population de Pétrel du désert (</w:t>
            </w:r>
            <w:proofErr w:type="spellStart"/>
            <w:r w:rsidRPr="009F0333">
              <w:rPr>
                <w:i/>
                <w:iCs/>
                <w:snapToGrid w:val="0"/>
                <w:kern w:val="22"/>
                <w:szCs w:val="22"/>
                <w:lang w:val="fr-FR"/>
              </w:rPr>
              <w:t>Pterodroma</w:t>
            </w:r>
            <w:proofErr w:type="spellEnd"/>
            <w:r w:rsidRPr="009F0333">
              <w:rPr>
                <w:i/>
                <w:iCs/>
                <w:snapToGrid w:val="0"/>
                <w:kern w:val="22"/>
                <w:szCs w:val="22"/>
                <w:lang w:val="fr-FR"/>
              </w:rPr>
              <w:t xml:space="preserve"> </w:t>
            </w:r>
            <w:proofErr w:type="spellStart"/>
            <w:r w:rsidRPr="009F0333">
              <w:rPr>
                <w:i/>
                <w:iCs/>
                <w:snapToGrid w:val="0"/>
                <w:kern w:val="22"/>
                <w:szCs w:val="22"/>
                <w:lang w:val="fr-FR"/>
              </w:rPr>
              <w:t>deserta</w:t>
            </w:r>
            <w:proofErr w:type="spellEnd"/>
            <w:r w:rsidRPr="009F0333">
              <w:rPr>
                <w:snapToGrid w:val="0"/>
                <w:kern w:val="22"/>
                <w:szCs w:val="22"/>
                <w:lang w:val="fr-FR"/>
              </w:rPr>
              <w:t xml:space="preserve">), une espèce vulnérable. Elles contiennent aussi des sites de reproduction et </w:t>
            </w:r>
            <w:r w:rsidRPr="009F0333">
              <w:rPr>
                <w:snapToGrid w:val="0"/>
                <w:kern w:val="22"/>
                <w:szCs w:val="22"/>
                <w:lang w:val="fr-FR"/>
              </w:rPr>
              <w:lastRenderedPageBreak/>
              <w:t>des zones de halte importants pour le Phoque moine (</w:t>
            </w:r>
            <w:proofErr w:type="spellStart"/>
            <w:r w:rsidRPr="009F0333">
              <w:rPr>
                <w:i/>
                <w:iCs/>
                <w:snapToGrid w:val="0"/>
                <w:kern w:val="22"/>
                <w:szCs w:val="22"/>
                <w:lang w:val="fr-FR"/>
              </w:rPr>
              <w:t>Monachus</w:t>
            </w:r>
            <w:proofErr w:type="spellEnd"/>
            <w:r w:rsidRPr="009F0333">
              <w:rPr>
                <w:i/>
                <w:iCs/>
                <w:snapToGrid w:val="0"/>
                <w:kern w:val="22"/>
                <w:szCs w:val="22"/>
                <w:lang w:val="fr-FR"/>
              </w:rPr>
              <w:t xml:space="preserve"> </w:t>
            </w:r>
            <w:proofErr w:type="spellStart"/>
            <w:r w:rsidRPr="009F0333">
              <w:rPr>
                <w:i/>
                <w:iCs/>
                <w:snapToGrid w:val="0"/>
                <w:kern w:val="22"/>
                <w:szCs w:val="22"/>
                <w:lang w:val="fr-FR"/>
              </w:rPr>
              <w:t>monachus</w:t>
            </w:r>
            <w:proofErr w:type="spellEnd"/>
            <w:r w:rsidRPr="009F0333">
              <w:rPr>
                <w:snapToGrid w:val="0"/>
                <w:kern w:val="22"/>
                <w:szCs w:val="22"/>
                <w:lang w:val="fr-FR"/>
              </w:rPr>
              <w:t>), une espèce menacée, sous forme de grottes pour la mise bas et de plages pour les haltes.</w:t>
            </w:r>
          </w:p>
        </w:tc>
        <w:tc>
          <w:tcPr>
            <w:tcW w:w="506" w:type="dxa"/>
            <w:vAlign w:val="center"/>
          </w:tcPr>
          <w:p w14:paraId="05C2350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lastRenderedPageBreak/>
              <w:t>H</w:t>
            </w:r>
          </w:p>
        </w:tc>
        <w:tc>
          <w:tcPr>
            <w:tcW w:w="506" w:type="dxa"/>
            <w:vAlign w:val="center"/>
          </w:tcPr>
          <w:p w14:paraId="067A33B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191E3D2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81D0D4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4D93769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506" w:type="dxa"/>
            <w:vAlign w:val="center"/>
          </w:tcPr>
          <w:p w14:paraId="2D3A8815"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489" w:type="dxa"/>
            <w:vAlign w:val="center"/>
          </w:tcPr>
          <w:p w14:paraId="39834AB2"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r>
      <w:tr w:rsidR="00196846" w:rsidRPr="009F0333" w14:paraId="5C11C316" w14:textId="77777777" w:rsidTr="00E55451">
        <w:tc>
          <w:tcPr>
            <w:tcW w:w="9687" w:type="dxa"/>
            <w:shd w:val="clear" w:color="auto" w:fill="auto"/>
          </w:tcPr>
          <w:p w14:paraId="224D8C14" w14:textId="77777777" w:rsidR="00196846" w:rsidRPr="009F0333" w:rsidRDefault="00196846" w:rsidP="00706C3C">
            <w:pPr>
              <w:suppressLineNumbers/>
              <w:suppressAutoHyphens/>
              <w:kinsoku w:val="0"/>
              <w:overflowPunct w:val="0"/>
              <w:autoSpaceDE w:val="0"/>
              <w:autoSpaceDN w:val="0"/>
              <w:snapToGrid w:val="0"/>
              <w:rPr>
                <w:b/>
                <w:snapToGrid w:val="0"/>
                <w:kern w:val="22"/>
                <w:lang w:val="fr-FR"/>
              </w:rPr>
            </w:pPr>
            <w:r w:rsidRPr="009F0333">
              <w:rPr>
                <w:b/>
                <w:snapToGrid w:val="0"/>
                <w:kern w:val="22"/>
                <w:lang w:val="fr-FR"/>
              </w:rPr>
              <w:t>8. Iles océaniques et monts sous-marins de la région des Canaries</w:t>
            </w:r>
          </w:p>
          <w:p w14:paraId="1403B329" w14:textId="77777777" w:rsidR="00196846" w:rsidRPr="009F0333" w:rsidRDefault="00196846" w:rsidP="00196846">
            <w:pPr>
              <w:numPr>
                <w:ilvl w:val="0"/>
                <w:numId w:val="39"/>
              </w:numPr>
              <w:suppressLineNumbers/>
              <w:shd w:val="clear" w:color="auto" w:fill="FFFFFF"/>
              <w:suppressAutoHyphens/>
              <w:kinsoku w:val="0"/>
              <w:overflowPunct w:val="0"/>
              <w:autoSpaceDE w:val="0"/>
              <w:autoSpaceDN w:val="0"/>
              <w:ind w:left="395"/>
              <w:contextualSpacing/>
              <w:rPr>
                <w:rFonts w:eastAsia="Malgun Gothic"/>
                <w:snapToGrid w:val="0"/>
                <w:color w:val="212121"/>
                <w:kern w:val="22"/>
                <w:szCs w:val="22"/>
                <w:lang w:val="fr-FR" w:eastAsia="ja-JP"/>
              </w:rPr>
            </w:pPr>
            <w:r w:rsidRPr="009F0333">
              <w:rPr>
                <w:rFonts w:eastAsia="Malgun Gothic"/>
                <w:snapToGrid w:val="0"/>
                <w:kern w:val="22"/>
                <w:szCs w:val="22"/>
                <w:lang w:val="fr-FR" w:eastAsia="en-CA"/>
              </w:rPr>
              <w:t xml:space="preserve">Situation géographique : </w:t>
            </w:r>
            <w:r w:rsidRPr="009F0333">
              <w:rPr>
                <w:rFonts w:eastAsia="MS Mincho"/>
                <w:snapToGrid w:val="0"/>
                <w:kern w:val="22"/>
                <w:szCs w:val="22"/>
                <w:lang w:val="fr-FR" w:eastAsia="en-CA"/>
              </w:rPr>
              <w:t>L’aire se trouve à l’intérieur et autour des îles Canaries, entre les parallèles 24º60’N et 32º27’N et les méridiens 20º96’W et 30º33’W. Elle inclut des structures volcaniques (telles que des îles émergées, des monts sous-marins et des bancs) et atteint une profondeur maximale de 3000 mètres.</w:t>
            </w:r>
          </w:p>
          <w:p w14:paraId="6CFCE1D7" w14:textId="77777777" w:rsidR="00196846" w:rsidRPr="009F0333" w:rsidRDefault="00196846" w:rsidP="00196846">
            <w:pPr>
              <w:numPr>
                <w:ilvl w:val="0"/>
                <w:numId w:val="39"/>
              </w:numPr>
              <w:suppressLineNumbers/>
              <w:shd w:val="clear" w:color="auto" w:fill="FFFFFF"/>
              <w:suppressAutoHyphens/>
              <w:kinsoku w:val="0"/>
              <w:overflowPunct w:val="0"/>
              <w:autoSpaceDE w:val="0"/>
              <w:autoSpaceDN w:val="0"/>
              <w:ind w:left="395"/>
              <w:contextualSpacing/>
              <w:rPr>
                <w:rFonts w:eastAsia="Malgun Gothic"/>
                <w:snapToGrid w:val="0"/>
                <w:color w:val="212121"/>
                <w:kern w:val="22"/>
                <w:szCs w:val="22"/>
                <w:lang w:val="fr-FR" w:eastAsia="ja-JP"/>
              </w:rPr>
            </w:pPr>
            <w:r w:rsidRPr="009F0333">
              <w:rPr>
                <w:rFonts w:eastAsia="Malgun Gothic"/>
                <w:snapToGrid w:val="0"/>
                <w:kern w:val="22"/>
                <w:szCs w:val="22"/>
                <w:lang w:val="fr-FR" w:eastAsia="en-CA"/>
              </w:rPr>
              <w:t xml:space="preserve">La zone qui entoure les îles Canaries comprend une série d’îles et de monts sous-marins influencés par des processus induits par le magma depuis plusieurs dizaines de millions d’années dans le « point chaud » des Canaries. L’archipel est constitué de sept îles principales, d’un groupe d’îlots dans le nord-est, et de trois champs de monts sous-marins : un dans le nord-est de l’archipel, un dans le sud-ouest, et un autre situé entre les îles. Quelques-uns de ces monts sous-marins (Banc de Concepción, El </w:t>
            </w:r>
            <w:proofErr w:type="spellStart"/>
            <w:r w:rsidRPr="009F0333">
              <w:rPr>
                <w:rFonts w:eastAsia="Malgun Gothic"/>
                <w:snapToGrid w:val="0"/>
                <w:kern w:val="22"/>
                <w:szCs w:val="22"/>
                <w:lang w:val="fr-FR" w:eastAsia="en-CA"/>
              </w:rPr>
              <w:t>Banquete</w:t>
            </w:r>
            <w:proofErr w:type="spellEnd"/>
            <w:r w:rsidRPr="009F0333">
              <w:rPr>
                <w:rFonts w:eastAsia="Malgun Gothic"/>
                <w:snapToGrid w:val="0"/>
                <w:kern w:val="22"/>
                <w:szCs w:val="22"/>
                <w:lang w:val="fr-FR" w:eastAsia="en-CA"/>
              </w:rPr>
              <w:t xml:space="preserve"> et </w:t>
            </w:r>
            <w:proofErr w:type="spellStart"/>
            <w:r w:rsidRPr="009F0333">
              <w:rPr>
                <w:rFonts w:eastAsia="Malgun Gothic"/>
                <w:snapToGrid w:val="0"/>
                <w:kern w:val="22"/>
                <w:szCs w:val="22"/>
                <w:lang w:val="fr-FR" w:eastAsia="en-CA"/>
              </w:rPr>
              <w:t>Amanay</w:t>
            </w:r>
            <w:proofErr w:type="spellEnd"/>
            <w:r w:rsidRPr="009F0333">
              <w:rPr>
                <w:rFonts w:eastAsia="Malgun Gothic"/>
                <w:snapToGrid w:val="0"/>
                <w:kern w:val="22"/>
                <w:szCs w:val="22"/>
                <w:lang w:val="fr-FR" w:eastAsia="en-CA"/>
              </w:rPr>
              <w:t xml:space="preserve">), ainsi que les zones côtières de la région des Canaries, ont été abondamment étudiés. Trente-neuf Aires spéciales marines de conservation et deux Sites d’importance communautaire (tous font partie du réseau </w:t>
            </w:r>
            <w:r w:rsidRPr="009F0333">
              <w:rPr>
                <w:rFonts w:eastAsia="MS Mincho"/>
                <w:szCs w:val="22"/>
                <w:lang w:val="fr-FR"/>
              </w:rPr>
              <w:t>Natura 2000), ainsi que trois réserves marines, se trouvent dans</w:t>
            </w:r>
            <w:r w:rsidRPr="009F0333">
              <w:rPr>
                <w:rFonts w:eastAsia="Malgun Gothic"/>
                <w:snapToGrid w:val="0"/>
                <w:kern w:val="22"/>
                <w:szCs w:val="22"/>
                <w:lang w:val="fr-FR" w:eastAsia="en-CA"/>
              </w:rPr>
              <w:t xml:space="preserve"> l’aire. Cette région, caractérisée par des conditions océanographiques subtropicales, se trouve à la limite sud de l’aire de répartition de nombreuses espèces pélagiques et benthiques. Elle comprend différents habitats benthiques, dont certains sont considérés comme des points chauds de biodiversité. Ces habitats sont utilisés comme sites de reproduction par plusieurs espèces commerciales. L’aire contient également des habitats utilisés par des espèces en danger, menacées ou en déclin, et par des espèces pélagiques migratrices, y compris des cétacés.</w:t>
            </w:r>
          </w:p>
        </w:tc>
        <w:tc>
          <w:tcPr>
            <w:tcW w:w="506" w:type="dxa"/>
            <w:vAlign w:val="center"/>
          </w:tcPr>
          <w:p w14:paraId="3C70ECE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33DB7E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01C6070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5081153"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418D7412"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6AAABBF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32FAD6D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r>
      <w:tr w:rsidR="00196846" w:rsidRPr="009F0333" w14:paraId="346C4879" w14:textId="77777777" w:rsidTr="00E55451">
        <w:tc>
          <w:tcPr>
            <w:tcW w:w="9687" w:type="dxa"/>
            <w:shd w:val="clear" w:color="auto" w:fill="auto"/>
          </w:tcPr>
          <w:p w14:paraId="307604ED" w14:textId="77777777" w:rsidR="00196846" w:rsidRPr="009F0333" w:rsidRDefault="00196846" w:rsidP="00706C3C">
            <w:pPr>
              <w:suppressLineNumbers/>
              <w:suppressAutoHyphens/>
              <w:kinsoku w:val="0"/>
              <w:overflowPunct w:val="0"/>
              <w:autoSpaceDE w:val="0"/>
              <w:autoSpaceDN w:val="0"/>
              <w:rPr>
                <w:b/>
                <w:snapToGrid w:val="0"/>
                <w:kern w:val="22"/>
              </w:rPr>
            </w:pPr>
            <w:r w:rsidRPr="009F0333">
              <w:rPr>
                <w:b/>
                <w:snapToGrid w:val="0"/>
                <w:kern w:val="22"/>
              </w:rPr>
              <w:t>9. Mont sous-</w:t>
            </w:r>
            <w:proofErr w:type="spellStart"/>
            <w:r w:rsidRPr="009F0333">
              <w:rPr>
                <w:b/>
                <w:snapToGrid w:val="0"/>
                <w:kern w:val="22"/>
              </w:rPr>
              <w:t>marin</w:t>
            </w:r>
            <w:proofErr w:type="spellEnd"/>
            <w:r w:rsidRPr="009F0333">
              <w:rPr>
                <w:b/>
                <w:snapToGrid w:val="0"/>
                <w:kern w:val="22"/>
              </w:rPr>
              <w:t xml:space="preserve"> du </w:t>
            </w:r>
            <w:proofErr w:type="spellStart"/>
            <w:r w:rsidRPr="009F0333">
              <w:rPr>
                <w:b/>
                <w:snapToGrid w:val="0"/>
                <w:kern w:val="22"/>
              </w:rPr>
              <w:t>Tropique</w:t>
            </w:r>
            <w:proofErr w:type="spellEnd"/>
          </w:p>
          <w:p w14:paraId="3AA7BB16" w14:textId="77777777" w:rsidR="00196846" w:rsidRPr="009F0333" w:rsidRDefault="00196846" w:rsidP="00196846">
            <w:pPr>
              <w:numPr>
                <w:ilvl w:val="0"/>
                <w:numId w:val="28"/>
              </w:numPr>
              <w:suppressLineNumbers/>
              <w:suppressAutoHyphens/>
              <w:kinsoku w:val="0"/>
              <w:overflowPunct w:val="0"/>
              <w:autoSpaceDE w:val="0"/>
              <w:autoSpaceDN w:val="0"/>
              <w:contextualSpacing/>
              <w:rPr>
                <w:snapToGrid w:val="0"/>
                <w:kern w:val="22"/>
                <w:szCs w:val="22"/>
                <w:lang w:val="fr-FR"/>
              </w:rPr>
            </w:pPr>
            <w:r w:rsidRPr="009F0333">
              <w:rPr>
                <w:rFonts w:eastAsia="Malgun Gothic"/>
                <w:snapToGrid w:val="0"/>
                <w:kern w:val="22"/>
                <w:szCs w:val="22"/>
                <w:lang w:val="fr-FR" w:eastAsia="en-CA"/>
              </w:rPr>
              <w:t>Situation géographique : Le mont sous-marin du Tropique se trouve dans l’Atlantique Nord-Est (23°55’ N, 20°45’ W), le long de la marge continentale africaine nord-ouest.</w:t>
            </w:r>
          </w:p>
          <w:p w14:paraId="4FC0FD4E" w14:textId="77777777" w:rsidR="00196846" w:rsidRPr="009F0333" w:rsidRDefault="00196846" w:rsidP="00196846">
            <w:pPr>
              <w:numPr>
                <w:ilvl w:val="0"/>
                <w:numId w:val="28"/>
              </w:numPr>
              <w:suppressLineNumbers/>
              <w:suppressAutoHyphens/>
              <w:kinsoku w:val="0"/>
              <w:overflowPunct w:val="0"/>
              <w:autoSpaceDE w:val="0"/>
              <w:autoSpaceDN w:val="0"/>
              <w:rPr>
                <w:snapToGrid w:val="0"/>
                <w:kern w:val="22"/>
                <w:lang w:val="fr-FR"/>
              </w:rPr>
            </w:pPr>
            <w:r w:rsidRPr="009F0333">
              <w:rPr>
                <w:snapToGrid w:val="0"/>
                <w:kern w:val="22"/>
                <w:lang w:val="fr-FR"/>
              </w:rPr>
              <w:t>Le mont sous-marin du Tropique abrite un grand nombre de taxons vulnérables, y compris des jardins d’</w:t>
            </w:r>
            <w:proofErr w:type="spellStart"/>
            <w:r w:rsidRPr="009F0333">
              <w:rPr>
                <w:snapToGrid w:val="0"/>
                <w:kern w:val="22"/>
                <w:lang w:val="fr-FR"/>
              </w:rPr>
              <w:t>octocoraux</w:t>
            </w:r>
            <w:proofErr w:type="spellEnd"/>
            <w:r w:rsidRPr="009F0333">
              <w:rPr>
                <w:snapToGrid w:val="0"/>
                <w:kern w:val="22"/>
                <w:lang w:val="fr-FR"/>
              </w:rPr>
              <w:t xml:space="preserve"> à densité élevée, des récifs de coraux </w:t>
            </w:r>
            <w:proofErr w:type="spellStart"/>
            <w:r w:rsidRPr="009F0333">
              <w:rPr>
                <w:i/>
                <w:iCs/>
                <w:snapToGrid w:val="0"/>
                <w:kern w:val="22"/>
                <w:lang w:val="fr-FR"/>
              </w:rPr>
              <w:t>Solenosmilia</w:t>
            </w:r>
            <w:proofErr w:type="spellEnd"/>
            <w:r w:rsidRPr="009F0333">
              <w:rPr>
                <w:i/>
                <w:iCs/>
                <w:snapToGrid w:val="0"/>
                <w:kern w:val="22"/>
                <w:lang w:val="fr-FR"/>
              </w:rPr>
              <w:t xml:space="preserve"> </w:t>
            </w:r>
            <w:proofErr w:type="spellStart"/>
            <w:r w:rsidRPr="009F0333">
              <w:rPr>
                <w:i/>
                <w:iCs/>
                <w:snapToGrid w:val="0"/>
                <w:kern w:val="22"/>
                <w:lang w:val="fr-FR"/>
              </w:rPr>
              <w:t>variabilis</w:t>
            </w:r>
            <w:proofErr w:type="spellEnd"/>
            <w:r w:rsidRPr="009F0333">
              <w:rPr>
                <w:snapToGrid w:val="0"/>
                <w:kern w:val="22"/>
                <w:lang w:val="fr-FR"/>
              </w:rPr>
              <w:t xml:space="preserve">, des </w:t>
            </w:r>
            <w:proofErr w:type="spellStart"/>
            <w:r w:rsidRPr="009F0333">
              <w:rPr>
                <w:snapToGrid w:val="0"/>
                <w:kern w:val="22"/>
                <w:lang w:val="fr-FR"/>
              </w:rPr>
              <w:t>xénophyophores</w:t>
            </w:r>
            <w:proofErr w:type="spellEnd"/>
            <w:r w:rsidRPr="009F0333">
              <w:rPr>
                <w:snapToGrid w:val="0"/>
                <w:kern w:val="22"/>
                <w:lang w:val="fr-FR"/>
              </w:rPr>
              <w:t>, des champs de crinoïdes et des champs d’éponges d’eau froide. Une étude récente a fourni les premières données biologiques indiquant la présence d’écosystèmes vulnérables potentiels sur le mont sous-marin du Tropique, à côté des prévisions des modèles, afin d’élargir la couverture spatiale au-delà des études menées par des véhicules submersibles autonomes télécommandés. Les habitats anticipés de l’éponge siliceuse (</w:t>
            </w:r>
            <w:proofErr w:type="spellStart"/>
            <w:r w:rsidRPr="009F0333">
              <w:rPr>
                <w:i/>
                <w:iCs/>
                <w:snapToGrid w:val="0"/>
                <w:kern w:val="22"/>
                <w:lang w:val="fr-FR"/>
              </w:rPr>
              <w:t>Poliopogon</w:t>
            </w:r>
            <w:proofErr w:type="spellEnd"/>
            <w:r w:rsidRPr="009F0333">
              <w:rPr>
                <w:i/>
                <w:iCs/>
                <w:snapToGrid w:val="0"/>
                <w:kern w:val="22"/>
                <w:lang w:val="fr-FR"/>
              </w:rPr>
              <w:t xml:space="preserve"> amadou)</w:t>
            </w:r>
            <w:r w:rsidRPr="009F0333">
              <w:rPr>
                <w:snapToGrid w:val="0"/>
                <w:kern w:val="22"/>
                <w:lang w:val="fr-FR"/>
              </w:rPr>
              <w:t xml:space="preserve">, un </w:t>
            </w:r>
            <w:proofErr w:type="spellStart"/>
            <w:r w:rsidRPr="009F0333">
              <w:rPr>
                <w:snapToGrid w:val="0"/>
                <w:kern w:val="22"/>
                <w:lang w:val="fr-FR"/>
              </w:rPr>
              <w:t>hexactinellide</w:t>
            </w:r>
            <w:proofErr w:type="spellEnd"/>
            <w:r w:rsidRPr="009F0333">
              <w:rPr>
                <w:snapToGrid w:val="0"/>
                <w:kern w:val="22"/>
                <w:lang w:val="fr-FR"/>
              </w:rPr>
              <w:t xml:space="preserve"> limité sur le plan biogéographique, qui forme des vastes fonds marins abritant quasiment une seule espèce, ont montré une préférence de cette espèce pour les </w:t>
            </w:r>
            <w:r w:rsidRPr="009F0333">
              <w:rPr>
                <w:snapToGrid w:val="0"/>
                <w:kern w:val="22"/>
                <w:lang w:val="fr-FR"/>
              </w:rPr>
              <w:lastRenderedPageBreak/>
              <w:t>flancs abrupts du mont sous-marin dans cette aire, dans le cadre d’un régime océanographique très restreint.</w:t>
            </w:r>
          </w:p>
        </w:tc>
        <w:tc>
          <w:tcPr>
            <w:tcW w:w="506" w:type="dxa"/>
            <w:vAlign w:val="center"/>
          </w:tcPr>
          <w:p w14:paraId="39C269A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lastRenderedPageBreak/>
              <w:t>H</w:t>
            </w:r>
          </w:p>
        </w:tc>
        <w:tc>
          <w:tcPr>
            <w:tcW w:w="506" w:type="dxa"/>
            <w:vAlign w:val="center"/>
          </w:tcPr>
          <w:p w14:paraId="725C477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506" w:type="dxa"/>
            <w:vAlign w:val="center"/>
          </w:tcPr>
          <w:p w14:paraId="592DAC17"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482FD9E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6EC6595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4A5D445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77132480"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r>
      <w:tr w:rsidR="00196846" w:rsidRPr="009F0333" w14:paraId="5FB548CB" w14:textId="77777777" w:rsidTr="00E55451">
        <w:tc>
          <w:tcPr>
            <w:tcW w:w="9687" w:type="dxa"/>
            <w:shd w:val="clear" w:color="auto" w:fill="auto"/>
          </w:tcPr>
          <w:p w14:paraId="39251B1B" w14:textId="77777777" w:rsidR="00196846" w:rsidRPr="009F0333" w:rsidRDefault="00196846" w:rsidP="00706C3C">
            <w:pPr>
              <w:keepNext/>
              <w:suppressLineNumbers/>
              <w:suppressAutoHyphens/>
              <w:kinsoku w:val="0"/>
              <w:overflowPunct w:val="0"/>
              <w:autoSpaceDE w:val="0"/>
              <w:autoSpaceDN w:val="0"/>
              <w:snapToGrid w:val="0"/>
              <w:rPr>
                <w:b/>
                <w:snapToGrid w:val="0"/>
                <w:kern w:val="22"/>
                <w:lang w:val="fr-FR"/>
              </w:rPr>
            </w:pPr>
            <w:r w:rsidRPr="009F0333">
              <w:rPr>
                <w:b/>
                <w:snapToGrid w:val="0"/>
                <w:kern w:val="22"/>
                <w:lang w:val="fr-FR"/>
              </w:rPr>
              <w:lastRenderedPageBreak/>
              <w:t>10. Complexe des monts sous-marins d’Atlantis-Météore</w:t>
            </w:r>
          </w:p>
          <w:p w14:paraId="5F8DA9C8" w14:textId="77777777" w:rsidR="00196846" w:rsidRPr="009F0333" w:rsidRDefault="00196846" w:rsidP="00196846">
            <w:pPr>
              <w:keepNext/>
              <w:numPr>
                <w:ilvl w:val="0"/>
                <w:numId w:val="24"/>
              </w:numPr>
              <w:suppressLineNumbers/>
              <w:suppressAutoHyphens/>
              <w:kinsoku w:val="0"/>
              <w:overflowPunct w:val="0"/>
              <w:autoSpaceDE w:val="0"/>
              <w:autoSpaceDN w:val="0"/>
              <w:rPr>
                <w:snapToGrid w:val="0"/>
                <w:kern w:val="22"/>
                <w:lang w:val="fr-FR"/>
              </w:rPr>
            </w:pPr>
            <w:r w:rsidRPr="009F0333">
              <w:rPr>
                <w:snapToGrid w:val="0"/>
                <w:kern w:val="22"/>
                <w:lang w:val="fr-FR"/>
              </w:rPr>
              <w:t>Situation géographique : L’aire se trouve environ à 700 km au sud des Açores et environ à 1500 km au nord-ouest de l’Afrique. Elle couvre une superficie totale de 134 079 km</w:t>
            </w:r>
            <w:r w:rsidRPr="009F0333">
              <w:rPr>
                <w:snapToGrid w:val="0"/>
                <w:kern w:val="22"/>
                <w:vertAlign w:val="superscript"/>
                <w:lang w:val="fr-FR"/>
              </w:rPr>
              <w:t>2</w:t>
            </w:r>
            <w:r w:rsidRPr="009F0333">
              <w:rPr>
                <w:snapToGrid w:val="0"/>
                <w:kern w:val="22"/>
                <w:lang w:val="fr-FR"/>
              </w:rPr>
              <w:t>, avec des profondeurs allant de de 265 mètres de fond (en haut du mont sous-marin Atlantis) à 4800 mètres de profondeur (en bas du mont sous-marin Grande Météore). L’aire est délimitée par les parallèles 35º30’0,000’’N et 29º12’0,000’’N, et les méridiens -27º0’0,000’’W et -31º30’0,000’’W.</w:t>
            </w:r>
          </w:p>
          <w:p w14:paraId="58B748BA" w14:textId="77777777" w:rsidR="00196846" w:rsidRPr="009F0333" w:rsidRDefault="00196846" w:rsidP="00196846">
            <w:pPr>
              <w:keepNext/>
              <w:numPr>
                <w:ilvl w:val="0"/>
                <w:numId w:val="24"/>
              </w:numPr>
              <w:suppressLineNumbers/>
              <w:suppressAutoHyphens/>
              <w:kinsoku w:val="0"/>
              <w:overflowPunct w:val="0"/>
              <w:autoSpaceDE w:val="0"/>
              <w:autoSpaceDN w:val="0"/>
              <w:rPr>
                <w:snapToGrid w:val="0"/>
                <w:kern w:val="22"/>
                <w:lang w:val="fr-FR"/>
              </w:rPr>
            </w:pPr>
            <w:r w:rsidRPr="009F0333">
              <w:rPr>
                <w:snapToGrid w:val="0"/>
                <w:kern w:val="22"/>
                <w:lang w:val="fr-FR"/>
              </w:rPr>
              <w:t>Le complexe des monts sous-marins</w:t>
            </w:r>
            <w:r w:rsidRPr="009F0333">
              <w:rPr>
                <w:b/>
                <w:snapToGrid w:val="0"/>
                <w:kern w:val="22"/>
                <w:lang w:val="fr-FR"/>
              </w:rPr>
              <w:t xml:space="preserve"> </w:t>
            </w:r>
            <w:r w:rsidRPr="009F0333">
              <w:rPr>
                <w:snapToGrid w:val="0"/>
                <w:kern w:val="22"/>
                <w:lang w:val="fr-FR"/>
              </w:rPr>
              <w:t>Atlantis-Météore comprend 10 monts sous-marins. Ces monts sous-marins sont des points chauds de la vie marine et des zones de productivité renforcée, comparé notamment aux zones abyssales adjacentes. Ce complexe de monts sous-marins couvre une superficie totale de 134 079 km</w:t>
            </w:r>
            <w:r w:rsidRPr="009F0333">
              <w:rPr>
                <w:snapToGrid w:val="0"/>
                <w:kern w:val="22"/>
                <w:vertAlign w:val="superscript"/>
                <w:lang w:val="fr-FR"/>
              </w:rPr>
              <w:t>2</w:t>
            </w:r>
            <w:r w:rsidRPr="009F0333">
              <w:rPr>
                <w:snapToGrid w:val="0"/>
                <w:kern w:val="22"/>
                <w:lang w:val="fr-FR"/>
              </w:rPr>
              <w:t>, avec des profondeurs allant de 265 mètres de fond (en haut du mont sous-marin Atlantis) à 4800 mètres de profondeur (en bas du mont sous-marin Grande Météore). Au total, 437 espèces sont présentes dans cette aire (dont 16% de mégafaune et macrofaune, et jusqu’à 91% de medio-faune endémique au groupe de monts sous-marins) ; 3,9% de ces espèces sont protégées au titre du droit international ou régional en vigueur.</w:t>
            </w:r>
          </w:p>
        </w:tc>
        <w:tc>
          <w:tcPr>
            <w:tcW w:w="506" w:type="dxa"/>
            <w:vAlign w:val="center"/>
          </w:tcPr>
          <w:p w14:paraId="0A6DF711"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7AC0571"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D5997B7"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11E3540"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0EEDB610"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506E472C"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31AD4824" w14:textId="77777777" w:rsidR="00196846" w:rsidRPr="009F0333" w:rsidRDefault="00196846" w:rsidP="00706C3C">
            <w:pPr>
              <w:keepNext/>
              <w:suppressLineNumbers/>
              <w:suppressAutoHyphens/>
              <w:kinsoku w:val="0"/>
              <w:overflowPunct w:val="0"/>
              <w:autoSpaceDE w:val="0"/>
              <w:autoSpaceDN w:val="0"/>
              <w:snapToGrid w:val="0"/>
              <w:jc w:val="center"/>
              <w:rPr>
                <w:snapToGrid w:val="0"/>
                <w:kern w:val="22"/>
              </w:rPr>
            </w:pPr>
            <w:r w:rsidRPr="009F0333">
              <w:rPr>
                <w:snapToGrid w:val="0"/>
                <w:kern w:val="22"/>
              </w:rPr>
              <w:t>M</w:t>
            </w:r>
          </w:p>
        </w:tc>
      </w:tr>
      <w:tr w:rsidR="00196846" w:rsidRPr="009F0333" w14:paraId="525F42C6" w14:textId="77777777" w:rsidTr="00E55451">
        <w:tc>
          <w:tcPr>
            <w:tcW w:w="9687" w:type="dxa"/>
            <w:shd w:val="clear" w:color="auto" w:fill="auto"/>
          </w:tcPr>
          <w:p w14:paraId="48B68B08" w14:textId="77777777" w:rsidR="00196846" w:rsidRPr="009F0333" w:rsidRDefault="00196846" w:rsidP="00706C3C">
            <w:pPr>
              <w:keepNext/>
              <w:suppressLineNumbers/>
              <w:suppressAutoHyphens/>
              <w:kinsoku w:val="0"/>
              <w:overflowPunct w:val="0"/>
              <w:autoSpaceDE w:val="0"/>
              <w:autoSpaceDN w:val="0"/>
              <w:snapToGrid w:val="0"/>
              <w:rPr>
                <w:b/>
                <w:snapToGrid w:val="0"/>
                <w:kern w:val="22"/>
                <w:lang w:val="fr-FR"/>
              </w:rPr>
            </w:pPr>
            <w:r w:rsidRPr="009F0333">
              <w:rPr>
                <w:b/>
                <w:snapToGrid w:val="0"/>
                <w:kern w:val="22"/>
                <w:lang w:val="fr-FR"/>
              </w:rPr>
              <w:t>11. Dorsale du sud des Açores</w:t>
            </w:r>
          </w:p>
          <w:p w14:paraId="1E009257" w14:textId="77777777" w:rsidR="00196846" w:rsidRPr="009F0333" w:rsidRDefault="00196846" w:rsidP="00196846">
            <w:pPr>
              <w:numPr>
                <w:ilvl w:val="0"/>
                <w:numId w:val="26"/>
              </w:numPr>
              <w:suppressLineNumbers/>
              <w:suppressAutoHyphens/>
              <w:kinsoku w:val="0"/>
              <w:overflowPunct w:val="0"/>
              <w:autoSpaceDE w:val="0"/>
              <w:autoSpaceDN w:val="0"/>
              <w:contextualSpacing/>
              <w:rPr>
                <w:rFonts w:eastAsia="MS Mincho"/>
                <w:snapToGrid w:val="0"/>
                <w:kern w:val="22"/>
                <w:szCs w:val="22"/>
                <w:lang w:val="fr-FR"/>
              </w:rPr>
            </w:pPr>
            <w:r w:rsidRPr="009F0333">
              <w:rPr>
                <w:rFonts w:eastAsia="Malgun Gothic"/>
                <w:snapToGrid w:val="0"/>
                <w:kern w:val="22"/>
                <w:lang w:val="fr-FR" w:eastAsia="en-CA"/>
              </w:rPr>
              <w:t>Situation géographique :</w:t>
            </w:r>
            <w:r w:rsidRPr="009F0333">
              <w:rPr>
                <w:rFonts w:eastAsia="Malgun Gothic"/>
                <w:snapToGrid w:val="0"/>
                <w:kern w:val="22"/>
                <w:sz w:val="24"/>
                <w:lang w:val="fr-FR" w:eastAsia="en-CA"/>
              </w:rPr>
              <w:t xml:space="preserve"> </w:t>
            </w:r>
            <w:r w:rsidRPr="009F0333">
              <w:rPr>
                <w:rFonts w:eastAsia="Malgun Gothic"/>
                <w:snapToGrid w:val="0"/>
                <w:kern w:val="22"/>
                <w:lang w:val="fr-FR" w:eastAsia="ar-SA"/>
              </w:rPr>
              <w:t>L’aire se trouve dans l’océan Atlantique – au sud des Açores. Cette aire contient des structures situées à des profondeurs allant de 3460 mètres pour les plus profondes (profondeur déduite – Océanographe sud), à 2320  mètres pour les profondeurs moyennes (profondeur mesurée – Rainbow), et la dorsale Albert Monaco pour les plus faibles profondeurs.</w:t>
            </w:r>
          </w:p>
          <w:p w14:paraId="16FAE4AE" w14:textId="77777777" w:rsidR="00196846" w:rsidRPr="009F0333" w:rsidRDefault="00196846" w:rsidP="00196846">
            <w:pPr>
              <w:numPr>
                <w:ilvl w:val="0"/>
                <w:numId w:val="26"/>
              </w:numPr>
              <w:suppressLineNumbers/>
              <w:suppressAutoHyphens/>
              <w:kinsoku w:val="0"/>
              <w:overflowPunct w:val="0"/>
              <w:autoSpaceDE w:val="0"/>
              <w:autoSpaceDN w:val="0"/>
              <w:contextualSpacing/>
              <w:rPr>
                <w:rFonts w:eastAsia="Malgun Gothic"/>
                <w:snapToGrid w:val="0"/>
                <w:kern w:val="22"/>
                <w:lang w:val="fr-FR" w:eastAsia="ar-SA"/>
              </w:rPr>
            </w:pPr>
            <w:r w:rsidRPr="009F0333">
              <w:rPr>
                <w:rFonts w:eastAsia="MS Mincho"/>
                <w:snapToGrid w:val="0"/>
                <w:kern w:val="22"/>
                <w:szCs w:val="22"/>
                <w:lang w:val="fr-FR"/>
              </w:rPr>
              <w:t xml:space="preserve">Cette aire englobe la vallée axiale et les crêtes de la dorsale médio-atlantique, allant du champ de sources hydrothermales Menez Gwen à la zone de fracture de Haynes. Sur la crête est de la dorsale, l’aire inclut une partie de la dorsale Albert Monaco, ainsi que des structures ressemblant à des monts sous-marins, associées aux parties occidentales de la dorsale. L’aire comprend trois aires marines protégées (une </w:t>
            </w:r>
            <w:r w:rsidRPr="009F0333">
              <w:rPr>
                <w:rFonts w:eastAsia="MS Mincho"/>
                <w:szCs w:val="22"/>
                <w:lang w:val="fr-FR"/>
              </w:rPr>
              <w:t>partie du réseau d’aires marines protégées au titre de la Convention OSPAR)</w:t>
            </w:r>
            <w:r w:rsidRPr="009F0333">
              <w:rPr>
                <w:rFonts w:eastAsia="MS Mincho"/>
                <w:snapToGrid w:val="0"/>
                <w:kern w:val="22"/>
                <w:szCs w:val="22"/>
                <w:lang w:val="fr-FR"/>
              </w:rPr>
              <w:t xml:space="preserve">  – Lucky Strike, Menez Gwen et le champ de sources hydrothermales Rainbow. Les éléments caractéristiques de cette aire sont à la fois des points chauds de la vie marine et des zones de productivité renforcée, comparé aux zones bathyales et abyssales adjacentes. Les températures des sources hydrothermales oscillent entre 10</w:t>
            </w:r>
            <w:r w:rsidRPr="009F0333">
              <w:rPr>
                <w:rFonts w:eastAsia="MS Mincho"/>
                <w:snapToGrid w:val="0"/>
                <w:kern w:val="22"/>
                <w:szCs w:val="22"/>
              </w:rPr>
              <w:t>ᵒ</w:t>
            </w:r>
            <w:r w:rsidRPr="009F0333">
              <w:rPr>
                <w:rFonts w:eastAsia="MS Mincho"/>
                <w:snapToGrid w:val="0"/>
                <w:kern w:val="22"/>
                <w:szCs w:val="22"/>
                <w:lang w:val="fr-FR"/>
              </w:rPr>
              <w:t xml:space="preserve"> C (Menez Hom et Saldanha) et 362</w:t>
            </w:r>
            <w:r w:rsidRPr="009F0333">
              <w:rPr>
                <w:rFonts w:eastAsia="MS Mincho"/>
                <w:snapToGrid w:val="0"/>
                <w:kern w:val="22"/>
                <w:szCs w:val="22"/>
              </w:rPr>
              <w:t>ᵒ</w:t>
            </w:r>
            <w:r w:rsidRPr="009F0333">
              <w:rPr>
                <w:rFonts w:eastAsia="MS Mincho"/>
                <w:snapToGrid w:val="0"/>
                <w:kern w:val="22"/>
                <w:szCs w:val="22"/>
                <w:lang w:val="fr-FR"/>
              </w:rPr>
              <w:t xml:space="preserve"> C (Rainbow). L’aire contient également d’autres éléments de fonds marins sur la crête de la dorsale, qui abritent des agrégations d’éponges, des coraux d’eau froide et d’autres faunes charismatiques.</w:t>
            </w:r>
          </w:p>
        </w:tc>
        <w:tc>
          <w:tcPr>
            <w:tcW w:w="506" w:type="dxa"/>
            <w:vAlign w:val="center"/>
          </w:tcPr>
          <w:p w14:paraId="3223AF38"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1E05C02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DAA471A"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68769898"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8C8EB7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3EFF064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58A1CDC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r>
      <w:tr w:rsidR="00196846" w:rsidRPr="009F0333" w14:paraId="063A3419" w14:textId="77777777" w:rsidTr="00E55451">
        <w:tc>
          <w:tcPr>
            <w:tcW w:w="9687" w:type="dxa"/>
            <w:shd w:val="clear" w:color="auto" w:fill="auto"/>
          </w:tcPr>
          <w:p w14:paraId="2B9181B8" w14:textId="23A4D5D5" w:rsidR="00196846" w:rsidRPr="009F0333" w:rsidRDefault="00196846" w:rsidP="00706C3C">
            <w:pPr>
              <w:suppressLineNumbers/>
              <w:suppressAutoHyphens/>
              <w:kinsoku w:val="0"/>
              <w:overflowPunct w:val="0"/>
              <w:autoSpaceDE w:val="0"/>
              <w:autoSpaceDN w:val="0"/>
              <w:snapToGrid w:val="0"/>
              <w:rPr>
                <w:b/>
                <w:snapToGrid w:val="0"/>
                <w:kern w:val="22"/>
                <w:szCs w:val="22"/>
              </w:rPr>
            </w:pPr>
            <w:r w:rsidRPr="009F0333">
              <w:rPr>
                <w:b/>
                <w:snapToGrid w:val="0"/>
                <w:kern w:val="22"/>
                <w:szCs w:val="22"/>
              </w:rPr>
              <w:t>12. Graciosa</w:t>
            </w:r>
          </w:p>
          <w:p w14:paraId="082A36E1" w14:textId="77777777" w:rsidR="00196846" w:rsidRPr="009F0333" w:rsidRDefault="00196846" w:rsidP="00196846">
            <w:pPr>
              <w:numPr>
                <w:ilvl w:val="0"/>
                <w:numId w:val="31"/>
              </w:numPr>
              <w:suppressLineNumbers/>
              <w:suppressAutoHyphens/>
              <w:kinsoku w:val="0"/>
              <w:overflowPunct w:val="0"/>
              <w:autoSpaceDE w:val="0"/>
              <w:autoSpaceDN w:val="0"/>
              <w:ind w:left="395"/>
              <w:contextualSpacing/>
              <w:rPr>
                <w:snapToGrid w:val="0"/>
                <w:color w:val="000000"/>
                <w:kern w:val="22"/>
                <w:szCs w:val="22"/>
                <w:lang w:val="fr-FR"/>
              </w:rPr>
            </w:pPr>
            <w:r w:rsidRPr="009F0333">
              <w:rPr>
                <w:rFonts w:eastAsia="Malgun Gothic"/>
                <w:snapToGrid w:val="0"/>
                <w:color w:val="000000"/>
                <w:kern w:val="22"/>
                <w:szCs w:val="22"/>
                <w:lang w:val="fr-FR" w:eastAsia="en-CA"/>
              </w:rPr>
              <w:lastRenderedPageBreak/>
              <w:t xml:space="preserve">Situation géographique: </w:t>
            </w:r>
            <w:r w:rsidRPr="009F0333">
              <w:rPr>
                <w:snapToGrid w:val="0"/>
                <w:color w:val="000000"/>
                <w:kern w:val="22"/>
                <w:szCs w:val="22"/>
                <w:lang w:val="fr-FR"/>
              </w:rPr>
              <w:t xml:space="preserve">Cette aire englobe les eaux qui entourent les îles </w:t>
            </w:r>
            <w:proofErr w:type="spellStart"/>
            <w:r w:rsidRPr="009F0333">
              <w:rPr>
                <w:snapToGrid w:val="0"/>
                <w:color w:val="000000"/>
                <w:kern w:val="22"/>
                <w:szCs w:val="22"/>
                <w:lang w:val="fr-FR"/>
              </w:rPr>
              <w:t>Graciosa</w:t>
            </w:r>
            <w:proofErr w:type="spellEnd"/>
            <w:r w:rsidRPr="009F0333">
              <w:rPr>
                <w:snapToGrid w:val="0"/>
                <w:color w:val="000000"/>
                <w:kern w:val="22"/>
                <w:szCs w:val="22"/>
                <w:lang w:val="fr-FR"/>
              </w:rPr>
              <w:t xml:space="preserve"> et deux îles plus petites : les îlots </w:t>
            </w:r>
            <w:proofErr w:type="spellStart"/>
            <w:r w:rsidRPr="009F0333">
              <w:rPr>
                <w:snapToGrid w:val="0"/>
                <w:color w:val="000000"/>
                <w:kern w:val="22"/>
                <w:szCs w:val="22"/>
                <w:lang w:val="fr-FR"/>
              </w:rPr>
              <w:t>Baixo</w:t>
            </w:r>
            <w:proofErr w:type="spellEnd"/>
            <w:r w:rsidRPr="009F0333">
              <w:rPr>
                <w:snapToGrid w:val="0"/>
                <w:color w:val="000000"/>
                <w:kern w:val="22"/>
                <w:szCs w:val="22"/>
                <w:lang w:val="fr-FR"/>
              </w:rPr>
              <w:t xml:space="preserve"> et Praia. Elle couvre une superficie de 277 km</w:t>
            </w:r>
            <w:r w:rsidRPr="009F0333">
              <w:rPr>
                <w:snapToGrid w:val="0"/>
                <w:color w:val="000000"/>
                <w:kern w:val="22"/>
                <w:szCs w:val="22"/>
                <w:vertAlign w:val="superscript"/>
                <w:lang w:val="fr-FR"/>
              </w:rPr>
              <w:t>2</w:t>
            </w:r>
            <w:r w:rsidRPr="009F0333">
              <w:rPr>
                <w:snapToGrid w:val="0"/>
                <w:color w:val="000000"/>
                <w:kern w:val="22"/>
                <w:szCs w:val="22"/>
                <w:lang w:val="fr-FR"/>
              </w:rPr>
              <w:t>, et ces îles se situent à l’extrême nord des Açores, Portugal (39.05N/-27.99W).</w:t>
            </w:r>
          </w:p>
          <w:p w14:paraId="568810B5" w14:textId="77777777" w:rsidR="00196846" w:rsidRPr="009F0333" w:rsidRDefault="00196846" w:rsidP="00196846">
            <w:pPr>
              <w:numPr>
                <w:ilvl w:val="0"/>
                <w:numId w:val="31"/>
              </w:numPr>
              <w:suppressLineNumbers/>
              <w:suppressAutoHyphens/>
              <w:kinsoku w:val="0"/>
              <w:overflowPunct w:val="0"/>
              <w:autoSpaceDE w:val="0"/>
              <w:autoSpaceDN w:val="0"/>
              <w:ind w:left="395"/>
              <w:rPr>
                <w:snapToGrid w:val="0"/>
                <w:kern w:val="22"/>
                <w:szCs w:val="22"/>
                <w:lang w:val="fr-FR"/>
              </w:rPr>
            </w:pPr>
            <w:r w:rsidRPr="009F0333">
              <w:rPr>
                <w:snapToGrid w:val="0"/>
                <w:kern w:val="22"/>
                <w:szCs w:val="22"/>
                <w:lang w:val="fr-FR"/>
              </w:rPr>
              <w:t>Cette aire est essentielle pour l’unique population reproductrice d’Océanite de Monteiro (</w:t>
            </w:r>
            <w:proofErr w:type="spellStart"/>
            <w:r w:rsidRPr="009F0333">
              <w:rPr>
                <w:i/>
                <w:iCs/>
                <w:snapToGrid w:val="0"/>
                <w:kern w:val="22"/>
                <w:szCs w:val="22"/>
                <w:lang w:val="fr-FR"/>
              </w:rPr>
              <w:t>Hydrobates</w:t>
            </w:r>
            <w:proofErr w:type="spellEnd"/>
            <w:r w:rsidRPr="009F0333">
              <w:rPr>
                <w:i/>
                <w:iCs/>
                <w:snapToGrid w:val="0"/>
                <w:kern w:val="22"/>
                <w:szCs w:val="22"/>
                <w:lang w:val="fr-FR"/>
              </w:rPr>
              <w:t xml:space="preserve"> </w:t>
            </w:r>
            <w:proofErr w:type="spellStart"/>
            <w:r w:rsidRPr="009F0333">
              <w:rPr>
                <w:i/>
                <w:iCs/>
                <w:snapToGrid w:val="0"/>
                <w:kern w:val="22"/>
                <w:szCs w:val="22"/>
                <w:lang w:val="fr-FR"/>
              </w:rPr>
              <w:t>monteiroi</w:t>
            </w:r>
            <w:proofErr w:type="spellEnd"/>
            <w:r w:rsidRPr="009F0333">
              <w:rPr>
                <w:snapToGrid w:val="0"/>
                <w:kern w:val="22"/>
                <w:szCs w:val="22"/>
                <w:lang w:val="fr-FR"/>
              </w:rPr>
              <w:t>), une espèce vulnérable et endémique ; l’aire est importante également pour la  population reproductrice de Puffin d’Audubon (</w:t>
            </w:r>
            <w:proofErr w:type="spellStart"/>
            <w:r w:rsidRPr="009F0333">
              <w:rPr>
                <w:i/>
                <w:iCs/>
                <w:snapToGrid w:val="0"/>
                <w:kern w:val="22"/>
                <w:szCs w:val="22"/>
                <w:lang w:val="fr-FR"/>
              </w:rPr>
              <w:t>Puffinus</w:t>
            </w:r>
            <w:proofErr w:type="spellEnd"/>
            <w:r w:rsidRPr="009F0333">
              <w:rPr>
                <w:i/>
                <w:iCs/>
                <w:snapToGrid w:val="0"/>
                <w:kern w:val="22"/>
                <w:szCs w:val="22"/>
                <w:lang w:val="fr-FR"/>
              </w:rPr>
              <w:t xml:space="preserve"> </w:t>
            </w:r>
            <w:proofErr w:type="spellStart"/>
            <w:r w:rsidRPr="009F0333">
              <w:rPr>
                <w:i/>
                <w:iCs/>
                <w:snapToGrid w:val="0"/>
                <w:kern w:val="22"/>
                <w:szCs w:val="22"/>
                <w:lang w:val="fr-FR"/>
              </w:rPr>
              <w:t>lherminieri</w:t>
            </w:r>
            <w:proofErr w:type="spellEnd"/>
            <w:r w:rsidRPr="009F0333">
              <w:rPr>
                <w:i/>
                <w:iCs/>
                <w:snapToGrid w:val="0"/>
                <w:kern w:val="22"/>
                <w:szCs w:val="22"/>
                <w:lang w:val="fr-FR"/>
              </w:rPr>
              <w:t xml:space="preserve"> </w:t>
            </w:r>
            <w:proofErr w:type="spellStart"/>
            <w:r w:rsidRPr="009F0333">
              <w:rPr>
                <w:i/>
                <w:iCs/>
                <w:snapToGrid w:val="0"/>
                <w:kern w:val="22"/>
                <w:szCs w:val="22"/>
                <w:lang w:val="fr-FR"/>
              </w:rPr>
              <w:t>baroli</w:t>
            </w:r>
            <w:proofErr w:type="spellEnd"/>
            <w:r w:rsidRPr="009F0333">
              <w:rPr>
                <w:snapToGrid w:val="0"/>
                <w:kern w:val="22"/>
                <w:szCs w:val="22"/>
                <w:lang w:val="fr-FR"/>
              </w:rPr>
              <w:t>), inscrite comme espèce menacée et/ou en déclin dans la Convention d’OSPAR. De nombreux autres oiseaux de mer sont présents dans ces eaux, tels que l’Océanite de Castro (</w:t>
            </w:r>
            <w:proofErr w:type="spellStart"/>
            <w:r w:rsidRPr="009F0333">
              <w:rPr>
                <w:i/>
                <w:iCs/>
                <w:snapToGrid w:val="0"/>
                <w:kern w:val="22"/>
                <w:szCs w:val="22"/>
                <w:lang w:val="fr-FR"/>
              </w:rPr>
              <w:t>Hydrobates</w:t>
            </w:r>
            <w:proofErr w:type="spellEnd"/>
            <w:r w:rsidRPr="009F0333">
              <w:rPr>
                <w:i/>
                <w:iCs/>
                <w:snapToGrid w:val="0"/>
                <w:kern w:val="22"/>
                <w:szCs w:val="22"/>
                <w:lang w:val="fr-FR"/>
              </w:rPr>
              <w:t xml:space="preserve"> </w:t>
            </w:r>
            <w:proofErr w:type="spellStart"/>
            <w:r w:rsidRPr="009F0333">
              <w:rPr>
                <w:i/>
                <w:iCs/>
                <w:snapToGrid w:val="0"/>
                <w:kern w:val="22"/>
                <w:szCs w:val="22"/>
                <w:lang w:val="fr-FR"/>
              </w:rPr>
              <w:t>castro</w:t>
            </w:r>
            <w:proofErr w:type="spellEnd"/>
            <w:r w:rsidRPr="009F0333">
              <w:rPr>
                <w:snapToGrid w:val="0"/>
                <w:kern w:val="22"/>
                <w:szCs w:val="22"/>
                <w:lang w:val="fr-FR"/>
              </w:rPr>
              <w:t>), le Puffin boréal (</w:t>
            </w:r>
            <w:proofErr w:type="spellStart"/>
            <w:r w:rsidRPr="009F0333">
              <w:rPr>
                <w:i/>
                <w:iCs/>
                <w:snapToGrid w:val="0"/>
                <w:kern w:val="22"/>
                <w:szCs w:val="22"/>
                <w:lang w:val="fr-FR"/>
              </w:rPr>
              <w:t>Calonectris</w:t>
            </w:r>
            <w:proofErr w:type="spellEnd"/>
            <w:r w:rsidRPr="009F0333">
              <w:rPr>
                <w:i/>
                <w:iCs/>
                <w:snapToGrid w:val="0"/>
                <w:kern w:val="22"/>
                <w:szCs w:val="22"/>
                <w:lang w:val="fr-FR"/>
              </w:rPr>
              <w:t xml:space="preserve"> </w:t>
            </w:r>
            <w:proofErr w:type="spellStart"/>
            <w:r w:rsidRPr="009F0333">
              <w:rPr>
                <w:i/>
                <w:iCs/>
                <w:snapToGrid w:val="0"/>
                <w:kern w:val="22"/>
                <w:szCs w:val="22"/>
                <w:lang w:val="fr-FR"/>
              </w:rPr>
              <w:t>borealis</w:t>
            </w:r>
            <w:proofErr w:type="spellEnd"/>
            <w:r w:rsidRPr="009F0333">
              <w:rPr>
                <w:snapToGrid w:val="0"/>
                <w:kern w:val="22"/>
                <w:szCs w:val="22"/>
                <w:lang w:val="fr-FR"/>
              </w:rPr>
              <w:t>), le Sterne pierregarin (</w:t>
            </w:r>
            <w:proofErr w:type="spellStart"/>
            <w:r w:rsidRPr="009F0333">
              <w:rPr>
                <w:i/>
                <w:iCs/>
                <w:snapToGrid w:val="0"/>
                <w:kern w:val="22"/>
                <w:szCs w:val="22"/>
                <w:lang w:val="fr-FR"/>
              </w:rPr>
              <w:t>Sterna</w:t>
            </w:r>
            <w:proofErr w:type="spellEnd"/>
            <w:r w:rsidRPr="009F0333">
              <w:rPr>
                <w:i/>
                <w:iCs/>
                <w:snapToGrid w:val="0"/>
                <w:kern w:val="22"/>
                <w:szCs w:val="22"/>
                <w:lang w:val="fr-FR"/>
              </w:rPr>
              <w:t xml:space="preserve"> </w:t>
            </w:r>
            <w:proofErr w:type="spellStart"/>
            <w:r w:rsidRPr="009F0333">
              <w:rPr>
                <w:i/>
                <w:iCs/>
                <w:snapToGrid w:val="0"/>
                <w:kern w:val="22"/>
                <w:szCs w:val="22"/>
                <w:lang w:val="fr-FR"/>
              </w:rPr>
              <w:t>hirundo</w:t>
            </w:r>
            <w:proofErr w:type="spellEnd"/>
            <w:r w:rsidRPr="009F0333">
              <w:rPr>
                <w:snapToGrid w:val="0"/>
                <w:kern w:val="22"/>
                <w:szCs w:val="22"/>
                <w:lang w:val="fr-FR"/>
              </w:rPr>
              <w:t xml:space="preserve">) et le Sterne de </w:t>
            </w:r>
            <w:proofErr w:type="spellStart"/>
            <w:r w:rsidRPr="009F0333">
              <w:rPr>
                <w:snapToGrid w:val="0"/>
                <w:kern w:val="22"/>
                <w:szCs w:val="22"/>
                <w:lang w:val="fr-FR"/>
              </w:rPr>
              <w:t>Dougall</w:t>
            </w:r>
            <w:proofErr w:type="spellEnd"/>
            <w:r w:rsidRPr="009F0333">
              <w:rPr>
                <w:snapToGrid w:val="0"/>
                <w:kern w:val="22"/>
                <w:szCs w:val="22"/>
                <w:lang w:val="fr-FR"/>
              </w:rPr>
              <w:t xml:space="preserve"> (</w:t>
            </w:r>
            <w:proofErr w:type="spellStart"/>
            <w:r w:rsidRPr="009F0333">
              <w:rPr>
                <w:i/>
                <w:iCs/>
                <w:snapToGrid w:val="0"/>
                <w:kern w:val="22"/>
                <w:szCs w:val="22"/>
                <w:lang w:val="fr-FR"/>
              </w:rPr>
              <w:t>Sterna</w:t>
            </w:r>
            <w:proofErr w:type="spellEnd"/>
            <w:r w:rsidRPr="009F0333">
              <w:rPr>
                <w:i/>
                <w:iCs/>
                <w:snapToGrid w:val="0"/>
                <w:kern w:val="22"/>
                <w:szCs w:val="22"/>
                <w:lang w:val="fr-FR"/>
              </w:rPr>
              <w:t xml:space="preserve"> </w:t>
            </w:r>
            <w:proofErr w:type="spellStart"/>
            <w:r w:rsidRPr="009F0333">
              <w:rPr>
                <w:i/>
                <w:iCs/>
                <w:snapToGrid w:val="0"/>
                <w:kern w:val="22"/>
                <w:szCs w:val="22"/>
                <w:lang w:val="fr-FR"/>
              </w:rPr>
              <w:t>dougallii</w:t>
            </w:r>
            <w:proofErr w:type="spellEnd"/>
            <w:r w:rsidRPr="009F0333">
              <w:rPr>
                <w:snapToGrid w:val="0"/>
                <w:kern w:val="22"/>
                <w:szCs w:val="22"/>
                <w:lang w:val="fr-FR"/>
              </w:rPr>
              <w:t>). Toutes ces espèces sont caractérisées par un taux de récupération lent et sont extrêmement vulnérables face à une dégradation de l’environnement ou au déclin de leurs populations lié à des activités humaines.</w:t>
            </w:r>
          </w:p>
        </w:tc>
        <w:tc>
          <w:tcPr>
            <w:tcW w:w="506" w:type="dxa"/>
            <w:vAlign w:val="center"/>
          </w:tcPr>
          <w:p w14:paraId="3CF5C7B8"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lastRenderedPageBreak/>
              <w:t>H</w:t>
            </w:r>
          </w:p>
        </w:tc>
        <w:tc>
          <w:tcPr>
            <w:tcW w:w="506" w:type="dxa"/>
            <w:vAlign w:val="center"/>
          </w:tcPr>
          <w:p w14:paraId="3BFBC120"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H</w:t>
            </w:r>
          </w:p>
        </w:tc>
        <w:tc>
          <w:tcPr>
            <w:tcW w:w="506" w:type="dxa"/>
            <w:vAlign w:val="center"/>
          </w:tcPr>
          <w:p w14:paraId="442CB5F3"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H</w:t>
            </w:r>
          </w:p>
        </w:tc>
        <w:tc>
          <w:tcPr>
            <w:tcW w:w="506" w:type="dxa"/>
            <w:vAlign w:val="center"/>
          </w:tcPr>
          <w:p w14:paraId="024D1681"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H</w:t>
            </w:r>
          </w:p>
        </w:tc>
        <w:tc>
          <w:tcPr>
            <w:tcW w:w="506" w:type="dxa"/>
            <w:vAlign w:val="center"/>
          </w:tcPr>
          <w:p w14:paraId="62650391"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w:t>
            </w:r>
          </w:p>
        </w:tc>
        <w:tc>
          <w:tcPr>
            <w:tcW w:w="506" w:type="dxa"/>
            <w:vAlign w:val="center"/>
          </w:tcPr>
          <w:p w14:paraId="5846AE10"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w:t>
            </w:r>
          </w:p>
        </w:tc>
        <w:tc>
          <w:tcPr>
            <w:tcW w:w="489" w:type="dxa"/>
            <w:vAlign w:val="center"/>
          </w:tcPr>
          <w:p w14:paraId="2A908B3C" w14:textId="77777777" w:rsidR="00196846" w:rsidRPr="009F0333" w:rsidRDefault="00196846" w:rsidP="00E55451">
            <w:pPr>
              <w:suppressLineNumbers/>
              <w:suppressAutoHyphens/>
              <w:kinsoku w:val="0"/>
              <w:overflowPunct w:val="0"/>
              <w:autoSpaceDE w:val="0"/>
              <w:autoSpaceDN w:val="0"/>
              <w:snapToGrid w:val="0"/>
              <w:jc w:val="center"/>
              <w:rPr>
                <w:snapToGrid w:val="0"/>
                <w:color w:val="000000"/>
                <w:kern w:val="22"/>
                <w:szCs w:val="22"/>
              </w:rPr>
            </w:pPr>
            <w:r w:rsidRPr="009F0333">
              <w:rPr>
                <w:snapToGrid w:val="0"/>
                <w:color w:val="000000"/>
                <w:kern w:val="22"/>
                <w:szCs w:val="22"/>
              </w:rPr>
              <w:t>-</w:t>
            </w:r>
          </w:p>
        </w:tc>
      </w:tr>
      <w:tr w:rsidR="00196846" w:rsidRPr="009F0333" w14:paraId="5FC128C2" w14:textId="77777777" w:rsidTr="00E55451">
        <w:tc>
          <w:tcPr>
            <w:tcW w:w="9687" w:type="dxa"/>
            <w:shd w:val="clear" w:color="auto" w:fill="auto"/>
          </w:tcPr>
          <w:p w14:paraId="01ED5883" w14:textId="77777777" w:rsidR="00196846" w:rsidRPr="009F0333" w:rsidRDefault="00196846" w:rsidP="00706C3C">
            <w:pPr>
              <w:keepNext/>
              <w:suppressLineNumbers/>
              <w:suppressAutoHyphens/>
              <w:kinsoku w:val="0"/>
              <w:overflowPunct w:val="0"/>
              <w:autoSpaceDE w:val="0"/>
              <w:autoSpaceDN w:val="0"/>
              <w:jc w:val="left"/>
              <w:outlineLvl w:val="1"/>
              <w:rPr>
                <w:b/>
                <w:snapToGrid w:val="0"/>
                <w:kern w:val="22"/>
                <w:lang w:val="fr-FR"/>
              </w:rPr>
            </w:pPr>
            <w:r w:rsidRPr="009F0333">
              <w:rPr>
                <w:b/>
                <w:snapToGrid w:val="0"/>
                <w:kern w:val="22"/>
                <w:lang w:val="fr-FR"/>
              </w:rPr>
              <w:lastRenderedPageBreak/>
              <w:t>13. Plateau du nord des Açores</w:t>
            </w:r>
          </w:p>
          <w:p w14:paraId="09693A43" w14:textId="77777777" w:rsidR="00196846" w:rsidRPr="009F0333" w:rsidRDefault="00196846" w:rsidP="00196846">
            <w:pPr>
              <w:numPr>
                <w:ilvl w:val="0"/>
                <w:numId w:val="32"/>
              </w:numPr>
              <w:suppressLineNumbers/>
              <w:suppressAutoHyphens/>
              <w:kinsoku w:val="0"/>
              <w:overflowPunct w:val="0"/>
              <w:autoSpaceDE w:val="0"/>
              <w:autoSpaceDN w:val="0"/>
              <w:ind w:left="395"/>
              <w:rPr>
                <w:snapToGrid w:val="0"/>
                <w:kern w:val="22"/>
                <w:lang w:val="fr-FR"/>
              </w:rPr>
            </w:pPr>
            <w:r w:rsidRPr="009F0333">
              <w:rPr>
                <w:snapToGrid w:val="0"/>
                <w:kern w:val="22"/>
                <w:lang w:val="fr-FR"/>
              </w:rPr>
              <w:t>Situation géographique : L’aire couvre une grande partie de l’océan Atlantique au nord des Açores. Cette aire contient de nombreux types de structures (tels qu’un champ de sources hydrothermales, l’Aire marine protégée en haute mer de la dorsale médio-atlantique au nord des Açores, et des monts sous-marins) qui sont très distincts, en termes de biologie et de géologie, et qui ont différentes compositions, situations géographiques et âges.</w:t>
            </w:r>
          </w:p>
          <w:p w14:paraId="24ECD750" w14:textId="77777777" w:rsidR="00196846" w:rsidRPr="009F0333" w:rsidRDefault="00196846" w:rsidP="00196846">
            <w:pPr>
              <w:numPr>
                <w:ilvl w:val="0"/>
                <w:numId w:val="32"/>
              </w:numPr>
              <w:suppressLineNumbers/>
              <w:suppressAutoHyphens/>
              <w:kinsoku w:val="0"/>
              <w:overflowPunct w:val="0"/>
              <w:autoSpaceDE w:val="0"/>
              <w:autoSpaceDN w:val="0"/>
              <w:ind w:left="395"/>
              <w:rPr>
                <w:snapToGrid w:val="0"/>
                <w:kern w:val="22"/>
                <w:lang w:val="fr-FR"/>
              </w:rPr>
            </w:pPr>
            <w:r w:rsidRPr="009F0333">
              <w:rPr>
                <w:snapToGrid w:val="0"/>
                <w:kern w:val="22"/>
                <w:lang w:val="fr-FR"/>
              </w:rPr>
              <w:t xml:space="preserve">Cette aire contient plusieurs monts sous-marins, un champ de sources hydrothermales, une dépression sous-marine et une grande partie de la dorsale médio-atlantique au nord du plateau des Açores. Les structures de cette aire constituent des points chauds de la vie marine et, en général, ce sont des zones de productivité renforcée, comparé notamment aux zones abyssales adjacentes. Le </w:t>
            </w:r>
            <w:proofErr w:type="spellStart"/>
            <w:r w:rsidRPr="009F0333">
              <w:rPr>
                <w:snapToGrid w:val="0"/>
                <w:kern w:val="22"/>
                <w:lang w:val="fr-FR"/>
              </w:rPr>
              <w:t>Moytirra</w:t>
            </w:r>
            <w:proofErr w:type="spellEnd"/>
            <w:r w:rsidRPr="009F0333">
              <w:rPr>
                <w:snapToGrid w:val="0"/>
                <w:kern w:val="22"/>
                <w:lang w:val="fr-FR"/>
              </w:rPr>
              <w:t xml:space="preserve"> est le premier champ de sources hydrothermales d’eau profonde connu dans la dorsale médio-atlantique au nord des Açores, à la croissance lente, ce qui rend cette zone tout à fait unique. Au total, 536 espèces ont été observées dans cette aire, dont 6% d’entre elles sont protégées au titre du droit international ou régional en vigueur.</w:t>
            </w:r>
          </w:p>
        </w:tc>
        <w:tc>
          <w:tcPr>
            <w:tcW w:w="506" w:type="dxa"/>
            <w:vAlign w:val="center"/>
          </w:tcPr>
          <w:p w14:paraId="2D0CE0A9"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H</w:t>
            </w:r>
          </w:p>
        </w:tc>
        <w:tc>
          <w:tcPr>
            <w:tcW w:w="506" w:type="dxa"/>
            <w:vAlign w:val="center"/>
          </w:tcPr>
          <w:p w14:paraId="62137E5C"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H</w:t>
            </w:r>
          </w:p>
        </w:tc>
        <w:tc>
          <w:tcPr>
            <w:tcW w:w="506" w:type="dxa"/>
            <w:vAlign w:val="center"/>
          </w:tcPr>
          <w:p w14:paraId="20E37224"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H</w:t>
            </w:r>
          </w:p>
        </w:tc>
        <w:tc>
          <w:tcPr>
            <w:tcW w:w="506" w:type="dxa"/>
            <w:vAlign w:val="center"/>
          </w:tcPr>
          <w:p w14:paraId="509EA1A6"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H</w:t>
            </w:r>
          </w:p>
        </w:tc>
        <w:tc>
          <w:tcPr>
            <w:tcW w:w="506" w:type="dxa"/>
            <w:vAlign w:val="center"/>
          </w:tcPr>
          <w:p w14:paraId="70AC3D96"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M</w:t>
            </w:r>
          </w:p>
        </w:tc>
        <w:tc>
          <w:tcPr>
            <w:tcW w:w="506" w:type="dxa"/>
            <w:vAlign w:val="center"/>
          </w:tcPr>
          <w:p w14:paraId="1AC38CFE"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H</w:t>
            </w:r>
          </w:p>
        </w:tc>
        <w:tc>
          <w:tcPr>
            <w:tcW w:w="489" w:type="dxa"/>
            <w:vAlign w:val="center"/>
          </w:tcPr>
          <w:p w14:paraId="5B04BC85" w14:textId="77777777" w:rsidR="00196846" w:rsidRPr="009F0333" w:rsidRDefault="00196846" w:rsidP="00706C3C">
            <w:pPr>
              <w:suppressLineNumbers/>
              <w:suppressAutoHyphens/>
              <w:kinsoku w:val="0"/>
              <w:overflowPunct w:val="0"/>
              <w:autoSpaceDE w:val="0"/>
              <w:autoSpaceDN w:val="0"/>
              <w:snapToGrid w:val="0"/>
              <w:jc w:val="center"/>
              <w:rPr>
                <w:snapToGrid w:val="0"/>
                <w:color w:val="000000"/>
                <w:kern w:val="22"/>
              </w:rPr>
            </w:pPr>
            <w:r w:rsidRPr="009F0333">
              <w:rPr>
                <w:snapToGrid w:val="0"/>
                <w:color w:val="000000"/>
                <w:kern w:val="22"/>
              </w:rPr>
              <w:t>M</w:t>
            </w:r>
          </w:p>
        </w:tc>
      </w:tr>
      <w:tr w:rsidR="00196846" w:rsidRPr="009F0333" w14:paraId="21C5B9F0" w14:textId="77777777" w:rsidTr="00E55451">
        <w:tc>
          <w:tcPr>
            <w:tcW w:w="9687" w:type="dxa"/>
            <w:shd w:val="clear" w:color="auto" w:fill="auto"/>
          </w:tcPr>
          <w:p w14:paraId="104590A4" w14:textId="77777777" w:rsidR="00196846" w:rsidRPr="009F0333" w:rsidRDefault="00196846" w:rsidP="00706C3C">
            <w:pPr>
              <w:keepNext/>
              <w:suppressLineNumbers/>
              <w:suppressAutoHyphens/>
              <w:kinsoku w:val="0"/>
              <w:overflowPunct w:val="0"/>
              <w:autoSpaceDE w:val="0"/>
              <w:autoSpaceDN w:val="0"/>
              <w:jc w:val="left"/>
              <w:outlineLvl w:val="1"/>
              <w:rPr>
                <w:b/>
                <w:caps/>
                <w:snapToGrid w:val="0"/>
                <w:kern w:val="22"/>
                <w:lang w:val="fr-FR"/>
              </w:rPr>
            </w:pPr>
            <w:r w:rsidRPr="009F0333">
              <w:rPr>
                <w:b/>
                <w:snapToGrid w:val="0"/>
                <w:kern w:val="22"/>
                <w:lang w:val="fr-FR"/>
              </w:rPr>
              <w:t>14. Système frontal médio-Atlantique Nord</w:t>
            </w:r>
          </w:p>
          <w:p w14:paraId="57CAA836" w14:textId="77777777" w:rsidR="00196846" w:rsidRPr="009F0333" w:rsidRDefault="00196846" w:rsidP="00196846">
            <w:pPr>
              <w:numPr>
                <w:ilvl w:val="0"/>
                <w:numId w:val="37"/>
              </w:numPr>
              <w:suppressLineNumbers/>
              <w:suppressAutoHyphens/>
              <w:kinsoku w:val="0"/>
              <w:overflowPunct w:val="0"/>
              <w:autoSpaceDE w:val="0"/>
              <w:autoSpaceDN w:val="0"/>
              <w:rPr>
                <w:snapToGrid w:val="0"/>
                <w:kern w:val="22"/>
                <w:lang w:val="fr-FR"/>
              </w:rPr>
            </w:pPr>
            <w:r w:rsidRPr="009F0333">
              <w:rPr>
                <w:snapToGrid w:val="0"/>
                <w:kern w:val="22"/>
                <w:lang w:val="fr-FR"/>
              </w:rPr>
              <w:t>Situation géographique : Cette aire est bien délimitée à l’ouest (le front), car elle coïncide avec la frontière  maritime de la Commission OSPAR. L’aire s’étend au nord le long du flanc est du Grand banc, où elle forme une boucle appelée le Coin nord-ouest, puis elle continue vers l’est. Sa limite septentrionale est la limite nord du Front subpolaire, à 54°N. Le Front subarctique nord est délimité topographiquement par la Zone de fracture de Charlie-Gibbs, à 30°W. On sait que le courant de l’Atlantique Nord et ses branches frontales varient considérablement, avec des mouvements de latitude pouvant atteindre 250 à 300  km. Ainsi, des cartes de moyennes annuelles ont été utilisées pour tenir pleinement compte de cette variabilité temporelle.</w:t>
            </w:r>
          </w:p>
          <w:p w14:paraId="14A40825" w14:textId="77777777" w:rsidR="00196846" w:rsidRPr="009F0333" w:rsidRDefault="00196846" w:rsidP="00196846">
            <w:pPr>
              <w:numPr>
                <w:ilvl w:val="0"/>
                <w:numId w:val="33"/>
              </w:numPr>
              <w:suppressLineNumbers/>
              <w:suppressAutoHyphens/>
              <w:kinsoku w:val="0"/>
              <w:overflowPunct w:val="0"/>
              <w:autoSpaceDE w:val="0"/>
              <w:autoSpaceDN w:val="0"/>
              <w:rPr>
                <w:snapToGrid w:val="0"/>
                <w:kern w:val="22"/>
                <w:lang w:val="fr-FR"/>
              </w:rPr>
            </w:pPr>
            <w:r w:rsidRPr="009F0333">
              <w:rPr>
                <w:snapToGrid w:val="0"/>
                <w:kern w:val="22"/>
                <w:lang w:val="fr-FR"/>
              </w:rPr>
              <w:t>Cette aire est une zone reculée, caractérisée par une activité méso-échelle intense, comprenant des tourbillons quasi-stationnaires et de nombreux fronts thermaux alignés en bandes zonales. Ces fronts et ces tourbillons renforcent la productivité primaire, et ils retiennent et concentrent la productivité secondaire, à la fois verticalement et horizontalement. La combinaison d’un mélange localisé très intense dans les tourbillons aboutit à une productivité très localisée et très élevée en surface, à des échelles très fines. Les données de suivi des oiseaux marins, des baleines, des tortues marines, des thons et des requins (dont plusieurs sont menacés à l’échelle mondiale) confirment qu’il s’agit d’une zone de forte productivité, caractérisée par une activité alimentaire abondante, suggérant que cette productivité élevée aboutit à des plus hauts niveaux trophiques.</w:t>
            </w:r>
          </w:p>
        </w:tc>
        <w:tc>
          <w:tcPr>
            <w:tcW w:w="506" w:type="dxa"/>
            <w:vAlign w:val="center"/>
          </w:tcPr>
          <w:p w14:paraId="73D935D3"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506" w:type="dxa"/>
            <w:vAlign w:val="center"/>
          </w:tcPr>
          <w:p w14:paraId="6EF2DD4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7620EAB3"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67D8CE7C"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037655D3"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6DC72CE8"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0D12B56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r>
      <w:tr w:rsidR="00196846" w:rsidRPr="009F0333" w14:paraId="3C615115" w14:textId="77777777" w:rsidTr="00E55451">
        <w:tc>
          <w:tcPr>
            <w:tcW w:w="9687" w:type="dxa"/>
            <w:shd w:val="clear" w:color="auto" w:fill="auto"/>
          </w:tcPr>
          <w:p w14:paraId="397AE249" w14:textId="77777777" w:rsidR="00196846" w:rsidRPr="009F0333" w:rsidRDefault="00196846" w:rsidP="00706C3C">
            <w:pPr>
              <w:suppressLineNumbers/>
              <w:suppressAutoHyphens/>
              <w:kinsoku w:val="0"/>
              <w:overflowPunct w:val="0"/>
              <w:autoSpaceDE w:val="0"/>
              <w:autoSpaceDN w:val="0"/>
              <w:jc w:val="left"/>
              <w:outlineLvl w:val="1"/>
              <w:rPr>
                <w:b/>
                <w:snapToGrid w:val="0"/>
                <w:kern w:val="22"/>
                <w:lang w:val="fr-FR"/>
              </w:rPr>
            </w:pPr>
            <w:r w:rsidRPr="009F0333">
              <w:rPr>
                <w:b/>
                <w:snapToGrid w:val="0"/>
                <w:kern w:val="22"/>
                <w:lang w:val="fr-FR"/>
              </w:rPr>
              <w:lastRenderedPageBreak/>
              <w:t>15. Zone de fracture de Charlie-Gibbs</w:t>
            </w:r>
          </w:p>
          <w:p w14:paraId="3A47E9E7" w14:textId="77777777" w:rsidR="00196846" w:rsidRPr="009F0333" w:rsidRDefault="00196846" w:rsidP="00196846">
            <w:pPr>
              <w:numPr>
                <w:ilvl w:val="0"/>
                <w:numId w:val="29"/>
              </w:numPr>
              <w:suppressLineNumbers/>
              <w:suppressAutoHyphens/>
              <w:kinsoku w:val="0"/>
              <w:overflowPunct w:val="0"/>
              <w:autoSpaceDE w:val="0"/>
              <w:autoSpaceDN w:val="0"/>
              <w:rPr>
                <w:snapToGrid w:val="0"/>
                <w:kern w:val="22"/>
                <w:lang w:val="fr-FR"/>
              </w:rPr>
            </w:pPr>
            <w:r w:rsidRPr="009F0333">
              <w:rPr>
                <w:snapToGrid w:val="0"/>
                <w:kern w:val="22"/>
                <w:lang w:val="fr-FR"/>
              </w:rPr>
              <w:t>Situation géographique : Cette aire s’étend entre les parallèles 48°N et 55°188′N, le long de la dorsale médio-atlantique, et la zone de fracture de Charlie-Gibbs se trouve à 52º30′N. L’aire s’étend des méridiens 25°W à 45°W, et ses failles transformantes se trouvent entre 30°W et 35°W. La limite orientale de la zone de fracture de Charlie-Gibbs est détectable au-delà de 42°W. La dorsale méridionale continue sans interruption jusqu’à 45°W. Cette aire englobe la zone de fracture de Charlie-Gibbs, la zone frontale subpolaire mouvante, et les communautés benthiques de la dorsale médio-atlantique présentes dans cette zone, y compris des monts sous-marins spécifiques.</w:t>
            </w:r>
          </w:p>
          <w:p w14:paraId="73E52585" w14:textId="77777777" w:rsidR="00196846" w:rsidRPr="009F0333" w:rsidRDefault="00196846" w:rsidP="00196846">
            <w:pPr>
              <w:numPr>
                <w:ilvl w:val="0"/>
                <w:numId w:val="29"/>
              </w:numPr>
              <w:suppressLineNumbers/>
              <w:suppressAutoHyphens/>
              <w:kinsoku w:val="0"/>
              <w:overflowPunct w:val="0"/>
              <w:autoSpaceDE w:val="0"/>
              <w:autoSpaceDN w:val="0"/>
              <w:rPr>
                <w:snapToGrid w:val="0"/>
                <w:kern w:val="22"/>
                <w:lang w:val="fr-FR"/>
              </w:rPr>
            </w:pPr>
            <w:r w:rsidRPr="009F0333">
              <w:rPr>
                <w:rFonts w:eastAsia="MS Mincho"/>
                <w:snapToGrid w:val="0"/>
                <w:kern w:val="22"/>
                <w:szCs w:val="22"/>
                <w:lang w:val="fr-FR"/>
              </w:rPr>
              <w:t xml:space="preserve">Les zones de fracture sont des éléments topographiques courants dans les océans, qui surgissent des plaques tectoniques. La zone de fracture de Charlie-Gibbs est une faille transformante gauche latérale double fracturée inhabituelle dans l’océan Atlantique Nord, le long de laquelle le fossé de la dorsale médio-atlantique est décalé de 350 km, près du parallèle 52º30′N. Elle ouvre la connexion la plus profonde entre l’Atlantique du Nord-Ouest et l’Atlantique du Nord-Est (profondeur maximale d’environ 4500  mètres) et sa longueur atteint près de 2000 km, allant de 25°W à 45°W environ. Il s’agit de l’interruption la plus importante de la dorsale médio-atlantique entre les Açores et l’Islande, et l’unique zone de fracture entre l’Europe et l’Amérique avec des segments décalés de cette taille. Deux monts sous-marins connus sont associés à ces failles transformantes : Minia et </w:t>
            </w:r>
            <w:proofErr w:type="spellStart"/>
            <w:r w:rsidRPr="009F0333">
              <w:rPr>
                <w:rFonts w:eastAsia="MS Mincho"/>
                <w:snapToGrid w:val="0"/>
                <w:kern w:val="22"/>
                <w:szCs w:val="22"/>
                <w:lang w:val="fr-FR"/>
              </w:rPr>
              <w:t>Hecate</w:t>
            </w:r>
            <w:proofErr w:type="spellEnd"/>
            <w:r w:rsidRPr="009F0333">
              <w:rPr>
                <w:rFonts w:eastAsia="MS Mincho"/>
                <w:snapToGrid w:val="0"/>
                <w:kern w:val="22"/>
                <w:szCs w:val="22"/>
                <w:lang w:val="fr-FR"/>
              </w:rPr>
              <w:t>. Cette aire représente une structure géomorphologique unique dans l’Atlantique Nord. D’autre part, elle retrace l’histoire géologique de la Terre, y compris des processus géologiques en cours importants. Le front subpolaire est représentatif également d’un système pélagique frontal. L’aire est caractérisée par son importance en tant qu’élément de la dorsale médio-atlantique nord, et elle constitue une partie biogéographiquement représentative de la dorsale médio-atlantique nord. On dispose de données confirmant la présence d’agrégations d’éponges d’eau froide et de coraux d’eau froide dans cette aire. De plus, la dorsale médio-atlantique est l’unique substrat dur de grande envergure permettant la propagation d’espèces benthiques qui s’alimentent à la surface, en dehors des plateaux continentaux et des monts sous-marins isolés de la région.</w:t>
            </w:r>
          </w:p>
        </w:tc>
        <w:tc>
          <w:tcPr>
            <w:tcW w:w="506" w:type="dxa"/>
            <w:vAlign w:val="center"/>
          </w:tcPr>
          <w:p w14:paraId="38DD6105"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1FDFC07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506" w:type="dxa"/>
            <w:vAlign w:val="center"/>
          </w:tcPr>
          <w:p w14:paraId="65E7E2F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0BFBAF2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17AF0DD"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c>
          <w:tcPr>
            <w:tcW w:w="506" w:type="dxa"/>
            <w:vAlign w:val="center"/>
          </w:tcPr>
          <w:p w14:paraId="747720A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192BB23B"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r>
      <w:tr w:rsidR="00196846" w:rsidRPr="009F0333" w14:paraId="726EAA05" w14:textId="77777777" w:rsidTr="00E55451">
        <w:tc>
          <w:tcPr>
            <w:tcW w:w="9687" w:type="dxa"/>
            <w:shd w:val="clear" w:color="auto" w:fill="auto"/>
          </w:tcPr>
          <w:p w14:paraId="7C706FB0" w14:textId="77777777" w:rsidR="00196846" w:rsidRPr="009F0333" w:rsidRDefault="00196846" w:rsidP="00706C3C">
            <w:pPr>
              <w:suppressLineNumbers/>
              <w:suppressAutoHyphens/>
              <w:kinsoku w:val="0"/>
              <w:overflowPunct w:val="0"/>
              <w:autoSpaceDE w:val="0"/>
              <w:autoSpaceDN w:val="0"/>
              <w:outlineLvl w:val="1"/>
              <w:rPr>
                <w:b/>
                <w:snapToGrid w:val="0"/>
                <w:kern w:val="22"/>
                <w:lang w:val="fr-FR"/>
              </w:rPr>
            </w:pPr>
            <w:r w:rsidRPr="009F0333">
              <w:rPr>
                <w:b/>
                <w:snapToGrid w:val="0"/>
                <w:kern w:val="22"/>
                <w:lang w:val="fr-FR"/>
              </w:rPr>
              <w:t xml:space="preserve">16. Dorsale méridionale de </w:t>
            </w:r>
            <w:proofErr w:type="spellStart"/>
            <w:r w:rsidRPr="009F0333">
              <w:rPr>
                <w:b/>
                <w:snapToGrid w:val="0"/>
                <w:kern w:val="22"/>
                <w:lang w:val="fr-FR"/>
              </w:rPr>
              <w:t>Reykjanes</w:t>
            </w:r>
            <w:proofErr w:type="spellEnd"/>
          </w:p>
          <w:p w14:paraId="0079A3B5" w14:textId="77777777" w:rsidR="00196846" w:rsidRPr="009F0333" w:rsidRDefault="00196846" w:rsidP="00196846">
            <w:pPr>
              <w:numPr>
                <w:ilvl w:val="0"/>
                <w:numId w:val="30"/>
              </w:numPr>
              <w:suppressLineNumbers/>
              <w:suppressAutoHyphens/>
              <w:kinsoku w:val="0"/>
              <w:overflowPunct w:val="0"/>
              <w:autoSpaceDE w:val="0"/>
              <w:autoSpaceDN w:val="0"/>
              <w:ind w:left="395"/>
              <w:rPr>
                <w:snapToGrid w:val="0"/>
                <w:kern w:val="22"/>
                <w:lang w:val="fr-FR"/>
              </w:rPr>
            </w:pPr>
            <w:r w:rsidRPr="009F0333">
              <w:rPr>
                <w:snapToGrid w:val="0"/>
                <w:kern w:val="22"/>
                <w:lang w:val="fr-FR"/>
              </w:rPr>
              <w:t>Situation géographique : La limite nord de cette aire est la zone économique exclusive de l’Islande.  La limite sud de cette aire est le parallèle 55°188′N, situé bien au nord du Front subpolaire, qui sépare les masses d’eau chaude et d’eau froide, et se trouve habituellement entre 52</w:t>
            </w:r>
            <w:r w:rsidRPr="009F0333">
              <w:rPr>
                <w:rFonts w:eastAsia="MS Mincho"/>
                <w:bCs/>
                <w:color w:val="000000"/>
                <w:szCs w:val="22"/>
                <w:lang w:val="fr-FR"/>
              </w:rPr>
              <w:t>°</w:t>
            </w:r>
            <w:r w:rsidRPr="009F0333">
              <w:rPr>
                <w:color w:val="000000"/>
                <w:szCs w:val="22"/>
                <w:lang w:val="fr-FR"/>
              </w:rPr>
              <w:t>N</w:t>
            </w:r>
            <w:r w:rsidRPr="009F0333">
              <w:rPr>
                <w:snapToGrid w:val="0"/>
                <w:kern w:val="22"/>
                <w:lang w:val="fr-FR"/>
              </w:rPr>
              <w:t xml:space="preserve"> et 53°N. Un contour à 2500 mètres de profondeur a été utilisé pour délimiter l’aire, car ceci inclut la plupart de la crête de la dorsale, ainsi que l’aire de répartition connue des coraux d’eau froide (maximum 2400 mètres de profondeur).</w:t>
            </w:r>
          </w:p>
          <w:p w14:paraId="558A1877" w14:textId="77777777" w:rsidR="00196846" w:rsidRPr="009F0333" w:rsidRDefault="00196846" w:rsidP="00196846">
            <w:pPr>
              <w:numPr>
                <w:ilvl w:val="0"/>
                <w:numId w:val="30"/>
              </w:numPr>
              <w:suppressLineNumbers/>
              <w:suppressAutoHyphens/>
              <w:kinsoku w:val="0"/>
              <w:overflowPunct w:val="0"/>
              <w:autoSpaceDE w:val="0"/>
              <w:autoSpaceDN w:val="0"/>
              <w:ind w:left="395"/>
              <w:rPr>
                <w:snapToGrid w:val="0"/>
                <w:kern w:val="22"/>
                <w:lang w:val="fr-FR"/>
              </w:rPr>
            </w:pPr>
            <w:r w:rsidRPr="009F0333">
              <w:rPr>
                <w:snapToGrid w:val="0"/>
                <w:kern w:val="22"/>
                <w:lang w:val="fr-FR"/>
              </w:rPr>
              <w:lastRenderedPageBreak/>
              <w:t xml:space="preserve">La dorsale de </w:t>
            </w:r>
            <w:proofErr w:type="spellStart"/>
            <w:r w:rsidRPr="009F0333">
              <w:rPr>
                <w:snapToGrid w:val="0"/>
                <w:kern w:val="22"/>
                <w:lang w:val="fr-FR"/>
              </w:rPr>
              <w:t>Reykjanes</w:t>
            </w:r>
            <w:proofErr w:type="spellEnd"/>
            <w:r w:rsidRPr="009F0333">
              <w:rPr>
                <w:snapToGrid w:val="0"/>
                <w:kern w:val="22"/>
                <w:lang w:val="fr-FR"/>
              </w:rPr>
              <w:t xml:space="preserve"> fait partie intégrante d’un élément topographique majeur de l’océan Atlantique, à savoir, la dorsale médio-atlantique. La dorsale médio-atlantique sépare les bassins de Terre-Neuve et du Labrador du Bassin européen occidental, et la mer d’</w:t>
            </w:r>
            <w:proofErr w:type="spellStart"/>
            <w:r w:rsidRPr="009F0333">
              <w:rPr>
                <w:snapToGrid w:val="0"/>
                <w:kern w:val="22"/>
                <w:lang w:val="fr-FR"/>
              </w:rPr>
              <w:t>Irminger</w:t>
            </w:r>
            <w:proofErr w:type="spellEnd"/>
            <w:r w:rsidRPr="009F0333">
              <w:rPr>
                <w:snapToGrid w:val="0"/>
                <w:kern w:val="22"/>
                <w:lang w:val="fr-FR"/>
              </w:rPr>
              <w:t xml:space="preserve"> du bassin d’Islande, ce qui influence l’hydrographie et la circulation. La crête de la dorsale est généralement fracturée par un fossé profond sur toute sa longueur, entouré de montagnes élevées, qui sont elles-mêmes bordées de hauts plateaux fracturés. Cette région est constituée en grande partie de roches volcaniques, qui fournissent la base de l’aire et forment un substrat dur permettant la colonisation de communautés benthiques, y compris des espèces vulnérables et constructrices d’habitats. L’aire abrite plusieurs espèces de requins et de raies en danger ou menacées. La dorsale elle-même et ses conditions hydrographiques complexes contribuent à renforcer le mélange d’eaux et des turbulences verticales, aboutissant à des zones de productivité renforcée juste au-dessus. Le contour situé à une profondeur de 2500 mètres est utilisé pour délimiter la zone, qui comprend la plupart des crêtes de la dorsale, ainsi que l’aire de répartition des coraux d’eau froide.</w:t>
            </w:r>
          </w:p>
        </w:tc>
        <w:tc>
          <w:tcPr>
            <w:tcW w:w="506" w:type="dxa"/>
            <w:vAlign w:val="center"/>
          </w:tcPr>
          <w:p w14:paraId="2DD9728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lastRenderedPageBreak/>
              <w:t>H</w:t>
            </w:r>
          </w:p>
        </w:tc>
        <w:tc>
          <w:tcPr>
            <w:tcW w:w="506" w:type="dxa"/>
            <w:vAlign w:val="center"/>
          </w:tcPr>
          <w:p w14:paraId="0A0BC6E4"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00D9D97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4079873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114658E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52CC584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0463598A"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w:t>
            </w:r>
          </w:p>
        </w:tc>
      </w:tr>
      <w:tr w:rsidR="00196846" w:rsidRPr="009F0333" w14:paraId="3AADB170" w14:textId="77777777" w:rsidTr="00E55451">
        <w:tc>
          <w:tcPr>
            <w:tcW w:w="9687" w:type="dxa"/>
            <w:shd w:val="clear" w:color="auto" w:fill="auto"/>
          </w:tcPr>
          <w:p w14:paraId="1A7D6613" w14:textId="77777777" w:rsidR="00196846" w:rsidRPr="009F0333" w:rsidRDefault="00196846" w:rsidP="00706C3C">
            <w:pPr>
              <w:suppressLineNumbers/>
              <w:suppressAutoHyphens/>
              <w:kinsoku w:val="0"/>
              <w:overflowPunct w:val="0"/>
              <w:autoSpaceDE w:val="0"/>
              <w:autoSpaceDN w:val="0"/>
              <w:spacing w:line="280" w:lineRule="atLeast"/>
              <w:ind w:right="540"/>
              <w:jc w:val="left"/>
              <w:outlineLvl w:val="1"/>
              <w:rPr>
                <w:b/>
                <w:caps/>
                <w:snapToGrid w:val="0"/>
                <w:kern w:val="22"/>
                <w:lang w:val="fr-FR"/>
              </w:rPr>
            </w:pPr>
            <w:r w:rsidRPr="009F0333">
              <w:rPr>
                <w:b/>
                <w:snapToGrid w:val="0"/>
                <w:kern w:val="22"/>
                <w:lang w:val="fr-FR"/>
              </w:rPr>
              <w:t>17. Banc et bassin de Hatton et Rockall</w:t>
            </w:r>
          </w:p>
          <w:p w14:paraId="57C19BE0" w14:textId="77777777" w:rsidR="00196846" w:rsidRPr="009F0333" w:rsidRDefault="00196846" w:rsidP="00196846">
            <w:pPr>
              <w:numPr>
                <w:ilvl w:val="0"/>
                <w:numId w:val="34"/>
              </w:numPr>
              <w:suppressLineNumbers/>
              <w:suppressAutoHyphens/>
              <w:kinsoku w:val="0"/>
              <w:overflowPunct w:val="0"/>
              <w:autoSpaceDE w:val="0"/>
              <w:autoSpaceDN w:val="0"/>
              <w:ind w:left="395"/>
              <w:rPr>
                <w:snapToGrid w:val="0"/>
                <w:kern w:val="22"/>
                <w:lang w:val="fr-FR"/>
              </w:rPr>
            </w:pPr>
            <w:r w:rsidRPr="009F0333">
              <w:rPr>
                <w:snapToGrid w:val="0"/>
                <w:kern w:val="22"/>
                <w:lang w:val="fr-FR"/>
              </w:rPr>
              <w:t>Situation géographique : L’aire se trouve dans l’Atlantique Nord-Est, à environ 400-500km à l’ouest-nord-ouest de l’Irlande et du Royaume de Grande-Bretagne et d’Irlande du Nord, et à 400-500km au sud-sud-est de l’Islande. Elle comprend des fonds marins et des zones pélagiques à moins de 3000 mètres de profondeur, superposés aux bancs de Rockall et Hatton, avec le bassin de Rockall-Hatton situé entre les deux. Un contour à 3000 mètres de profondeur a été choisi pour délimiter cette aire pour les raisons suivantes : i) il marque la frontière acceptée entre les milieux bathyal et abyssal; ii) une analyse des données océanographiques disponibles suggère que le contour de 3000 mètres correspond bien à l’influence océanographique de la zone, et donc son influence probable sur les communautés pélagiques;  iii) des nouvelles données sur les oiseaux et les mammifères tendent à montrer que ces espèces utilisent les zones pélagiques situées juste à l’extérieur du banc, qui sont incluses dans les limites de l’aire.</w:t>
            </w:r>
          </w:p>
          <w:p w14:paraId="3985CA53" w14:textId="77777777" w:rsidR="00196846" w:rsidRPr="009F0333" w:rsidRDefault="00196846" w:rsidP="00196846">
            <w:pPr>
              <w:numPr>
                <w:ilvl w:val="0"/>
                <w:numId w:val="34"/>
              </w:numPr>
              <w:suppressLineNumbers/>
              <w:suppressAutoHyphens/>
              <w:kinsoku w:val="0"/>
              <w:overflowPunct w:val="0"/>
              <w:autoSpaceDE w:val="0"/>
              <w:autoSpaceDN w:val="0"/>
              <w:ind w:left="395"/>
              <w:rPr>
                <w:snapToGrid w:val="0"/>
                <w:kern w:val="22"/>
                <w:lang w:val="fr-FR"/>
              </w:rPr>
            </w:pPr>
            <w:r w:rsidRPr="009F0333">
              <w:rPr>
                <w:snapToGrid w:val="0"/>
                <w:kern w:val="22"/>
                <w:szCs w:val="22"/>
                <w:lang w:val="fr-FR"/>
              </w:rPr>
              <w:t>Le banc de Hatton et Rockall, ainsi que leurs pentes et leur bassin connectant connexes, constituent des habitats pélagiques et bathyaux partant de la surface et atteignant 3000 mètres de profondeur : ceci représente une caractéristique unique et importante de l’Atlantique Nord-Est. L’aire comprend des habitats très hétérogènes et elle abrite de nombreuses espèces benthiques et pélagiques, et des écosystèmes connexes. Son emplacement géographique relativement reculé, situé à plusieurs centaines de kilomètres du plateau continental, garantit un haut niveau de protection et d’isolement contre de nombreuses activités humaines connues pour engendrer une dégradation du milieu marin naturel.</w:t>
            </w:r>
          </w:p>
        </w:tc>
        <w:tc>
          <w:tcPr>
            <w:tcW w:w="506" w:type="dxa"/>
            <w:vAlign w:val="center"/>
          </w:tcPr>
          <w:p w14:paraId="5CAFA5D9"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597A4B8C"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43B13245"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7FE256EE"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506" w:type="dxa"/>
            <w:vAlign w:val="center"/>
          </w:tcPr>
          <w:p w14:paraId="292DEECF"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c>
          <w:tcPr>
            <w:tcW w:w="506" w:type="dxa"/>
            <w:vAlign w:val="center"/>
          </w:tcPr>
          <w:p w14:paraId="622F48E6"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H</w:t>
            </w:r>
          </w:p>
        </w:tc>
        <w:tc>
          <w:tcPr>
            <w:tcW w:w="489" w:type="dxa"/>
            <w:vAlign w:val="center"/>
          </w:tcPr>
          <w:p w14:paraId="4B0C8741" w14:textId="77777777" w:rsidR="00196846" w:rsidRPr="009F0333" w:rsidRDefault="00196846" w:rsidP="00706C3C">
            <w:pPr>
              <w:suppressLineNumbers/>
              <w:suppressAutoHyphens/>
              <w:kinsoku w:val="0"/>
              <w:overflowPunct w:val="0"/>
              <w:autoSpaceDE w:val="0"/>
              <w:autoSpaceDN w:val="0"/>
              <w:snapToGrid w:val="0"/>
              <w:jc w:val="center"/>
              <w:rPr>
                <w:snapToGrid w:val="0"/>
                <w:kern w:val="22"/>
              </w:rPr>
            </w:pPr>
            <w:r w:rsidRPr="009F0333">
              <w:rPr>
                <w:snapToGrid w:val="0"/>
                <w:kern w:val="22"/>
              </w:rPr>
              <w:t>M</w:t>
            </w:r>
          </w:p>
        </w:tc>
      </w:tr>
    </w:tbl>
    <w:p w14:paraId="2D44CE39" w14:textId="4FBDE9AE" w:rsidR="002549A8" w:rsidRPr="002549A8" w:rsidRDefault="00A32912" w:rsidP="002549A8">
      <w:pPr>
        <w:jc w:val="center"/>
        <w:rPr>
          <w:b/>
          <w:bCs/>
        </w:rPr>
      </w:pPr>
      <w:r>
        <w:rPr>
          <w:b/>
          <w:bCs/>
        </w:rPr>
        <w:t>__________</w:t>
      </w:r>
    </w:p>
    <w:sectPr w:rsidR="002549A8" w:rsidRPr="002549A8" w:rsidSect="006902DB">
      <w:headerReference w:type="even" r:id="rId28"/>
      <w:footerReference w:type="even" r:id="rId29"/>
      <w:pgSz w:w="15840" w:h="12240" w:orient="landscape"/>
      <w:pgMar w:top="1389" w:right="1134" w:bottom="138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B7D2" w14:textId="77777777" w:rsidR="000F2AAE" w:rsidRDefault="000F2AAE" w:rsidP="00CF1848">
      <w:r>
        <w:separator/>
      </w:r>
    </w:p>
  </w:endnote>
  <w:endnote w:type="continuationSeparator" w:id="0">
    <w:p w14:paraId="63A44F56" w14:textId="77777777" w:rsidR="000F2AAE" w:rsidRDefault="000F2AAE" w:rsidP="00CF1848">
      <w:r>
        <w:continuationSeparator/>
      </w:r>
    </w:p>
  </w:endnote>
  <w:endnote w:type="continuationNotice" w:id="1">
    <w:p w14:paraId="461C4A21" w14:textId="77777777" w:rsidR="000F2AAE" w:rsidRDefault="000F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B3A1" w14:textId="77777777" w:rsidR="00196846" w:rsidRDefault="00196846" w:rsidP="00130003">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E554" w14:textId="77777777" w:rsidR="002549A8" w:rsidRDefault="002549A8" w:rsidP="00130003">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3EAD" w14:textId="77777777" w:rsidR="000F2AAE" w:rsidRDefault="000F2AAE" w:rsidP="00CF1848">
      <w:r>
        <w:separator/>
      </w:r>
    </w:p>
  </w:footnote>
  <w:footnote w:type="continuationSeparator" w:id="0">
    <w:p w14:paraId="236FDD04" w14:textId="77777777" w:rsidR="000F2AAE" w:rsidRDefault="000F2AAE" w:rsidP="00CF1848">
      <w:r>
        <w:continuationSeparator/>
      </w:r>
    </w:p>
  </w:footnote>
  <w:footnote w:type="continuationNotice" w:id="1">
    <w:p w14:paraId="39B9F58B" w14:textId="77777777" w:rsidR="000F2AAE" w:rsidRDefault="000F2AAE"/>
  </w:footnote>
  <w:footnote w:id="2">
    <w:p w14:paraId="0A784D99" w14:textId="79A72A21" w:rsidR="00C6749B" w:rsidRPr="004603CB" w:rsidRDefault="00C6749B" w:rsidP="00C6749B">
      <w:pPr>
        <w:pStyle w:val="FootnoteText"/>
        <w:suppressLineNumbers/>
        <w:suppressAutoHyphens/>
        <w:ind w:firstLine="0"/>
        <w:jc w:val="left"/>
        <w:rPr>
          <w:kern w:val="18"/>
          <w:szCs w:val="18"/>
          <w:lang w:val="fr-FR"/>
        </w:rPr>
      </w:pPr>
      <w:r w:rsidRPr="004603CB">
        <w:rPr>
          <w:rStyle w:val="FootnoteReference"/>
          <w:kern w:val="18"/>
          <w:sz w:val="18"/>
          <w:szCs w:val="18"/>
          <w:lang w:val="fr-FR"/>
        </w:rPr>
        <w:footnoteRef/>
      </w:r>
      <w:r w:rsidRPr="004603CB">
        <w:rPr>
          <w:kern w:val="18"/>
          <w:szCs w:val="18"/>
          <w:lang w:val="fr-FR"/>
        </w:rPr>
        <w:t xml:space="preserve"> </w:t>
      </w:r>
      <w:r w:rsidR="004603CB" w:rsidRPr="004603CB">
        <w:rPr>
          <w:kern w:val="18"/>
          <w:szCs w:val="18"/>
          <w:lang w:val="fr-FR"/>
        </w:rPr>
        <w:t xml:space="preserve">Voir </w:t>
      </w:r>
      <w:r w:rsidRPr="004603CB">
        <w:rPr>
          <w:kern w:val="18"/>
          <w:szCs w:val="18"/>
          <w:lang w:val="fr-FR"/>
        </w:rPr>
        <w:t>d</w:t>
      </w:r>
      <w:r w:rsidR="004603CB" w:rsidRPr="004603CB">
        <w:rPr>
          <w:kern w:val="18"/>
          <w:szCs w:val="18"/>
          <w:lang w:val="fr-FR"/>
        </w:rPr>
        <w:t>é</w:t>
      </w:r>
      <w:r w:rsidRPr="004603CB">
        <w:rPr>
          <w:kern w:val="18"/>
          <w:szCs w:val="18"/>
          <w:lang w:val="fr-FR"/>
        </w:rPr>
        <w:t>cisions X/29, par. 36</w:t>
      </w:r>
      <w:r w:rsidR="004603CB" w:rsidRPr="004603CB">
        <w:rPr>
          <w:kern w:val="18"/>
          <w:szCs w:val="18"/>
          <w:lang w:val="fr-FR"/>
        </w:rPr>
        <w:t xml:space="preserve"> et </w:t>
      </w:r>
      <w:r w:rsidRPr="004603CB">
        <w:rPr>
          <w:kern w:val="18"/>
          <w:szCs w:val="18"/>
          <w:lang w:val="fr-FR"/>
        </w:rPr>
        <w:t>XI/17, par. 12.</w:t>
      </w:r>
    </w:p>
  </w:footnote>
  <w:footnote w:id="3">
    <w:p w14:paraId="0775D17A" w14:textId="48C993CA" w:rsidR="00196846" w:rsidRPr="00196846" w:rsidRDefault="00196846" w:rsidP="00196846">
      <w:pPr>
        <w:pStyle w:val="FootnoteText"/>
        <w:kinsoku w:val="0"/>
        <w:overflowPunct w:val="0"/>
        <w:autoSpaceDE w:val="0"/>
        <w:autoSpaceDN w:val="0"/>
        <w:ind w:firstLine="0"/>
        <w:jc w:val="left"/>
        <w:rPr>
          <w:snapToGrid w:val="0"/>
          <w:kern w:val="18"/>
          <w:szCs w:val="18"/>
          <w:lang w:val="en-US"/>
        </w:rPr>
      </w:pPr>
      <w:r w:rsidRPr="00BE25DD">
        <w:rPr>
          <w:rStyle w:val="FootnoteReference"/>
          <w:rFonts w:eastAsiaTheme="majorEastAsia"/>
          <w:snapToGrid w:val="0"/>
          <w:kern w:val="18"/>
          <w:sz w:val="18"/>
          <w:szCs w:val="18"/>
        </w:rPr>
        <w:footnoteRef/>
      </w:r>
      <w:r w:rsidR="00951C84">
        <w:rPr>
          <w:snapToGrid w:val="0"/>
          <w:kern w:val="18"/>
          <w:szCs w:val="18"/>
          <w:lang w:val="en-US"/>
        </w:rPr>
        <w:t xml:space="preserve"> CBD/EBSA/WS/2019/1/5</w:t>
      </w:r>
      <w:r w:rsidRPr="00196846">
        <w:rPr>
          <w:snapToGrid w:val="0"/>
          <w:kern w:val="18"/>
          <w:szCs w:val="18"/>
          <w:lang w:val="en-US"/>
        </w:rPr>
        <w:t>.</w:t>
      </w:r>
    </w:p>
  </w:footnote>
  <w:footnote w:id="4">
    <w:p w14:paraId="38A77816" w14:textId="77777777" w:rsidR="00196846" w:rsidRPr="00AB1E9E" w:rsidRDefault="00196846" w:rsidP="00196846">
      <w:pPr>
        <w:pStyle w:val="FootnoteText"/>
        <w:ind w:firstLine="0"/>
        <w:rPr>
          <w:lang w:val="fr-FR"/>
        </w:rPr>
      </w:pPr>
      <w:r w:rsidRPr="00EB208C">
        <w:rPr>
          <w:rStyle w:val="FootnoteReference"/>
        </w:rPr>
        <w:footnoteRef/>
      </w:r>
      <w:r w:rsidRPr="00AB1E9E">
        <w:rPr>
          <w:vertAlign w:val="superscript"/>
          <w:lang w:val="fr-FR"/>
        </w:rPr>
        <w:t xml:space="preserve"> </w:t>
      </w:r>
      <w:r w:rsidRPr="00AB1E9E">
        <w:rPr>
          <w:lang w:val="fr-FR"/>
        </w:rPr>
        <w:t>Pour le rapport de l’atelier, voir CBD/EBSA/WS/2019/1/4.</w:t>
      </w:r>
    </w:p>
  </w:footnote>
  <w:footnote w:id="5">
    <w:p w14:paraId="0BB6B06C" w14:textId="66E154E1" w:rsidR="00196846" w:rsidRPr="006855F6" w:rsidRDefault="00196846" w:rsidP="00196846">
      <w:pPr>
        <w:pStyle w:val="FootnoteText"/>
        <w:kinsoku w:val="0"/>
        <w:overflowPunct w:val="0"/>
        <w:autoSpaceDE w:val="0"/>
        <w:autoSpaceDN w:val="0"/>
        <w:ind w:firstLine="0"/>
        <w:jc w:val="left"/>
        <w:rPr>
          <w:snapToGrid w:val="0"/>
          <w:kern w:val="18"/>
          <w:szCs w:val="18"/>
          <w:lang w:val="fr-FR"/>
        </w:rPr>
      </w:pPr>
      <w:r w:rsidRPr="00212CBD">
        <w:rPr>
          <w:rStyle w:val="FootnoteReference"/>
          <w:rFonts w:eastAsiaTheme="majorEastAsia"/>
          <w:snapToGrid w:val="0"/>
          <w:kern w:val="18"/>
          <w:szCs w:val="18"/>
        </w:rPr>
        <w:footnoteRef/>
      </w:r>
      <w:r w:rsidRPr="006855F6">
        <w:rPr>
          <w:snapToGrid w:val="0"/>
          <w:kern w:val="18"/>
          <w:szCs w:val="18"/>
          <w:lang w:val="fr-FR"/>
        </w:rPr>
        <w:t xml:space="preserve"> </w:t>
      </w:r>
      <w:hyperlink r:id="rId1" w:history="1">
        <w:r w:rsidRPr="006855F6">
          <w:rPr>
            <w:rStyle w:val="Hyperlink"/>
            <w:snapToGrid w:val="0"/>
            <w:kern w:val="18"/>
            <w:szCs w:val="18"/>
            <w:lang w:val="fr-FR"/>
          </w:rPr>
          <w:t xml:space="preserve">Organisation des Nations Unies, </w:t>
        </w:r>
        <w:r>
          <w:rPr>
            <w:rStyle w:val="Hyperlink"/>
            <w:i/>
            <w:iCs/>
            <w:snapToGrid w:val="0"/>
            <w:kern w:val="18"/>
            <w:szCs w:val="18"/>
            <w:lang w:val="fr-FR"/>
          </w:rPr>
          <w:t>Recueil des Traités</w:t>
        </w:r>
        <w:r w:rsidRPr="006855F6">
          <w:rPr>
            <w:rStyle w:val="Hyperlink"/>
            <w:snapToGrid w:val="0"/>
            <w:kern w:val="18"/>
            <w:szCs w:val="18"/>
            <w:lang w:val="fr-FR"/>
          </w:rPr>
          <w:t xml:space="preserve">, vol. 1833, </w:t>
        </w:r>
        <w:r w:rsidR="00F922CD">
          <w:rPr>
            <w:rStyle w:val="Hyperlink"/>
            <w:snapToGrid w:val="0"/>
            <w:kern w:val="18"/>
            <w:szCs w:val="18"/>
            <w:lang w:val="fr-FR"/>
          </w:rPr>
          <w:t>n</w:t>
        </w:r>
        <w:r w:rsidRPr="00F922CD">
          <w:rPr>
            <w:rStyle w:val="Hyperlink"/>
            <w:snapToGrid w:val="0"/>
            <w:kern w:val="18"/>
            <w:szCs w:val="18"/>
            <w:vertAlign w:val="superscript"/>
            <w:lang w:val="fr-FR"/>
          </w:rPr>
          <w:t>o</w:t>
        </w:r>
        <w:r w:rsidRPr="006855F6">
          <w:rPr>
            <w:rStyle w:val="Hyperlink"/>
            <w:snapToGrid w:val="0"/>
            <w:kern w:val="18"/>
            <w:szCs w:val="18"/>
            <w:lang w:val="fr-FR"/>
          </w:rPr>
          <w:t xml:space="preserve"> 31363</w:t>
        </w:r>
      </w:hyperlink>
      <w:r w:rsidRPr="006855F6">
        <w:rPr>
          <w:snapToGrid w:val="0"/>
          <w:kern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1124023"/>
      <w:dataBinding w:prefixMappings="xmlns:ns0='http://purl.org/dc/elements/1.1/' xmlns:ns1='http://schemas.openxmlformats.org/package/2006/metadata/core-properties' " w:xpath="/ns1:coreProperties[1]/ns0:subject[1]" w:storeItemID="{6C3C8BC8-F283-45AE-878A-BAB7291924A1}"/>
      <w:text/>
    </w:sdtPr>
    <w:sdtEndPr/>
    <w:sdtContent>
      <w:p w14:paraId="7940449D" w14:textId="3E19C499" w:rsidR="00196846" w:rsidRPr="006902DB" w:rsidRDefault="006A13CA" w:rsidP="00130003">
        <w:pPr>
          <w:jc w:val="left"/>
          <w:rPr>
            <w:noProof/>
            <w:kern w:val="22"/>
            <w:lang w:val="fr-FR"/>
          </w:rPr>
        </w:pPr>
        <w:r>
          <w:rPr>
            <w:noProof/>
            <w:kern w:val="22"/>
            <w:lang w:val="fr-FR"/>
          </w:rPr>
          <w:t>CBD/SBSTTA/REC/23/4</w:t>
        </w:r>
      </w:p>
    </w:sdtContent>
  </w:sdt>
  <w:p w14:paraId="1DADA68C" w14:textId="789227EC" w:rsidR="00196846" w:rsidRDefault="00196846" w:rsidP="00A73F50">
    <w:pPr>
      <w:pStyle w:val="Header"/>
      <w:tabs>
        <w:tab w:val="clear" w:pos="4320"/>
        <w:tab w:val="clear" w:pos="8640"/>
      </w:tabs>
      <w:jc w:val="left"/>
    </w:pPr>
    <w:r w:rsidRPr="006902DB">
      <w:rPr>
        <w:noProof/>
        <w:kern w:val="22"/>
        <w:lang w:val="fr-FR"/>
      </w:rPr>
      <w:t xml:space="preserve">Page </w:t>
    </w:r>
    <w:r w:rsidRPr="00C8252F">
      <w:rPr>
        <w:noProof/>
        <w:kern w:val="22"/>
        <w:lang w:val="fr-FR"/>
      </w:rPr>
      <w:fldChar w:fldCharType="begin"/>
    </w:r>
    <w:r w:rsidRPr="00C8252F">
      <w:rPr>
        <w:noProof/>
        <w:kern w:val="22"/>
        <w:lang w:val="fr-FR"/>
      </w:rPr>
      <w:instrText xml:space="preserve"> PAGE   \* MERGEFORMAT </w:instrText>
    </w:r>
    <w:r w:rsidRPr="00C8252F">
      <w:rPr>
        <w:noProof/>
        <w:kern w:val="22"/>
        <w:lang w:val="fr-FR"/>
      </w:rPr>
      <w:fldChar w:fldCharType="separate"/>
    </w:r>
    <w:r w:rsidR="00737143">
      <w:rPr>
        <w:noProof/>
        <w:kern w:val="22"/>
        <w:lang w:val="fr-FR"/>
      </w:rPr>
      <w:t>4</w:t>
    </w:r>
    <w:r w:rsidRPr="00C8252F">
      <w:rPr>
        <w:noProof/>
        <w:kern w:val="22"/>
        <w:lang w:val="fr-FR"/>
      </w:rPr>
      <w:fldChar w:fldCharType="end"/>
    </w:r>
  </w:p>
  <w:p w14:paraId="29DB142A" w14:textId="77777777" w:rsidR="00196846" w:rsidRDefault="001968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A3FF153218F24101881DADDDFBBF05CB"/>
      </w:placeholder>
      <w:dataBinding w:prefixMappings="xmlns:ns0='http://purl.org/dc/elements/1.1/' xmlns:ns1='http://schemas.openxmlformats.org/package/2006/metadata/core-properties' " w:xpath="/ns1:coreProperties[1]/ns0:subject[1]" w:storeItemID="{6C3C8BC8-F283-45AE-878A-BAB7291924A1}"/>
      <w:text/>
    </w:sdtPr>
    <w:sdtEndPr/>
    <w:sdtContent>
      <w:p w14:paraId="1CABC8F9" w14:textId="77777777" w:rsidR="002027AF" w:rsidRPr="0052289A" w:rsidRDefault="002027AF" w:rsidP="002027AF">
        <w:pPr>
          <w:pStyle w:val="Header"/>
          <w:keepLines/>
          <w:suppressLineNumbers/>
          <w:suppressAutoHyphens/>
          <w:jc w:val="right"/>
          <w:rPr>
            <w:noProof/>
            <w:kern w:val="22"/>
          </w:rPr>
        </w:pPr>
        <w:r w:rsidRPr="0052289A">
          <w:rPr>
            <w:noProof/>
            <w:kern w:val="22"/>
          </w:rPr>
          <w:t>CBD/SBSTTA/REC/23/4</w:t>
        </w:r>
      </w:p>
    </w:sdtContent>
  </w:sdt>
  <w:p w14:paraId="0549ACC3" w14:textId="77777777" w:rsidR="002027AF" w:rsidRPr="0052289A" w:rsidRDefault="002027AF" w:rsidP="002027AF">
    <w:pPr>
      <w:pStyle w:val="Header"/>
      <w:keepLines/>
      <w:suppressLineNumbers/>
      <w:suppressAutoHyphens/>
      <w:jc w:val="right"/>
      <w:rPr>
        <w:noProof/>
        <w:kern w:val="22"/>
      </w:rPr>
    </w:pPr>
    <w:r w:rsidRPr="0052289A">
      <w:rPr>
        <w:noProof/>
        <w:kern w:val="22"/>
      </w:rPr>
      <w:t xml:space="preserve">Page </w:t>
    </w:r>
    <w:r w:rsidRPr="0052289A">
      <w:rPr>
        <w:noProof/>
        <w:kern w:val="22"/>
      </w:rPr>
      <w:fldChar w:fldCharType="begin"/>
    </w:r>
    <w:r w:rsidRPr="0052289A">
      <w:rPr>
        <w:noProof/>
        <w:kern w:val="22"/>
      </w:rPr>
      <w:instrText xml:space="preserve"> PAGE   \* MERGEFORMAT </w:instrText>
    </w:r>
    <w:r w:rsidRPr="0052289A">
      <w:rPr>
        <w:noProof/>
        <w:kern w:val="22"/>
      </w:rPr>
      <w:fldChar w:fldCharType="separate"/>
    </w:r>
    <w:r>
      <w:rPr>
        <w:noProof/>
        <w:kern w:val="22"/>
      </w:rPr>
      <w:t>3</w:t>
    </w:r>
    <w:r w:rsidRPr="0052289A">
      <w:rPr>
        <w:noProof/>
        <w:kern w:val="22"/>
      </w:rPr>
      <w:fldChar w:fldCharType="end"/>
    </w:r>
  </w:p>
  <w:p w14:paraId="43E1C74C" w14:textId="0D400FE0" w:rsidR="002027AF" w:rsidRDefault="002027AF" w:rsidP="002027A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531996536"/>
      <w:placeholder>
        <w:docPart w:val="C5AB1214E1E440CDB9AB099ADBA57B21"/>
      </w:placeholder>
      <w:dataBinding w:prefixMappings="xmlns:ns0='http://purl.org/dc/elements/1.1/' xmlns:ns1='http://schemas.openxmlformats.org/package/2006/metadata/core-properties' " w:xpath="/ns1:coreProperties[1]/ns0:subject[1]" w:storeItemID="{6C3C8BC8-F283-45AE-878A-BAB7291924A1}"/>
      <w:text/>
    </w:sdtPr>
    <w:sdtEndPr/>
    <w:sdtContent>
      <w:p w14:paraId="5BCE1A53" w14:textId="4B448804" w:rsidR="002549A8" w:rsidRPr="006902DB" w:rsidRDefault="006A13CA" w:rsidP="00130003">
        <w:pPr>
          <w:jc w:val="left"/>
          <w:rPr>
            <w:noProof/>
            <w:kern w:val="22"/>
            <w:lang w:val="fr-FR"/>
          </w:rPr>
        </w:pPr>
        <w:r>
          <w:rPr>
            <w:noProof/>
            <w:kern w:val="22"/>
            <w:lang w:val="fr-FR"/>
          </w:rPr>
          <w:t>CBD/SBSTTA/REC/23/4</w:t>
        </w:r>
      </w:p>
    </w:sdtContent>
  </w:sdt>
  <w:p w14:paraId="0CD4BB2C" w14:textId="77777777" w:rsidR="002549A8" w:rsidRPr="006902DB" w:rsidRDefault="002549A8" w:rsidP="00130003">
    <w:pPr>
      <w:pStyle w:val="Header"/>
      <w:tabs>
        <w:tab w:val="clear" w:pos="4320"/>
        <w:tab w:val="clear" w:pos="8640"/>
      </w:tabs>
      <w:jc w:val="left"/>
      <w:rPr>
        <w:noProof/>
        <w:kern w:val="22"/>
        <w:lang w:val="fr-FR"/>
      </w:rPr>
    </w:pPr>
    <w:r w:rsidRPr="006902DB">
      <w:rPr>
        <w:noProof/>
        <w:kern w:val="22"/>
        <w:lang w:val="fr-FR"/>
      </w:rPr>
      <w:t xml:space="preserve">Page </w:t>
    </w:r>
    <w:r w:rsidRPr="003839D2">
      <w:rPr>
        <w:noProof/>
        <w:kern w:val="22"/>
      </w:rPr>
      <w:fldChar w:fldCharType="begin"/>
    </w:r>
    <w:r w:rsidRPr="006902DB">
      <w:rPr>
        <w:noProof/>
        <w:kern w:val="22"/>
        <w:lang w:val="fr-FR"/>
      </w:rPr>
      <w:instrText xml:space="preserve"> PAGE   \* MERGEFORMAT </w:instrText>
    </w:r>
    <w:r w:rsidRPr="003839D2">
      <w:rPr>
        <w:noProof/>
        <w:kern w:val="22"/>
      </w:rPr>
      <w:fldChar w:fldCharType="separate"/>
    </w:r>
    <w:r w:rsidR="00737143">
      <w:rPr>
        <w:noProof/>
        <w:kern w:val="22"/>
        <w:lang w:val="fr-FR"/>
      </w:rPr>
      <w:t>14</w:t>
    </w:r>
    <w:r w:rsidRPr="003839D2">
      <w:rPr>
        <w:noProof/>
        <w:kern w:val="22"/>
      </w:rPr>
      <w:fldChar w:fldCharType="end"/>
    </w:r>
  </w:p>
  <w:p w14:paraId="581D325E" w14:textId="77777777" w:rsidR="002549A8" w:rsidRPr="006902DB" w:rsidRDefault="002549A8" w:rsidP="00130003">
    <w:pPr>
      <w:pStyle w:val="Header"/>
      <w:tabs>
        <w:tab w:val="clear" w:pos="4320"/>
        <w:tab w:val="clear" w:pos="8640"/>
      </w:tabs>
      <w:jc w:val="lef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F964B03"/>
    <w:multiLevelType w:val="hybridMultilevel"/>
    <w:tmpl w:val="8208F6A6"/>
    <w:lvl w:ilvl="0" w:tplc="F2D808D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77C8D"/>
    <w:multiLevelType w:val="hybridMultilevel"/>
    <w:tmpl w:val="49FA76A8"/>
    <w:lvl w:ilvl="0" w:tplc="2F1A52B4">
      <w:start w:val="1"/>
      <w:numFmt w:val="decimal"/>
      <w:lvlText w:val="%1."/>
      <w:lvlJc w:val="left"/>
      <w:pPr>
        <w:ind w:left="2158" w:hanging="7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87D27"/>
    <w:multiLevelType w:val="hybridMultilevel"/>
    <w:tmpl w:val="BF2A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95446"/>
    <w:multiLevelType w:val="hybridMultilevel"/>
    <w:tmpl w:val="4D44A482"/>
    <w:lvl w:ilvl="0" w:tplc="69DEFE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8"/>
  </w:num>
  <w:num w:numId="3">
    <w:abstractNumId w:val="14"/>
  </w:num>
  <w:num w:numId="4">
    <w:abstractNumId w:val="18"/>
  </w:num>
  <w:num w:numId="5">
    <w:abstractNumId w:val="16"/>
  </w:num>
  <w:num w:numId="6">
    <w:abstractNumId w:val="1"/>
  </w:num>
  <w:num w:numId="7">
    <w:abstractNumId w:val="4"/>
  </w:num>
  <w:num w:numId="8">
    <w:abstractNumId w:val="14"/>
    <w:lvlOverride w:ilvl="0">
      <w:startOverride w:val="1"/>
    </w:lvlOverride>
  </w:num>
  <w:num w:numId="9">
    <w:abstractNumId w:val="2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2"/>
  </w:num>
  <w:num w:numId="17">
    <w:abstractNumId w:val="31"/>
  </w:num>
  <w:num w:numId="18">
    <w:abstractNumId w:val="33"/>
  </w:num>
  <w:num w:numId="19">
    <w:abstractNumId w:val="27"/>
  </w:num>
  <w:num w:numId="20">
    <w:abstractNumId w:val="11"/>
  </w:num>
  <w:num w:numId="21">
    <w:abstractNumId w:val="8"/>
  </w:num>
  <w:num w:numId="22">
    <w:abstractNumId w:val="12"/>
  </w:num>
  <w:num w:numId="23">
    <w:abstractNumId w:val="21"/>
  </w:num>
  <w:num w:numId="24">
    <w:abstractNumId w:val="30"/>
  </w:num>
  <w:num w:numId="25">
    <w:abstractNumId w:val="0"/>
  </w:num>
  <w:num w:numId="26">
    <w:abstractNumId w:val="15"/>
  </w:num>
  <w:num w:numId="27">
    <w:abstractNumId w:val="9"/>
  </w:num>
  <w:num w:numId="28">
    <w:abstractNumId w:val="3"/>
  </w:num>
  <w:num w:numId="29">
    <w:abstractNumId w:val="25"/>
  </w:num>
  <w:num w:numId="30">
    <w:abstractNumId w:val="28"/>
  </w:num>
  <w:num w:numId="31">
    <w:abstractNumId w:val="19"/>
  </w:num>
  <w:num w:numId="32">
    <w:abstractNumId w:val="5"/>
  </w:num>
  <w:num w:numId="33">
    <w:abstractNumId w:val="17"/>
  </w:num>
  <w:num w:numId="34">
    <w:abstractNumId w:val="20"/>
  </w:num>
  <w:num w:numId="35">
    <w:abstractNumId w:val="26"/>
  </w:num>
  <w:num w:numId="36">
    <w:abstractNumId w:val="7"/>
  </w:num>
  <w:num w:numId="37">
    <w:abstractNumId w:val="24"/>
  </w:num>
  <w:num w:numId="38">
    <w:abstractNumId w:val="6"/>
  </w:num>
  <w:num w:numId="39">
    <w:abstractNumId w:val="32"/>
  </w:num>
  <w:num w:numId="40">
    <w:abstractNumId w:val="3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32C86"/>
    <w:rsid w:val="00047731"/>
    <w:rsid w:val="000C3000"/>
    <w:rsid w:val="000E673A"/>
    <w:rsid w:val="000F2AAE"/>
    <w:rsid w:val="000F74F5"/>
    <w:rsid w:val="00105372"/>
    <w:rsid w:val="00130003"/>
    <w:rsid w:val="00131E7A"/>
    <w:rsid w:val="00137498"/>
    <w:rsid w:val="001430F6"/>
    <w:rsid w:val="001447B4"/>
    <w:rsid w:val="001530AB"/>
    <w:rsid w:val="00154338"/>
    <w:rsid w:val="00154372"/>
    <w:rsid w:val="00162902"/>
    <w:rsid w:val="00172AF6"/>
    <w:rsid w:val="00173A39"/>
    <w:rsid w:val="001750C2"/>
    <w:rsid w:val="00176CEE"/>
    <w:rsid w:val="0019124A"/>
    <w:rsid w:val="00196846"/>
    <w:rsid w:val="001A27D5"/>
    <w:rsid w:val="001F76AE"/>
    <w:rsid w:val="00200C81"/>
    <w:rsid w:val="002027AF"/>
    <w:rsid w:val="002549A8"/>
    <w:rsid w:val="00277427"/>
    <w:rsid w:val="002B1D40"/>
    <w:rsid w:val="002C1F39"/>
    <w:rsid w:val="002F7645"/>
    <w:rsid w:val="00337E94"/>
    <w:rsid w:val="00372F74"/>
    <w:rsid w:val="00385E04"/>
    <w:rsid w:val="003B0DE5"/>
    <w:rsid w:val="003C5220"/>
    <w:rsid w:val="003D232B"/>
    <w:rsid w:val="003D6699"/>
    <w:rsid w:val="003E0FB3"/>
    <w:rsid w:val="003E2E7B"/>
    <w:rsid w:val="003F383B"/>
    <w:rsid w:val="003F3E03"/>
    <w:rsid w:val="003F66C7"/>
    <w:rsid w:val="003F7224"/>
    <w:rsid w:val="00405146"/>
    <w:rsid w:val="00413B2A"/>
    <w:rsid w:val="0042412C"/>
    <w:rsid w:val="00427D21"/>
    <w:rsid w:val="00452149"/>
    <w:rsid w:val="004603CB"/>
    <w:rsid w:val="004644C2"/>
    <w:rsid w:val="00467F9C"/>
    <w:rsid w:val="004819EC"/>
    <w:rsid w:val="004827BC"/>
    <w:rsid w:val="004B7F50"/>
    <w:rsid w:val="00507D56"/>
    <w:rsid w:val="00507F75"/>
    <w:rsid w:val="00512DD9"/>
    <w:rsid w:val="00522946"/>
    <w:rsid w:val="00534681"/>
    <w:rsid w:val="00543E04"/>
    <w:rsid w:val="005455E3"/>
    <w:rsid w:val="0058526C"/>
    <w:rsid w:val="00595963"/>
    <w:rsid w:val="005B012C"/>
    <w:rsid w:val="005B13A5"/>
    <w:rsid w:val="005F200B"/>
    <w:rsid w:val="006122BA"/>
    <w:rsid w:val="00635481"/>
    <w:rsid w:val="00644F31"/>
    <w:rsid w:val="00670AA6"/>
    <w:rsid w:val="00684C89"/>
    <w:rsid w:val="006902DB"/>
    <w:rsid w:val="006A13CA"/>
    <w:rsid w:val="006B2290"/>
    <w:rsid w:val="00716584"/>
    <w:rsid w:val="00717D88"/>
    <w:rsid w:val="00737143"/>
    <w:rsid w:val="00743400"/>
    <w:rsid w:val="007546D1"/>
    <w:rsid w:val="007770F9"/>
    <w:rsid w:val="00785877"/>
    <w:rsid w:val="00791ACA"/>
    <w:rsid w:val="007942D3"/>
    <w:rsid w:val="007A10F8"/>
    <w:rsid w:val="007B641A"/>
    <w:rsid w:val="007B6C09"/>
    <w:rsid w:val="007D4954"/>
    <w:rsid w:val="007E09DA"/>
    <w:rsid w:val="007F347E"/>
    <w:rsid w:val="008140E5"/>
    <w:rsid w:val="008178B6"/>
    <w:rsid w:val="00833C05"/>
    <w:rsid w:val="00863B0B"/>
    <w:rsid w:val="00865B74"/>
    <w:rsid w:val="0088244F"/>
    <w:rsid w:val="00886FE3"/>
    <w:rsid w:val="008C772B"/>
    <w:rsid w:val="00905998"/>
    <w:rsid w:val="00930BA1"/>
    <w:rsid w:val="0093169E"/>
    <w:rsid w:val="00932B3A"/>
    <w:rsid w:val="00940F94"/>
    <w:rsid w:val="009420D6"/>
    <w:rsid w:val="009505C9"/>
    <w:rsid w:val="00951C84"/>
    <w:rsid w:val="00953637"/>
    <w:rsid w:val="00962639"/>
    <w:rsid w:val="00974074"/>
    <w:rsid w:val="00982D1C"/>
    <w:rsid w:val="009C200D"/>
    <w:rsid w:val="009D25BE"/>
    <w:rsid w:val="009D77A5"/>
    <w:rsid w:val="009E091C"/>
    <w:rsid w:val="009E15DC"/>
    <w:rsid w:val="009E48E4"/>
    <w:rsid w:val="009E535C"/>
    <w:rsid w:val="009F57B4"/>
    <w:rsid w:val="00A00F22"/>
    <w:rsid w:val="00A2286C"/>
    <w:rsid w:val="00A32912"/>
    <w:rsid w:val="00A73F50"/>
    <w:rsid w:val="00A74389"/>
    <w:rsid w:val="00AA5F0B"/>
    <w:rsid w:val="00B119CC"/>
    <w:rsid w:val="00B14406"/>
    <w:rsid w:val="00B3369F"/>
    <w:rsid w:val="00B4058E"/>
    <w:rsid w:val="00B432A4"/>
    <w:rsid w:val="00B43756"/>
    <w:rsid w:val="00BB558B"/>
    <w:rsid w:val="00BE25DD"/>
    <w:rsid w:val="00C20258"/>
    <w:rsid w:val="00C3030A"/>
    <w:rsid w:val="00C45D7A"/>
    <w:rsid w:val="00C6749B"/>
    <w:rsid w:val="00C80E6D"/>
    <w:rsid w:val="00C871A0"/>
    <w:rsid w:val="00C9161D"/>
    <w:rsid w:val="00CA606E"/>
    <w:rsid w:val="00CE53CA"/>
    <w:rsid w:val="00CF1848"/>
    <w:rsid w:val="00CF3524"/>
    <w:rsid w:val="00D12044"/>
    <w:rsid w:val="00D33BD4"/>
    <w:rsid w:val="00D76A18"/>
    <w:rsid w:val="00D76F20"/>
    <w:rsid w:val="00D84462"/>
    <w:rsid w:val="00D93B31"/>
    <w:rsid w:val="00DB7CC9"/>
    <w:rsid w:val="00DD118C"/>
    <w:rsid w:val="00E15354"/>
    <w:rsid w:val="00E55451"/>
    <w:rsid w:val="00E66235"/>
    <w:rsid w:val="00E75F60"/>
    <w:rsid w:val="00E83C24"/>
    <w:rsid w:val="00E9318D"/>
    <w:rsid w:val="00EC14CF"/>
    <w:rsid w:val="00ED5894"/>
    <w:rsid w:val="00F5075E"/>
    <w:rsid w:val="00F607D6"/>
    <w:rsid w:val="00F922CD"/>
    <w:rsid w:val="00F94774"/>
    <w:rsid w:val="00FA0C35"/>
    <w:rsid w:val="00FC53DB"/>
    <w:rsid w:val="00FD2FA0"/>
    <w:rsid w:val="00FE16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2F020ABA-3BDB-496F-8451-3E59D84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684C89"/>
    <w:pPr>
      <w:spacing w:after="160" w:line="240" w:lineRule="exact"/>
    </w:pPr>
    <w:rPr>
      <w:rFonts w:asciiTheme="minorHAnsi" w:eastAsiaTheme="minorEastAsia" w:hAnsiTheme="minorHAnsi" w:cstheme="minorBidi"/>
      <w:vertAlign w:val="superscript"/>
      <w:lang w:val="fr-CA"/>
    </w:rPr>
  </w:style>
  <w:style w:type="paragraph" w:styleId="Revision">
    <w:name w:val="Revision"/>
    <w:hidden/>
    <w:uiPriority w:val="99"/>
    <w:semiHidden/>
    <w:rsid w:val="003E0FB3"/>
    <w:rPr>
      <w:rFonts w:ascii="Times New Roman" w:eastAsia="Times New Roman" w:hAnsi="Times New Roman" w:cs="Times New Roman"/>
      <w:sz w:val="22"/>
      <w:lang w:val="en-GB"/>
    </w:rPr>
  </w:style>
  <w:style w:type="character" w:styleId="Emphasis">
    <w:name w:val="Emphasis"/>
    <w:uiPriority w:val="20"/>
    <w:qFormat/>
    <w:rsid w:val="002549A8"/>
    <w:rPr>
      <w:i/>
      <w:iCs/>
    </w:rPr>
  </w:style>
  <w:style w:type="paragraph" w:styleId="ListBullet">
    <w:name w:val="List Bullet"/>
    <w:basedOn w:val="Normal"/>
    <w:uiPriority w:val="99"/>
    <w:unhideWhenUsed/>
    <w:rsid w:val="002549A8"/>
    <w:pPr>
      <w:numPr>
        <w:numId w:val="25"/>
      </w:numPr>
      <w:suppressAutoHyphens/>
      <w:contextualSpacing/>
      <w:jc w:val="left"/>
    </w:pPr>
    <w:rPr>
      <w:rFonts w:eastAsia="Malgun Gothic"/>
      <w:sz w:val="24"/>
      <w:lang w:eastAsia="ar-SA"/>
    </w:rPr>
  </w:style>
  <w:style w:type="character" w:customStyle="1" w:styleId="xbe">
    <w:name w:val="_xbe"/>
    <w:rsid w:val="0025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89496">
      <w:bodyDiv w:val="1"/>
      <w:marLeft w:val="0"/>
      <w:marRight w:val="0"/>
      <w:marTop w:val="0"/>
      <w:marBottom w:val="0"/>
      <w:divBdr>
        <w:top w:val="none" w:sz="0" w:space="0" w:color="auto"/>
        <w:left w:val="none" w:sz="0" w:space="0" w:color="auto"/>
        <w:bottom w:val="none" w:sz="0" w:space="0" w:color="auto"/>
        <w:right w:val="none" w:sz="0" w:space="0" w:color="auto"/>
      </w:divBdr>
    </w:div>
    <w:div w:id="53446639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09905930">
      <w:bodyDiv w:val="1"/>
      <w:marLeft w:val="0"/>
      <w:marRight w:val="0"/>
      <w:marTop w:val="0"/>
      <w:marBottom w:val="0"/>
      <w:divBdr>
        <w:top w:val="none" w:sz="0" w:space="0" w:color="auto"/>
        <w:left w:val="none" w:sz="0" w:space="0" w:color="auto"/>
        <w:bottom w:val="none" w:sz="0" w:space="0" w:color="auto"/>
        <w:right w:val="none" w:sz="0" w:space="0" w:color="auto"/>
      </w:divBdr>
    </w:div>
    <w:div w:id="871116067">
      <w:bodyDiv w:val="1"/>
      <w:marLeft w:val="0"/>
      <w:marRight w:val="0"/>
      <w:marTop w:val="0"/>
      <w:marBottom w:val="0"/>
      <w:divBdr>
        <w:top w:val="none" w:sz="0" w:space="0" w:color="auto"/>
        <w:left w:val="none" w:sz="0" w:space="0" w:color="auto"/>
        <w:bottom w:val="none" w:sz="0" w:space="0" w:color="auto"/>
        <w:right w:val="none" w:sz="0" w:space="0" w:color="auto"/>
      </w:divBdr>
    </w:div>
    <w:div w:id="1052584680">
      <w:bodyDiv w:val="1"/>
      <w:marLeft w:val="0"/>
      <w:marRight w:val="0"/>
      <w:marTop w:val="0"/>
      <w:marBottom w:val="0"/>
      <w:divBdr>
        <w:top w:val="none" w:sz="0" w:space="0" w:color="auto"/>
        <w:left w:val="none" w:sz="0" w:space="0" w:color="auto"/>
        <w:bottom w:val="none" w:sz="0" w:space="0" w:color="auto"/>
        <w:right w:val="none" w:sz="0" w:space="0" w:color="auto"/>
      </w:divBdr>
    </w:div>
    <w:div w:id="2145728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0/cop-10-dec-29-fr.pdf" TargetMode="External"/><Relationship Id="rId26" Type="http://schemas.openxmlformats.org/officeDocument/2006/relationships/hyperlink" Target="https://www.cbd.int/doc/decisions/cop-13/cop-13-dec-12-fr.pdf" TargetMode="External"/><Relationship Id="rId3" Type="http://schemas.openxmlformats.org/officeDocument/2006/relationships/customXml" Target="../customXml/item3.xml"/><Relationship Id="rId21" Type="http://schemas.openxmlformats.org/officeDocument/2006/relationships/hyperlink" Target="https://www.cbd.int/doc/decisions/cop-13/cop-13-dec-12-fr.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www.cbd.int/doc/decisions/cop-12/cop-12-dec-22-fr.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bd.int/doc/decisions/cop-12/cop-12-dec-22-f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1/cop-11-dec-17-fr.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cbd.int/doc/decisions/cop-10/cop-10-dec-29-fr.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bd.int/doc/decisions/cop-11/cop-11-dec-17-fr.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4/cop-14-dec-09-fr.pdf" TargetMode="External"/><Relationship Id="rId27" Type="http://schemas.openxmlformats.org/officeDocument/2006/relationships/hyperlink" Target="https://www.cbd.int/doc/decisions/cop-14/cop-14-dec-09-fr.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EBAC812B83496E97E1ABC3F0E3F3B6"/>
        <w:category>
          <w:name w:val="General"/>
          <w:gallery w:val="placeholder"/>
        </w:category>
        <w:types>
          <w:type w:val="bbPlcHdr"/>
        </w:types>
        <w:behaviors>
          <w:behavior w:val="content"/>
        </w:behaviors>
        <w:guid w:val="{713E4A29-5A86-4F20-AE32-92C2D48FAD30}"/>
      </w:docPartPr>
      <w:docPartBody>
        <w:p w:rsidR="00C7725C" w:rsidRDefault="009C4259" w:rsidP="009C4259">
          <w:pPr>
            <w:pStyle w:val="CCEBAC812B83496E97E1ABC3F0E3F3B6"/>
          </w:pPr>
          <w:r w:rsidRPr="00B903A7">
            <w:rPr>
              <w:rStyle w:val="PlaceholderText"/>
            </w:rPr>
            <w:t>[Subject]</w:t>
          </w:r>
        </w:p>
      </w:docPartBody>
    </w:docPart>
    <w:docPart>
      <w:docPartPr>
        <w:name w:val="C5AB1214E1E440CDB9AB099ADBA57B21"/>
        <w:category>
          <w:name w:val="Général"/>
          <w:gallery w:val="placeholder"/>
        </w:category>
        <w:types>
          <w:type w:val="bbPlcHdr"/>
        </w:types>
        <w:behaviors>
          <w:behavior w:val="content"/>
        </w:behaviors>
        <w:guid w:val="{B69C547A-16F0-4BB3-A9E7-D5932CD6975B}"/>
      </w:docPartPr>
      <w:docPartBody>
        <w:p w:rsidR="00E04F51" w:rsidRDefault="003444AA" w:rsidP="003444AA">
          <w:pPr>
            <w:pStyle w:val="C5AB1214E1E440CDB9AB099ADBA57B21"/>
          </w:pPr>
          <w:r w:rsidRPr="007E02EB">
            <w:rPr>
              <w:rStyle w:val="PlaceholderText"/>
            </w:rPr>
            <w:t>[Title]</w:t>
          </w:r>
        </w:p>
      </w:docPartBody>
    </w:docPart>
    <w:docPart>
      <w:docPartPr>
        <w:name w:val="A3FF153218F24101881DADDDFBBF05CB"/>
        <w:category>
          <w:name w:val="General"/>
          <w:gallery w:val="placeholder"/>
        </w:category>
        <w:types>
          <w:type w:val="bbPlcHdr"/>
        </w:types>
        <w:behaviors>
          <w:behavior w:val="content"/>
        </w:behaviors>
        <w:guid w:val="{F6371369-3744-4802-BBBB-710647D19B3F}"/>
      </w:docPartPr>
      <w:docPartBody>
        <w:p w:rsidR="006F2F86" w:rsidRDefault="00C67D35" w:rsidP="00C67D35">
          <w:pPr>
            <w:pStyle w:val="A3FF153218F24101881DADDDFBBF05CB"/>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B6E87"/>
    <w:rsid w:val="000E2174"/>
    <w:rsid w:val="000E7D74"/>
    <w:rsid w:val="001301BE"/>
    <w:rsid w:val="003444AA"/>
    <w:rsid w:val="003B0BDA"/>
    <w:rsid w:val="004D2B79"/>
    <w:rsid w:val="00500A2B"/>
    <w:rsid w:val="0053024E"/>
    <w:rsid w:val="0058288D"/>
    <w:rsid w:val="005A135A"/>
    <w:rsid w:val="006801B3"/>
    <w:rsid w:val="006F2F86"/>
    <w:rsid w:val="00720F63"/>
    <w:rsid w:val="007F1B76"/>
    <w:rsid w:val="00810A55"/>
    <w:rsid w:val="008C6619"/>
    <w:rsid w:val="008D420E"/>
    <w:rsid w:val="00916BE2"/>
    <w:rsid w:val="0098642F"/>
    <w:rsid w:val="009A007D"/>
    <w:rsid w:val="009C4259"/>
    <w:rsid w:val="00A21AD9"/>
    <w:rsid w:val="00AE63DB"/>
    <w:rsid w:val="00B04C4E"/>
    <w:rsid w:val="00BB4FF9"/>
    <w:rsid w:val="00C67D35"/>
    <w:rsid w:val="00C7725C"/>
    <w:rsid w:val="00C82269"/>
    <w:rsid w:val="00CE6602"/>
    <w:rsid w:val="00D715F8"/>
    <w:rsid w:val="00DD25B6"/>
    <w:rsid w:val="00E04F51"/>
    <w:rsid w:val="00E95D66"/>
    <w:rsid w:val="00F8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67D35"/>
    <w:rPr>
      <w:color w:val="808080"/>
    </w:rPr>
  </w:style>
  <w:style w:type="paragraph" w:customStyle="1" w:styleId="C444DEE40D7C456B82AF1A09CD132ABF">
    <w:name w:val="C444DEE40D7C456B82AF1A09CD132ABF"/>
    <w:rsid w:val="00CE6602"/>
    <w:pPr>
      <w:spacing w:after="160" w:line="259" w:lineRule="auto"/>
    </w:pPr>
  </w:style>
  <w:style w:type="paragraph" w:customStyle="1" w:styleId="DE80AF16348D41C1920BC5680631636E">
    <w:name w:val="DE80AF16348D41C1920BC5680631636E"/>
    <w:rsid w:val="00AE63DB"/>
    <w:pPr>
      <w:spacing w:after="160" w:line="259" w:lineRule="auto"/>
    </w:pPr>
    <w:rPr>
      <w:lang w:val="en-CA" w:eastAsia="en-CA"/>
    </w:rPr>
  </w:style>
  <w:style w:type="paragraph" w:customStyle="1" w:styleId="CCEBAC812B83496E97E1ABC3F0E3F3B6">
    <w:name w:val="CCEBAC812B83496E97E1ABC3F0E3F3B6"/>
    <w:rsid w:val="009C4259"/>
    <w:pPr>
      <w:spacing w:after="160" w:line="259" w:lineRule="auto"/>
    </w:pPr>
    <w:rPr>
      <w:lang w:val="en-CA" w:eastAsia="en-CA"/>
    </w:rPr>
  </w:style>
  <w:style w:type="paragraph" w:customStyle="1" w:styleId="AE8E75BA95EB4118BAD281B7E2E5B221">
    <w:name w:val="AE8E75BA95EB4118BAD281B7E2E5B221"/>
    <w:rsid w:val="009C4259"/>
    <w:pPr>
      <w:spacing w:after="160" w:line="259" w:lineRule="auto"/>
    </w:pPr>
    <w:rPr>
      <w:lang w:val="en-CA" w:eastAsia="en-CA"/>
    </w:rPr>
  </w:style>
  <w:style w:type="paragraph" w:customStyle="1" w:styleId="1200E64632D7435FA72C354C69B43944">
    <w:name w:val="1200E64632D7435FA72C354C69B43944"/>
    <w:rsid w:val="003444AA"/>
    <w:pPr>
      <w:spacing w:after="160" w:line="259" w:lineRule="auto"/>
    </w:pPr>
    <w:rPr>
      <w:lang w:val="fr-CA" w:eastAsia="fr-CA"/>
    </w:rPr>
  </w:style>
  <w:style w:type="paragraph" w:customStyle="1" w:styleId="AB3ADC141FEA4D59A9ADF100B51D3AF7">
    <w:name w:val="AB3ADC141FEA4D59A9ADF100B51D3AF7"/>
    <w:rsid w:val="003444AA"/>
    <w:pPr>
      <w:spacing w:after="160" w:line="259" w:lineRule="auto"/>
    </w:pPr>
    <w:rPr>
      <w:lang w:val="fr-CA" w:eastAsia="fr-CA"/>
    </w:rPr>
  </w:style>
  <w:style w:type="paragraph" w:customStyle="1" w:styleId="C5AB1214E1E440CDB9AB099ADBA57B21">
    <w:name w:val="C5AB1214E1E440CDB9AB099ADBA57B21"/>
    <w:rsid w:val="003444AA"/>
    <w:pPr>
      <w:spacing w:after="160" w:line="259" w:lineRule="auto"/>
    </w:pPr>
    <w:rPr>
      <w:lang w:val="fr-CA" w:eastAsia="fr-CA"/>
    </w:rPr>
  </w:style>
  <w:style w:type="paragraph" w:customStyle="1" w:styleId="A3FF153218F24101881DADDDFBBF05CB">
    <w:name w:val="A3FF153218F24101881DADDDFBBF05CB"/>
    <w:rsid w:val="00C67D35"/>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81C4A5-50CA-4740-979D-98AC7B89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4787</Words>
  <Characters>27292</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RÉSULTATS DE L’ATELIER RÉGIONAL VISANT À FACILITER LA DESCRIPTION DES AIRES MARINES D’IMPORTANCE ÉCOLOGIQUE OU BIOLOGIQUE DANS L’OCÉAN ATLANTIQUE NORD-EST</vt:lpstr>
      <vt:lpstr>Results of the Regional Workshop to Facilitate the Description of Ecologically or Biologically Significant Marine Areas in the North-East Atlantic Ocean</vt:lpstr>
    </vt:vector>
  </TitlesOfParts>
  <Company>SCBD</Company>
  <LinksUpToDate>false</LinksUpToDate>
  <CharactersWithSpaces>32015</CharactersWithSpaces>
  <SharedDoc>false</SharedDoc>
  <HLinks>
    <vt:vector size="72" baseType="variant">
      <vt:variant>
        <vt:i4>3211374</vt:i4>
      </vt:variant>
      <vt:variant>
        <vt:i4>30</vt:i4>
      </vt:variant>
      <vt:variant>
        <vt:i4>0</vt:i4>
      </vt:variant>
      <vt:variant>
        <vt:i4>5</vt:i4>
      </vt:variant>
      <vt:variant>
        <vt:lpwstr>https://www.cbd.int/doc/c/aa9a/bde9/eaf24f73bd471d64e8094722/ebsa-ws-2018-01-04-en.pdf</vt:lpwstr>
      </vt:variant>
      <vt:variant>
        <vt:lpwstr/>
      </vt:variant>
      <vt:variant>
        <vt:i4>393290</vt:i4>
      </vt:variant>
      <vt:variant>
        <vt:i4>27</vt:i4>
      </vt:variant>
      <vt:variant>
        <vt:i4>0</vt:i4>
      </vt:variant>
      <vt:variant>
        <vt:i4>5</vt:i4>
      </vt:variant>
      <vt:variant>
        <vt:lpwstr>https://www.cbd.int/doc/decisions/cop-14/cop-14-dec-09-en.pdf</vt:lpwstr>
      </vt:variant>
      <vt:variant>
        <vt:lpwstr/>
      </vt:variant>
      <vt:variant>
        <vt:i4>655436</vt:i4>
      </vt:variant>
      <vt:variant>
        <vt:i4>24</vt:i4>
      </vt:variant>
      <vt:variant>
        <vt:i4>0</vt:i4>
      </vt:variant>
      <vt:variant>
        <vt:i4>5</vt:i4>
      </vt:variant>
      <vt:variant>
        <vt:lpwstr>https://www.cbd.int/doc/decisions/cop-13/cop-13-dec-12-en.pdf</vt:lpwstr>
      </vt:variant>
      <vt:variant>
        <vt:lpwstr/>
      </vt:variant>
      <vt:variant>
        <vt:i4>720974</vt:i4>
      </vt:variant>
      <vt:variant>
        <vt:i4>21</vt:i4>
      </vt:variant>
      <vt:variant>
        <vt:i4>0</vt:i4>
      </vt:variant>
      <vt:variant>
        <vt:i4>5</vt:i4>
      </vt:variant>
      <vt:variant>
        <vt:lpwstr>https://www.cbd.int/doc/decisions/cop-12/cop-12-dec-22-en.pdf</vt:lpwstr>
      </vt:variant>
      <vt:variant>
        <vt:lpwstr/>
      </vt:variant>
      <vt:variant>
        <vt:i4>852046</vt:i4>
      </vt:variant>
      <vt:variant>
        <vt:i4>18</vt:i4>
      </vt:variant>
      <vt:variant>
        <vt:i4>0</vt:i4>
      </vt:variant>
      <vt:variant>
        <vt:i4>5</vt:i4>
      </vt:variant>
      <vt:variant>
        <vt:lpwstr>https://www.cbd.int/doc/decisions/cop-11/cop-11-dec-17-en.pdf</vt:lpwstr>
      </vt:variant>
      <vt:variant>
        <vt:lpwstr/>
      </vt:variant>
      <vt:variant>
        <vt:i4>131148</vt:i4>
      </vt:variant>
      <vt:variant>
        <vt:i4>15</vt:i4>
      </vt:variant>
      <vt:variant>
        <vt:i4>0</vt:i4>
      </vt:variant>
      <vt:variant>
        <vt:i4>5</vt:i4>
      </vt:variant>
      <vt:variant>
        <vt:lpwstr>https://www.cbd.int/doc/decisions/cop-10/cop-10-dec-29-en.pdf</vt:lpwstr>
      </vt:variant>
      <vt:variant>
        <vt:lpwstr/>
      </vt:variant>
      <vt:variant>
        <vt:i4>393290</vt:i4>
      </vt:variant>
      <vt:variant>
        <vt:i4>12</vt:i4>
      </vt:variant>
      <vt:variant>
        <vt:i4>0</vt:i4>
      </vt:variant>
      <vt:variant>
        <vt:i4>5</vt:i4>
      </vt:variant>
      <vt:variant>
        <vt:lpwstr>https://www.cbd.int/doc/decisions/cop-14/cop-14-dec-09-en.pdf</vt:lpwstr>
      </vt:variant>
      <vt:variant>
        <vt:lpwstr/>
      </vt:variant>
      <vt:variant>
        <vt:i4>655436</vt:i4>
      </vt:variant>
      <vt:variant>
        <vt:i4>9</vt:i4>
      </vt:variant>
      <vt:variant>
        <vt:i4>0</vt:i4>
      </vt:variant>
      <vt:variant>
        <vt:i4>5</vt:i4>
      </vt:variant>
      <vt:variant>
        <vt:lpwstr>https://www.cbd.int/doc/decisions/cop-13/cop-13-dec-12-en.pdf</vt:lpwstr>
      </vt:variant>
      <vt:variant>
        <vt:lpwstr/>
      </vt:variant>
      <vt:variant>
        <vt:i4>720974</vt:i4>
      </vt:variant>
      <vt:variant>
        <vt:i4>6</vt:i4>
      </vt:variant>
      <vt:variant>
        <vt:i4>0</vt:i4>
      </vt:variant>
      <vt:variant>
        <vt:i4>5</vt:i4>
      </vt:variant>
      <vt:variant>
        <vt:lpwstr>https://www.cbd.int/doc/decisions/cop-12/cop-12-dec-22-en.pdf</vt:lpwstr>
      </vt:variant>
      <vt:variant>
        <vt:lpwstr/>
      </vt:variant>
      <vt:variant>
        <vt:i4>852046</vt:i4>
      </vt:variant>
      <vt:variant>
        <vt:i4>3</vt:i4>
      </vt:variant>
      <vt:variant>
        <vt:i4>0</vt:i4>
      </vt:variant>
      <vt:variant>
        <vt:i4>5</vt:i4>
      </vt:variant>
      <vt:variant>
        <vt:lpwstr>https://www.cbd.int/doc/decisions/cop-11/cop-11-dec-17-en.pdf</vt:lpwstr>
      </vt:variant>
      <vt:variant>
        <vt:lpwstr/>
      </vt:variant>
      <vt:variant>
        <vt:i4>131148</vt:i4>
      </vt:variant>
      <vt:variant>
        <vt:i4>0</vt:i4>
      </vt:variant>
      <vt:variant>
        <vt:i4>0</vt:i4>
      </vt:variant>
      <vt:variant>
        <vt:i4>5</vt:i4>
      </vt:variant>
      <vt:variant>
        <vt:lpwstr>https://www.cbd.int/doc/decisions/cop-10/cop-10-dec-29-en.pdf</vt:lpwstr>
      </vt:variant>
      <vt:variant>
        <vt:lpwstr/>
      </vt:variant>
      <vt:variant>
        <vt:i4>4718685</vt:i4>
      </vt:variant>
      <vt:variant>
        <vt:i4>0</vt:i4>
      </vt:variant>
      <vt:variant>
        <vt:i4>0</vt:i4>
      </vt:variant>
      <vt:variant>
        <vt:i4>5</vt:i4>
      </vt:variant>
      <vt:variant>
        <vt:lpwstr>http://www.un.org/depts/los/convention_agreements/texts/unclos/unclos_e.pdf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RÉSULTATS DE L’ATELIER RÉGIONAL VISANT À FACILITER LA DESCRIPTION DES AIRES MARINES D’IMPORTANCE ÉCOLOGIQUE OU BIOLOGIQUE DANS l’ATLANTIQUE NORD-EST</dc:title>
  <dc:subject>CBD/SBSTTA/REC/23/4</dc:subject>
  <dc:creator>SBSTTA-23</dc:creator>
  <cp:keywords>Convention on Biological Diversity, Subsidiary Body on Scientific, Technical and Technological Advice, twenty-third meeting, Montreal, Canada, 25-29 November 2019</cp:keywords>
  <cp:lastModifiedBy>Guyonne</cp:lastModifiedBy>
  <cp:revision>10</cp:revision>
  <dcterms:created xsi:type="dcterms:W3CDTF">2020-01-28T07:54:00Z</dcterms:created>
  <dcterms:modified xsi:type="dcterms:W3CDTF">2020-02-04T12:03:00Z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