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000"/>
        <w:gridCol w:w="3121"/>
      </w:tblGrid>
      <w:tr w:rsidR="00373D9E" w:rsidRPr="00373D9E" w14:paraId="0044383F" w14:textId="77777777" w:rsidTr="000D68CE">
        <w:tc>
          <w:tcPr>
            <w:tcW w:w="993" w:type="dxa"/>
            <w:tcBorders>
              <w:top w:val="nil"/>
              <w:bottom w:val="single" w:sz="12" w:space="0" w:color="000000"/>
              <w:right w:val="nil"/>
            </w:tcBorders>
          </w:tcPr>
          <w:p w14:paraId="3A3FF6B6" w14:textId="650D1624" w:rsidR="00373D9E" w:rsidRPr="00373D9E" w:rsidRDefault="00601E90" w:rsidP="00A01789">
            <w:pPr>
              <w:spacing w:before="0" w:line="480" w:lineRule="auto"/>
              <w:rPr>
                <w:snapToGrid w:val="0"/>
                <w:kern w:val="22"/>
                <w:sz w:val="22"/>
                <w:lang w:eastAsia="en-US"/>
              </w:rPr>
            </w:pPr>
            <w:r>
              <w:rPr>
                <w:noProof/>
                <w:lang w:val="en-US"/>
              </w:rPr>
              <w:drawing>
                <wp:inline distT="0" distB="0" distL="0" distR="0" wp14:anchorId="4217569E" wp14:editId="1462C8B0">
                  <wp:extent cx="478155" cy="407670"/>
                  <wp:effectExtent l="0" t="0" r="0" b="0"/>
                  <wp:docPr id="9" name="Picture 9"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155" cy="407670"/>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42E87D82" w14:textId="77777777" w:rsidR="00373D9E" w:rsidRPr="00373D9E" w:rsidRDefault="00373D9E" w:rsidP="00373D9E">
            <w:pPr>
              <w:spacing w:before="0" w:after="0" w:line="240" w:lineRule="auto"/>
              <w:rPr>
                <w:snapToGrid w:val="0"/>
                <w:kern w:val="22"/>
                <w:sz w:val="22"/>
                <w:lang w:eastAsia="en-US"/>
              </w:rPr>
            </w:pPr>
            <w:r w:rsidRPr="00373D9E">
              <w:rPr>
                <w:noProof/>
                <w:snapToGrid w:val="0"/>
                <w:kern w:val="22"/>
                <w:sz w:val="22"/>
                <w:lang w:val="en-US"/>
              </w:rPr>
              <w:drawing>
                <wp:inline distT="0" distB="0" distL="0" distR="0" wp14:anchorId="563937DF" wp14:editId="6C2157FA">
                  <wp:extent cx="434975" cy="50927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975" cy="509270"/>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6C23B273" w14:textId="77777777" w:rsidR="00373D9E" w:rsidRPr="00373D9E" w:rsidRDefault="00373D9E" w:rsidP="00373D9E">
            <w:pPr>
              <w:tabs>
                <w:tab w:val="right" w:pos="7611"/>
              </w:tabs>
              <w:spacing w:before="0" w:after="0" w:line="240" w:lineRule="auto"/>
              <w:ind w:left="360" w:right="459"/>
              <w:jc w:val="right"/>
              <w:rPr>
                <w:rFonts w:ascii="Univers" w:hAnsi="Univers"/>
                <w:b/>
                <w:snapToGrid w:val="0"/>
                <w:kern w:val="22"/>
                <w:sz w:val="32"/>
                <w:lang w:eastAsia="en-US"/>
              </w:rPr>
            </w:pPr>
            <w:r w:rsidRPr="00373D9E">
              <w:rPr>
                <w:rFonts w:ascii="Univers" w:hAnsi="Univers"/>
                <w:b/>
                <w:snapToGrid w:val="0"/>
                <w:kern w:val="22"/>
                <w:sz w:val="32"/>
                <w:lang w:eastAsia="en-US"/>
              </w:rPr>
              <w:t>CBD</w:t>
            </w:r>
          </w:p>
          <w:p w14:paraId="3081D7E5" w14:textId="77777777" w:rsidR="00373D9E" w:rsidRPr="00373D9E" w:rsidRDefault="00373D9E" w:rsidP="00373D9E">
            <w:pPr>
              <w:spacing w:before="0" w:after="0" w:line="240" w:lineRule="auto"/>
              <w:jc w:val="left"/>
              <w:rPr>
                <w:b/>
                <w:snapToGrid w:val="0"/>
                <w:kern w:val="22"/>
                <w:sz w:val="28"/>
                <w:lang w:eastAsia="en-US"/>
              </w:rPr>
            </w:pPr>
          </w:p>
        </w:tc>
      </w:tr>
      <w:tr w:rsidR="00373D9E" w:rsidRPr="00373D9E" w14:paraId="2FE1CE36" w14:textId="77777777" w:rsidTr="00261A19">
        <w:trPr>
          <w:trHeight w:val="1693"/>
        </w:trPr>
        <w:tc>
          <w:tcPr>
            <w:tcW w:w="6227" w:type="dxa"/>
            <w:gridSpan w:val="3"/>
            <w:tcBorders>
              <w:top w:val="nil"/>
              <w:bottom w:val="single" w:sz="36" w:space="0" w:color="000000"/>
            </w:tcBorders>
          </w:tcPr>
          <w:p w14:paraId="542E8A60" w14:textId="77777777" w:rsidR="00373D9E" w:rsidRPr="00373D9E" w:rsidRDefault="00373D9E" w:rsidP="00373D9E">
            <w:pPr>
              <w:spacing w:before="0" w:after="0" w:line="240" w:lineRule="auto"/>
              <w:rPr>
                <w:snapToGrid w:val="0"/>
                <w:kern w:val="22"/>
                <w:sz w:val="22"/>
                <w:lang w:eastAsia="en-US"/>
              </w:rPr>
            </w:pPr>
          </w:p>
          <w:p w14:paraId="187F5547" w14:textId="77777777" w:rsidR="00373D9E" w:rsidRPr="00373D9E" w:rsidRDefault="00373D9E" w:rsidP="00373D9E">
            <w:pPr>
              <w:spacing w:before="0" w:after="0" w:line="240" w:lineRule="auto"/>
              <w:rPr>
                <w:rFonts w:ascii="Univers" w:hAnsi="Univers"/>
                <w:snapToGrid w:val="0"/>
                <w:kern w:val="22"/>
                <w:sz w:val="32"/>
                <w:lang w:eastAsia="en-US"/>
              </w:rPr>
            </w:pPr>
            <w:r w:rsidRPr="00373D9E">
              <w:rPr>
                <w:b/>
                <w:noProof/>
                <w:lang w:val="en-US"/>
              </w:rPr>
              <w:drawing>
                <wp:inline distT="0" distB="0" distL="0" distR="0" wp14:anchorId="5638F639" wp14:editId="624AD1D4">
                  <wp:extent cx="3000375" cy="107759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1077595"/>
                          </a:xfrm>
                          <a:prstGeom prst="rect">
                            <a:avLst/>
                          </a:prstGeom>
                          <a:noFill/>
                          <a:ln>
                            <a:noFill/>
                          </a:ln>
                        </pic:spPr>
                      </pic:pic>
                    </a:graphicData>
                  </a:graphic>
                </wp:inline>
              </w:drawing>
            </w:r>
          </w:p>
          <w:p w14:paraId="67F742D5" w14:textId="77777777" w:rsidR="00373D9E" w:rsidRPr="00373D9E" w:rsidRDefault="00373D9E" w:rsidP="00373D9E">
            <w:pPr>
              <w:spacing w:before="0" w:after="0" w:line="240" w:lineRule="auto"/>
              <w:ind w:firstLine="720"/>
              <w:rPr>
                <w:rFonts w:ascii="Univers" w:hAnsi="Univers"/>
                <w:sz w:val="32"/>
                <w:lang w:eastAsia="en-US"/>
              </w:rPr>
            </w:pPr>
            <w:r w:rsidRPr="00373D9E">
              <w:rPr>
                <w:rFonts w:ascii="Univers" w:hAnsi="Univers"/>
                <w:sz w:val="32"/>
                <w:lang w:eastAsia="en-US"/>
              </w:rPr>
              <w:t xml:space="preserve">   </w:t>
            </w:r>
          </w:p>
        </w:tc>
        <w:tc>
          <w:tcPr>
            <w:tcW w:w="1000" w:type="dxa"/>
            <w:tcBorders>
              <w:top w:val="nil"/>
              <w:bottom w:val="single" w:sz="36" w:space="0" w:color="000000"/>
            </w:tcBorders>
          </w:tcPr>
          <w:p w14:paraId="13CBCE82" w14:textId="77777777" w:rsidR="00373D9E" w:rsidRPr="00373D9E" w:rsidRDefault="00373D9E" w:rsidP="00373D9E">
            <w:pPr>
              <w:spacing w:before="0" w:after="0" w:line="240" w:lineRule="auto"/>
              <w:rPr>
                <w:bCs/>
                <w:snapToGrid w:val="0"/>
                <w:kern w:val="22"/>
                <w:sz w:val="32"/>
                <w:szCs w:val="32"/>
                <w:lang w:eastAsia="en-US"/>
              </w:rPr>
            </w:pPr>
          </w:p>
        </w:tc>
        <w:tc>
          <w:tcPr>
            <w:tcW w:w="3121" w:type="dxa"/>
            <w:tcBorders>
              <w:top w:val="nil"/>
              <w:bottom w:val="single" w:sz="36" w:space="0" w:color="000000"/>
            </w:tcBorders>
          </w:tcPr>
          <w:p w14:paraId="01404465" w14:textId="77777777" w:rsidR="00261A19" w:rsidRPr="00261A19" w:rsidRDefault="00261A19" w:rsidP="00261A19">
            <w:pPr>
              <w:spacing w:after="0" w:line="240" w:lineRule="auto"/>
              <w:ind w:left="58"/>
              <w:rPr>
                <w:snapToGrid w:val="0"/>
                <w:kern w:val="22"/>
                <w:szCs w:val="22"/>
                <w:lang w:val="en-US" w:eastAsia="en-US"/>
              </w:rPr>
            </w:pPr>
            <w:r w:rsidRPr="00261A19">
              <w:rPr>
                <w:snapToGrid w:val="0"/>
                <w:kern w:val="22"/>
                <w:szCs w:val="22"/>
                <w:lang w:val="en-US" w:eastAsia="en-US"/>
              </w:rPr>
              <w:t>Distr.</w:t>
            </w:r>
          </w:p>
          <w:p w14:paraId="198C99D4" w14:textId="77777777" w:rsidR="00261A19" w:rsidRPr="00261A19" w:rsidRDefault="00261A19" w:rsidP="00261A19">
            <w:pPr>
              <w:spacing w:before="0" w:after="0" w:line="240" w:lineRule="auto"/>
              <w:ind w:left="63"/>
              <w:rPr>
                <w:snapToGrid w:val="0"/>
                <w:kern w:val="22"/>
                <w:szCs w:val="22"/>
                <w:lang w:val="en-US" w:eastAsia="en-US"/>
              </w:rPr>
            </w:pPr>
            <w:r w:rsidRPr="00261A19">
              <w:rPr>
                <w:snapToGrid w:val="0"/>
                <w:kern w:val="22"/>
                <w:szCs w:val="22"/>
                <w:lang w:val="en-US" w:eastAsia="en-US"/>
              </w:rPr>
              <w:t>GENERAL</w:t>
            </w:r>
          </w:p>
          <w:p w14:paraId="41F62A44" w14:textId="77777777" w:rsidR="00261A19" w:rsidRPr="00261A19" w:rsidRDefault="00261A19" w:rsidP="00261A19">
            <w:pPr>
              <w:spacing w:before="0" w:after="0" w:line="240" w:lineRule="auto"/>
              <w:ind w:left="63"/>
              <w:rPr>
                <w:snapToGrid w:val="0"/>
                <w:kern w:val="22"/>
                <w:szCs w:val="22"/>
                <w:lang w:val="en-US" w:eastAsia="en-US"/>
              </w:rPr>
            </w:pPr>
          </w:p>
          <w:p w14:paraId="1BC0464A" w14:textId="19F7E65E" w:rsidR="00261A19" w:rsidRPr="00261A19" w:rsidRDefault="00261A19" w:rsidP="00261A19">
            <w:pPr>
              <w:spacing w:before="0" w:after="0" w:line="240" w:lineRule="auto"/>
              <w:ind w:left="63"/>
              <w:rPr>
                <w:snapToGrid w:val="0"/>
                <w:kern w:val="22"/>
                <w:szCs w:val="22"/>
                <w:lang w:val="en-US" w:eastAsia="en-US"/>
              </w:rPr>
            </w:pPr>
            <w:r w:rsidRPr="00261A19">
              <w:rPr>
                <w:rFonts w:eastAsia="Times New Roman"/>
                <w:snapToGrid w:val="0"/>
                <w:kern w:val="22"/>
                <w:szCs w:val="22"/>
                <w:lang w:val="en-US" w:eastAsia="en-US"/>
              </w:rPr>
              <w:t>CBD/SBSTTA/REC/23/</w:t>
            </w:r>
            <w:r w:rsidR="00275726">
              <w:rPr>
                <w:rFonts w:eastAsia="Times New Roman"/>
                <w:snapToGrid w:val="0"/>
                <w:kern w:val="22"/>
                <w:szCs w:val="22"/>
                <w:lang w:val="en-US" w:eastAsia="en-US"/>
              </w:rPr>
              <w:t>3</w:t>
            </w:r>
          </w:p>
          <w:p w14:paraId="3A553CEE" w14:textId="5F87AE68" w:rsidR="00261A19" w:rsidRPr="00261A19" w:rsidRDefault="00275726" w:rsidP="00261A19">
            <w:pPr>
              <w:spacing w:before="0" w:after="0" w:line="240" w:lineRule="auto"/>
              <w:ind w:left="63"/>
              <w:rPr>
                <w:snapToGrid w:val="0"/>
                <w:kern w:val="22"/>
                <w:szCs w:val="22"/>
                <w:lang w:eastAsia="en-US"/>
              </w:rPr>
            </w:pPr>
            <w:r>
              <w:rPr>
                <w:rFonts w:eastAsia="Times New Roman"/>
                <w:snapToGrid w:val="0"/>
                <w:kern w:val="22"/>
                <w:szCs w:val="22"/>
                <w:lang w:eastAsia="en-US"/>
              </w:rPr>
              <w:t>29</w:t>
            </w:r>
            <w:r w:rsidR="00261A19" w:rsidRPr="00261A19">
              <w:rPr>
                <w:rFonts w:eastAsia="Times New Roman"/>
                <w:snapToGrid w:val="0"/>
                <w:kern w:val="22"/>
                <w:szCs w:val="22"/>
                <w:lang w:eastAsia="en-US"/>
              </w:rPr>
              <w:t xml:space="preserve"> November 2019</w:t>
            </w:r>
          </w:p>
          <w:p w14:paraId="730F4B34" w14:textId="77777777" w:rsidR="00261A19" w:rsidRPr="00261A19" w:rsidRDefault="00261A19" w:rsidP="00261A19">
            <w:pPr>
              <w:spacing w:before="0" w:after="0" w:line="240" w:lineRule="auto"/>
              <w:ind w:left="63"/>
              <w:rPr>
                <w:snapToGrid w:val="0"/>
                <w:kern w:val="22"/>
                <w:szCs w:val="22"/>
                <w:lang w:eastAsia="en-US"/>
              </w:rPr>
            </w:pPr>
          </w:p>
          <w:p w14:paraId="2CC4F471" w14:textId="77777777" w:rsidR="00261A19" w:rsidRPr="00261A19" w:rsidRDefault="00261A19" w:rsidP="00261A19">
            <w:pPr>
              <w:spacing w:before="0" w:after="0" w:line="240" w:lineRule="auto"/>
              <w:ind w:left="63"/>
              <w:rPr>
                <w:snapToGrid w:val="0"/>
                <w:kern w:val="22"/>
                <w:szCs w:val="22"/>
                <w:lang w:eastAsia="en-US"/>
              </w:rPr>
            </w:pPr>
            <w:r w:rsidRPr="00261A19">
              <w:rPr>
                <w:snapToGrid w:val="0"/>
                <w:kern w:val="22"/>
                <w:szCs w:val="22"/>
                <w:lang w:eastAsia="en-US"/>
              </w:rPr>
              <w:t>CHINESE</w:t>
            </w:r>
          </w:p>
          <w:p w14:paraId="7EB2E400" w14:textId="776D670E" w:rsidR="00373D9E" w:rsidRPr="00261A19" w:rsidRDefault="00261A19" w:rsidP="00261A19">
            <w:pPr>
              <w:spacing w:before="0" w:line="240" w:lineRule="auto"/>
              <w:ind w:left="58"/>
              <w:rPr>
                <w:snapToGrid w:val="0"/>
                <w:kern w:val="22"/>
                <w:szCs w:val="22"/>
                <w:u w:val="single"/>
                <w:lang w:eastAsia="en-US"/>
              </w:rPr>
            </w:pPr>
            <w:r w:rsidRPr="00261A19">
              <w:rPr>
                <w:snapToGrid w:val="0"/>
                <w:kern w:val="22"/>
                <w:szCs w:val="22"/>
                <w:lang w:eastAsia="en-US"/>
              </w:rPr>
              <w:t>ORIGINAL:  ENGLISH</w:t>
            </w:r>
          </w:p>
        </w:tc>
      </w:tr>
    </w:tbl>
    <w:p w14:paraId="092A6A2A" w14:textId="6D2979BD" w:rsidR="00534EE9" w:rsidRPr="00534EE9" w:rsidRDefault="00534EE9" w:rsidP="00556BCA">
      <w:pPr>
        <w:overflowPunct w:val="0"/>
        <w:autoSpaceDE w:val="0"/>
        <w:autoSpaceDN w:val="0"/>
        <w:spacing w:before="60" w:after="0" w:line="240" w:lineRule="auto"/>
        <w:ind w:right="4536"/>
        <w:jc w:val="left"/>
      </w:pPr>
      <w:r w:rsidRPr="00534EE9">
        <w:t>科学、技术和工艺咨询附属机构</w:t>
      </w:r>
    </w:p>
    <w:p w14:paraId="3B3790FE" w14:textId="77777777" w:rsidR="00534EE9" w:rsidRPr="00534EE9" w:rsidRDefault="00534EE9" w:rsidP="00534EE9">
      <w:pPr>
        <w:spacing w:before="0" w:after="0" w:line="240" w:lineRule="auto"/>
        <w:ind w:right="4115"/>
        <w:jc w:val="left"/>
      </w:pPr>
      <w:r w:rsidRPr="00534EE9">
        <w:t>第二十</w:t>
      </w:r>
      <w:r w:rsidRPr="00534EE9">
        <w:rPr>
          <w:rFonts w:hint="eastAsia"/>
        </w:rPr>
        <w:t>三</w:t>
      </w:r>
      <w:r w:rsidRPr="00534EE9">
        <w:t>次会议</w:t>
      </w:r>
    </w:p>
    <w:p w14:paraId="5DC241E7" w14:textId="12D4F6CA" w:rsidR="00534EE9" w:rsidRDefault="00534EE9" w:rsidP="00534EE9">
      <w:pPr>
        <w:spacing w:before="0" w:after="0" w:line="240" w:lineRule="auto"/>
        <w:ind w:right="4115"/>
        <w:jc w:val="left"/>
      </w:pPr>
      <w:r w:rsidRPr="00534EE9">
        <w:rPr>
          <w:rFonts w:hint="eastAsia"/>
        </w:rPr>
        <w:t>201</w:t>
      </w:r>
      <w:r w:rsidRPr="00534EE9">
        <w:t>9</w:t>
      </w:r>
      <w:r w:rsidRPr="00534EE9">
        <w:rPr>
          <w:rFonts w:hint="eastAsia"/>
        </w:rPr>
        <w:t>年</w:t>
      </w:r>
      <w:r w:rsidRPr="00534EE9">
        <w:t>11</w:t>
      </w:r>
      <w:r w:rsidRPr="00534EE9">
        <w:rPr>
          <w:rFonts w:hint="eastAsia"/>
        </w:rPr>
        <w:t>月</w:t>
      </w:r>
      <w:r w:rsidRPr="00534EE9">
        <w:rPr>
          <w:rFonts w:hint="eastAsia"/>
        </w:rPr>
        <w:t>2</w:t>
      </w:r>
      <w:r w:rsidRPr="00534EE9">
        <w:t>5</w:t>
      </w:r>
      <w:r w:rsidRPr="00534EE9">
        <w:rPr>
          <w:rFonts w:hint="eastAsia"/>
        </w:rPr>
        <w:t>日至</w:t>
      </w:r>
      <w:r w:rsidRPr="00534EE9">
        <w:t>29</w:t>
      </w:r>
      <w:r w:rsidRPr="00534EE9">
        <w:rPr>
          <w:rFonts w:hint="eastAsia"/>
        </w:rPr>
        <w:t>日，加拿大蒙特利尔</w:t>
      </w:r>
    </w:p>
    <w:p w14:paraId="0F0C5CDB" w14:textId="2F12925A" w:rsidR="00CE79D4" w:rsidRPr="00534EE9" w:rsidRDefault="00CE79D4" w:rsidP="00534EE9">
      <w:pPr>
        <w:spacing w:before="0" w:after="0" w:line="240" w:lineRule="auto"/>
        <w:ind w:right="4115"/>
        <w:jc w:val="left"/>
      </w:pPr>
      <w:r>
        <w:rPr>
          <w:rFonts w:hint="eastAsia"/>
        </w:rPr>
        <w:t>议程项目</w:t>
      </w:r>
      <w:r w:rsidR="00275726">
        <w:t>6</w:t>
      </w:r>
    </w:p>
    <w:p w14:paraId="30A67C96" w14:textId="77777777" w:rsidR="00E50CB6" w:rsidRPr="00486DAB" w:rsidRDefault="00E50CB6" w:rsidP="00E50CB6">
      <w:pPr>
        <w:pStyle w:val="bodytextnoindent"/>
        <w:widowControl w:val="0"/>
        <w:tabs>
          <w:tab w:val="clear" w:pos="360"/>
          <w:tab w:val="left" w:pos="720"/>
        </w:tabs>
        <w:overflowPunct w:val="0"/>
        <w:autoSpaceDE w:val="0"/>
        <w:autoSpaceDN w:val="0"/>
        <w:adjustRightInd w:val="0"/>
        <w:spacing w:before="240" w:after="240"/>
        <w:jc w:val="center"/>
        <w:textAlignment w:val="baseline"/>
        <w:rPr>
          <w:rFonts w:ascii="SimHei" w:eastAsia="SimHei" w:hAnsi="SimHei"/>
          <w:b/>
          <w:bCs/>
          <w:sz w:val="28"/>
          <w:lang w:eastAsia="zh-CN"/>
        </w:rPr>
      </w:pPr>
      <w:r w:rsidRPr="00486DAB">
        <w:rPr>
          <w:rFonts w:ascii="SimHei" w:eastAsia="SimHei" w:hAnsi="SimHei"/>
          <w:b/>
          <w:bCs/>
          <w:sz w:val="28"/>
          <w:lang w:eastAsia="zh-CN"/>
        </w:rPr>
        <w:t>科学、技术和工艺咨询附属机构</w:t>
      </w:r>
      <w:r>
        <w:rPr>
          <w:rFonts w:ascii="SimHei" w:eastAsia="SimHei" w:hAnsi="SimHei" w:hint="eastAsia"/>
          <w:b/>
          <w:bCs/>
          <w:sz w:val="28"/>
          <w:lang w:eastAsia="zh-CN"/>
        </w:rPr>
        <w:t>通过</w:t>
      </w:r>
      <w:r>
        <w:rPr>
          <w:rFonts w:ascii="SimHei" w:eastAsia="SimHei" w:hAnsi="SimHei"/>
          <w:b/>
          <w:bCs/>
          <w:sz w:val="28"/>
          <w:lang w:eastAsia="zh-CN"/>
        </w:rPr>
        <w:t>的建议</w:t>
      </w:r>
    </w:p>
    <w:p w14:paraId="70C2A2C7" w14:textId="21761E27" w:rsidR="007B5A7F" w:rsidRPr="007B5A7F" w:rsidRDefault="00E50CB6" w:rsidP="007B5A7F">
      <w:pPr>
        <w:pStyle w:val="bodytextnoindent"/>
        <w:widowControl w:val="0"/>
        <w:tabs>
          <w:tab w:val="clear" w:pos="360"/>
          <w:tab w:val="left" w:pos="720"/>
        </w:tabs>
        <w:overflowPunct w:val="0"/>
        <w:autoSpaceDE w:val="0"/>
        <w:autoSpaceDN w:val="0"/>
        <w:adjustRightInd w:val="0"/>
        <w:jc w:val="center"/>
        <w:textAlignment w:val="baseline"/>
        <w:rPr>
          <w:rFonts w:ascii="SimHei" w:eastAsia="SimHei" w:hAnsi="SimHei"/>
          <w:b/>
          <w:bCs/>
          <w:sz w:val="24"/>
          <w:lang w:eastAsia="zh-CN"/>
        </w:rPr>
      </w:pPr>
      <w:r>
        <w:rPr>
          <w:rFonts w:ascii="SimHei" w:eastAsia="SimHei" w:hAnsi="SimHei" w:hint="eastAsia"/>
          <w:b/>
          <w:bCs/>
          <w:sz w:val="24"/>
          <w:lang w:eastAsia="zh-CN"/>
        </w:rPr>
        <w:t>23/</w:t>
      </w:r>
      <w:r w:rsidR="000174FB">
        <w:rPr>
          <w:rFonts w:ascii="SimHei" w:eastAsia="SimHei" w:hAnsi="SimHei"/>
          <w:b/>
          <w:bCs/>
          <w:sz w:val="24"/>
          <w:lang w:eastAsia="zh-CN"/>
        </w:rPr>
        <w:t>3</w:t>
      </w:r>
      <w:r>
        <w:rPr>
          <w:rFonts w:ascii="SimHei" w:eastAsia="SimHei" w:hAnsi="SimHei"/>
          <w:b/>
          <w:bCs/>
          <w:sz w:val="24"/>
          <w:lang w:eastAsia="zh-CN"/>
        </w:rPr>
        <w:t>.</w:t>
      </w:r>
      <w:r>
        <w:rPr>
          <w:rFonts w:ascii="SimHei" w:eastAsia="SimHei" w:hAnsi="SimHei"/>
          <w:b/>
          <w:bCs/>
          <w:sz w:val="24"/>
          <w:lang w:eastAsia="zh-CN"/>
        </w:rPr>
        <w:tab/>
        <w:t xml:space="preserve"> </w:t>
      </w:r>
      <w:r w:rsidR="007B5A7F" w:rsidRPr="007B5A7F">
        <w:rPr>
          <w:rFonts w:ascii="SimHei" w:eastAsia="SimHei" w:hAnsi="SimHei" w:hint="eastAsia"/>
          <w:b/>
          <w:bCs/>
          <w:sz w:val="24"/>
          <w:lang w:eastAsia="zh-CN"/>
        </w:rPr>
        <w:t>可持续野生动物管理</w:t>
      </w:r>
    </w:p>
    <w:p w14:paraId="420562C3" w14:textId="18B149FA" w:rsidR="007B5A7F" w:rsidRDefault="001625A5" w:rsidP="00485F9F">
      <w:pPr>
        <w:pStyle w:val="bodytextnoindent"/>
        <w:tabs>
          <w:tab w:val="clear" w:pos="360"/>
        </w:tabs>
        <w:spacing w:line="259" w:lineRule="auto"/>
        <w:ind w:firstLine="720"/>
        <w:rPr>
          <w:i/>
          <w:iCs/>
          <w:sz w:val="24"/>
          <w:lang w:val="en-US" w:eastAsia="zh-CN"/>
        </w:rPr>
      </w:pPr>
      <w:r w:rsidRPr="00261A19">
        <w:rPr>
          <w:rFonts w:ascii="KaiTi" w:eastAsia="KaiTi" w:hAnsi="KaiTi"/>
          <w:iCs/>
          <w:sz w:val="24"/>
          <w:lang w:val="en-US" w:eastAsia="zh-CN"/>
        </w:rPr>
        <w:t>科学、技术和工艺咨询附属机构</w:t>
      </w:r>
      <w:r w:rsidR="007B5A7F" w:rsidRPr="007B5A7F">
        <w:rPr>
          <w:rFonts w:hint="eastAsia"/>
          <w:iCs/>
          <w:sz w:val="24"/>
          <w:lang w:val="en-US" w:eastAsia="zh-CN"/>
        </w:rPr>
        <w:t>，</w:t>
      </w:r>
    </w:p>
    <w:p w14:paraId="63AA997F" w14:textId="3CC5ADF2" w:rsidR="007B5A7F" w:rsidRDefault="007B5A7F" w:rsidP="00485F9F">
      <w:pPr>
        <w:pStyle w:val="bodytextnoindent"/>
        <w:widowControl w:val="0"/>
        <w:tabs>
          <w:tab w:val="clear" w:pos="360"/>
        </w:tabs>
        <w:overflowPunct w:val="0"/>
        <w:autoSpaceDE w:val="0"/>
        <w:autoSpaceDN w:val="0"/>
        <w:adjustRightInd w:val="0"/>
        <w:spacing w:line="256" w:lineRule="auto"/>
        <w:ind w:firstLine="720"/>
        <w:textAlignment w:val="baseline"/>
        <w:rPr>
          <w:i/>
          <w:iCs/>
          <w:sz w:val="24"/>
          <w:lang w:eastAsia="zh-CN"/>
        </w:rPr>
      </w:pPr>
      <w:r>
        <w:rPr>
          <w:rFonts w:eastAsia="KaiTi" w:hint="eastAsia"/>
          <w:sz w:val="24"/>
          <w:lang w:val="en-US" w:eastAsia="zh-CN"/>
        </w:rPr>
        <w:t>回顾</w:t>
      </w:r>
      <w:r>
        <w:rPr>
          <w:rFonts w:hint="eastAsia"/>
          <w:sz w:val="24"/>
          <w:lang w:val="en-US" w:eastAsia="zh-CN"/>
        </w:rPr>
        <w:t>第</w:t>
      </w:r>
      <w:hyperlink r:id="rId11" w:history="1">
        <w:r w:rsidR="001E05B8" w:rsidRPr="001E05B8">
          <w:rPr>
            <w:rStyle w:val="Hyperlink"/>
            <w:kern w:val="22"/>
            <w:sz w:val="24"/>
            <w:szCs w:val="22"/>
          </w:rPr>
          <w:t>14/7</w:t>
        </w:r>
      </w:hyperlink>
      <w:r>
        <w:rPr>
          <w:rFonts w:hint="eastAsia"/>
          <w:sz w:val="24"/>
          <w:lang w:eastAsia="zh-CN"/>
        </w:rPr>
        <w:t>号决定，</w:t>
      </w:r>
    </w:p>
    <w:p w14:paraId="22CF81FE" w14:textId="43F32C71" w:rsidR="007B5A7F" w:rsidRDefault="007B5A7F" w:rsidP="00485F9F">
      <w:pPr>
        <w:pStyle w:val="ListParagraph"/>
        <w:numPr>
          <w:ilvl w:val="0"/>
          <w:numId w:val="32"/>
        </w:numPr>
        <w:tabs>
          <w:tab w:val="left" w:pos="1440"/>
        </w:tabs>
        <w:spacing w:line="256" w:lineRule="auto"/>
        <w:ind w:left="0" w:firstLine="720"/>
      </w:pPr>
      <w:r>
        <w:rPr>
          <w:rFonts w:eastAsia="KaiTi" w:hint="eastAsia"/>
        </w:rPr>
        <w:t>注意到</w:t>
      </w:r>
      <w:r>
        <w:rPr>
          <w:rFonts w:hint="eastAsia"/>
        </w:rPr>
        <w:t>执行秘书关于根据第</w:t>
      </w:r>
      <w:r>
        <w:t>14/7</w:t>
      </w:r>
      <w:r>
        <w:rPr>
          <w:rFonts w:hint="eastAsia"/>
        </w:rPr>
        <w:t>号决定所采取行动的说明及其相关资料文件中提供的信息；</w:t>
      </w:r>
      <w:r w:rsidR="00DF413F" w:rsidRPr="001E05B8">
        <w:rPr>
          <w:rStyle w:val="FootnoteReference"/>
          <w:sz w:val="24"/>
          <w:u w:val="none"/>
        </w:rPr>
        <w:footnoteReference w:id="1"/>
      </w:r>
    </w:p>
    <w:p w14:paraId="4F7EFA0D" w14:textId="42FCDD2B" w:rsidR="00DF413F" w:rsidRPr="00DF413F" w:rsidRDefault="00DF413F" w:rsidP="00485F9F">
      <w:pPr>
        <w:pStyle w:val="ListParagraph"/>
        <w:numPr>
          <w:ilvl w:val="0"/>
          <w:numId w:val="32"/>
        </w:numPr>
        <w:tabs>
          <w:tab w:val="left" w:pos="1440"/>
        </w:tabs>
        <w:spacing w:line="256" w:lineRule="auto"/>
        <w:ind w:left="0" w:firstLine="720"/>
      </w:pPr>
      <w:r w:rsidRPr="00D77D5A">
        <w:rPr>
          <w:rFonts w:eastAsia="KaiTi" w:hint="eastAsia"/>
        </w:rPr>
        <w:t>注意到</w:t>
      </w:r>
      <w:r w:rsidR="00D77D5A" w:rsidRPr="00D77D5A">
        <w:rPr>
          <w:rFonts w:ascii="SimSun" w:hAnsi="SimSun" w:hint="eastAsia"/>
        </w:rPr>
        <w:t>，</w:t>
      </w:r>
      <w:r w:rsidRPr="00D77D5A">
        <w:rPr>
          <w:rFonts w:eastAsia="KaiTi"/>
        </w:rPr>
        <w:t xml:space="preserve"> </w:t>
      </w:r>
      <w:r w:rsidR="00D77D5A">
        <w:rPr>
          <w:rFonts w:hint="eastAsia"/>
        </w:rPr>
        <w:t>当</w:t>
      </w:r>
      <w:r w:rsidR="00D77D5A">
        <w:t>消费和利用属于非法和（或）不可持续时，</w:t>
      </w:r>
      <w:r>
        <w:rPr>
          <w:rFonts w:hint="eastAsia"/>
        </w:rPr>
        <w:t>针对</w:t>
      </w:r>
      <w:r w:rsidR="00D77D5A">
        <w:rPr>
          <w:rFonts w:hint="eastAsia"/>
        </w:rPr>
        <w:t>野生肉类</w:t>
      </w:r>
      <w:r w:rsidR="00D77D5A">
        <w:t>的</w:t>
      </w:r>
      <w:r>
        <w:t>消费</w:t>
      </w:r>
      <w:r>
        <w:rPr>
          <w:rFonts w:hint="eastAsia"/>
        </w:rPr>
        <w:t>和</w:t>
      </w:r>
      <w:r>
        <w:t>一般针对野生生物的</w:t>
      </w:r>
      <w:r w:rsidRPr="00DF413F">
        <w:rPr>
          <w:rFonts w:hint="eastAsia"/>
        </w:rPr>
        <w:t>减少</w:t>
      </w:r>
      <w:r w:rsidRPr="00DF413F">
        <w:t>需求战略和</w:t>
      </w:r>
      <w:r>
        <w:rPr>
          <w:rFonts w:hint="eastAsia"/>
        </w:rPr>
        <w:t>替代</w:t>
      </w:r>
      <w:r>
        <w:t>生计办法</w:t>
      </w:r>
      <w:r w:rsidR="00D77D5A">
        <w:rPr>
          <w:rFonts w:hint="eastAsia"/>
        </w:rPr>
        <w:t>可能</w:t>
      </w:r>
      <w:r w:rsidR="00D77D5A">
        <w:t>更加有必要，</w:t>
      </w:r>
      <w:r w:rsidR="00D77D5A">
        <w:rPr>
          <w:rFonts w:hint="eastAsia"/>
        </w:rPr>
        <w:t>这是因为，与可能</w:t>
      </w:r>
      <w:r w:rsidR="00D77D5A">
        <w:t>导致土地用途改变从而有可能危及环境和生态系统的其他替代办法相比，可持续野生生物管理能够大大推动生物多样性的保护</w:t>
      </w:r>
      <w:r w:rsidR="00D77D5A">
        <w:rPr>
          <w:rFonts w:hint="eastAsia"/>
        </w:rPr>
        <w:t>；</w:t>
      </w:r>
    </w:p>
    <w:p w14:paraId="0DBAB37C" w14:textId="391C10A6" w:rsidR="007B5A7F" w:rsidRDefault="005C24BD" w:rsidP="00485F9F">
      <w:pPr>
        <w:pStyle w:val="ListParagraph"/>
        <w:numPr>
          <w:ilvl w:val="0"/>
          <w:numId w:val="32"/>
        </w:numPr>
        <w:tabs>
          <w:tab w:val="left" w:pos="1440"/>
        </w:tabs>
        <w:spacing w:line="256" w:lineRule="auto"/>
        <w:ind w:left="0" w:firstLine="720"/>
        <w:rPr>
          <w:i/>
          <w:iCs/>
        </w:rPr>
      </w:pPr>
      <w:r>
        <w:rPr>
          <w:rFonts w:eastAsia="KaiTi" w:hint="eastAsia"/>
        </w:rPr>
        <w:t>邀请</w:t>
      </w:r>
      <w:r w:rsidR="007B5A7F">
        <w:t>2020</w:t>
      </w:r>
      <w:r w:rsidR="007B5A7F">
        <w:rPr>
          <w:rFonts w:hint="eastAsia"/>
        </w:rPr>
        <w:t>年后</w:t>
      </w:r>
      <w:r w:rsidR="00DE3CFD">
        <w:rPr>
          <w:rFonts w:hint="eastAsia"/>
        </w:rPr>
        <w:t>全球生物多样性框架不限成员名额工作组共同主席参照《公约》的第二项</w:t>
      </w:r>
      <w:r w:rsidR="007B5A7F">
        <w:rPr>
          <w:rFonts w:hint="eastAsia"/>
        </w:rPr>
        <w:t>目标，即“可持续利用生物多样性的组成部分”，在制定</w:t>
      </w:r>
      <w:r w:rsidR="007B5A7F">
        <w:t>2020</w:t>
      </w:r>
      <w:r w:rsidR="00DE3CFD">
        <w:rPr>
          <w:rFonts w:hint="eastAsia"/>
        </w:rPr>
        <w:t>年后全球生物多样性框架时考虑</w:t>
      </w:r>
      <w:r w:rsidR="007B5A7F">
        <w:rPr>
          <w:rFonts w:hint="eastAsia"/>
        </w:rPr>
        <w:t>以下信息：</w:t>
      </w:r>
    </w:p>
    <w:p w14:paraId="4E845717" w14:textId="62F7C602" w:rsidR="007B5A7F" w:rsidRDefault="007B5A7F" w:rsidP="00485F9F">
      <w:pPr>
        <w:pStyle w:val="bodytextnoindent"/>
        <w:widowControl w:val="0"/>
        <w:numPr>
          <w:ilvl w:val="0"/>
          <w:numId w:val="35"/>
        </w:numPr>
        <w:tabs>
          <w:tab w:val="left" w:pos="1440"/>
        </w:tabs>
        <w:overflowPunct w:val="0"/>
        <w:autoSpaceDE w:val="0"/>
        <w:autoSpaceDN w:val="0"/>
        <w:adjustRightInd w:val="0"/>
        <w:spacing w:line="256" w:lineRule="auto"/>
        <w:ind w:left="0" w:firstLine="720"/>
        <w:textAlignment w:val="baseline"/>
        <w:rPr>
          <w:sz w:val="24"/>
          <w:lang w:val="en-US" w:eastAsia="zh-CN"/>
        </w:rPr>
      </w:pPr>
      <w:r>
        <w:rPr>
          <w:sz w:val="24"/>
          <w:lang w:val="en-US" w:eastAsia="zh-CN"/>
        </w:rPr>
        <w:t>2020</w:t>
      </w:r>
      <w:r>
        <w:rPr>
          <w:rFonts w:hint="eastAsia"/>
          <w:sz w:val="24"/>
          <w:lang w:val="en-US" w:eastAsia="zh-CN"/>
        </w:rPr>
        <w:t>年后可持续野生动物管理协商研讨会的报告，特别是以下建议：</w:t>
      </w:r>
      <w:r>
        <w:rPr>
          <w:sz w:val="24"/>
          <w:lang w:val="en-US" w:eastAsia="zh-CN"/>
        </w:rPr>
        <w:t>2020</w:t>
      </w:r>
      <w:r>
        <w:rPr>
          <w:rFonts w:hint="eastAsia"/>
          <w:sz w:val="24"/>
          <w:lang w:val="en-US" w:eastAsia="zh-CN"/>
        </w:rPr>
        <w:t>年后全球生物多样性框架应将过度开发作为生物多样性丧失</w:t>
      </w:r>
      <w:r w:rsidR="00290041">
        <w:rPr>
          <w:rFonts w:hint="eastAsia"/>
          <w:sz w:val="24"/>
          <w:lang w:val="en-US" w:eastAsia="zh-CN"/>
        </w:rPr>
        <w:t>的</w:t>
      </w:r>
      <w:r>
        <w:rPr>
          <w:rFonts w:hint="eastAsia"/>
          <w:sz w:val="24"/>
          <w:lang w:val="en-US" w:eastAsia="zh-CN"/>
        </w:rPr>
        <w:t>驱动因素加以解决，并促进可持续的野生动物管理；</w:t>
      </w:r>
      <w:r w:rsidRPr="009F1747">
        <w:rPr>
          <w:rStyle w:val="FootnoteReference"/>
          <w:sz w:val="24"/>
          <w:u w:val="none"/>
          <w:lang w:val="en-US" w:eastAsia="zh-CN"/>
        </w:rPr>
        <w:footnoteReference w:id="2"/>
      </w:r>
    </w:p>
    <w:p w14:paraId="460DEC4A" w14:textId="47E5D055" w:rsidR="007B5A7F" w:rsidRPr="00F23F1A" w:rsidRDefault="007B5A7F" w:rsidP="00485F9F">
      <w:pPr>
        <w:pStyle w:val="bodytextnoindent"/>
        <w:widowControl w:val="0"/>
        <w:numPr>
          <w:ilvl w:val="0"/>
          <w:numId w:val="35"/>
        </w:numPr>
        <w:tabs>
          <w:tab w:val="left" w:pos="1440"/>
        </w:tabs>
        <w:overflowPunct w:val="0"/>
        <w:autoSpaceDE w:val="0"/>
        <w:autoSpaceDN w:val="0"/>
        <w:adjustRightInd w:val="0"/>
        <w:spacing w:line="257" w:lineRule="auto"/>
        <w:ind w:left="0" w:firstLine="720"/>
        <w:textAlignment w:val="baseline"/>
        <w:rPr>
          <w:sz w:val="24"/>
          <w:lang w:eastAsia="zh-CN"/>
        </w:rPr>
      </w:pPr>
      <w:r>
        <w:rPr>
          <w:rFonts w:hint="eastAsia"/>
          <w:sz w:val="24"/>
          <w:lang w:val="en-US" w:eastAsia="zh-CN"/>
        </w:rPr>
        <w:lastRenderedPageBreak/>
        <w:t>可持续野生动物管理调查的结果；</w:t>
      </w:r>
      <w:r w:rsidRPr="005C24BD">
        <w:rPr>
          <w:rStyle w:val="FootnoteReference"/>
          <w:kern w:val="22"/>
          <w:sz w:val="24"/>
          <w:szCs w:val="22"/>
          <w:u w:val="none"/>
        </w:rPr>
        <w:footnoteReference w:id="3"/>
      </w:r>
    </w:p>
    <w:p w14:paraId="522DD955" w14:textId="33950658" w:rsidR="00F23F1A" w:rsidRPr="00F23F1A" w:rsidRDefault="00290041" w:rsidP="00485F9F">
      <w:pPr>
        <w:pStyle w:val="bodytextnoindent"/>
        <w:widowControl w:val="0"/>
        <w:numPr>
          <w:ilvl w:val="0"/>
          <w:numId w:val="35"/>
        </w:numPr>
        <w:tabs>
          <w:tab w:val="left" w:pos="1440"/>
        </w:tabs>
        <w:overflowPunct w:val="0"/>
        <w:autoSpaceDE w:val="0"/>
        <w:autoSpaceDN w:val="0"/>
        <w:adjustRightInd w:val="0"/>
        <w:spacing w:line="256" w:lineRule="auto"/>
        <w:ind w:left="0" w:firstLine="720"/>
        <w:textAlignment w:val="baseline"/>
        <w:rPr>
          <w:sz w:val="24"/>
          <w:lang w:eastAsia="zh-CN"/>
        </w:rPr>
      </w:pPr>
      <w:r>
        <w:rPr>
          <w:rFonts w:hint="eastAsia"/>
          <w:sz w:val="24"/>
          <w:lang w:val="en-US" w:eastAsia="zh-CN"/>
        </w:rPr>
        <w:t>各缔约方</w:t>
      </w:r>
      <w:r>
        <w:rPr>
          <w:sz w:val="24"/>
          <w:lang w:val="en-US" w:eastAsia="zh-CN"/>
        </w:rPr>
        <w:t>在</w:t>
      </w:r>
      <w:r w:rsidR="00F23F1A" w:rsidRPr="00F23F1A">
        <w:rPr>
          <w:sz w:val="24"/>
          <w:lang w:val="en-US" w:eastAsia="zh-CN"/>
        </w:rPr>
        <w:t>科学、技术和工艺咨询附属机构第二十</w:t>
      </w:r>
      <w:r w:rsidR="00F23F1A" w:rsidRPr="00F23F1A">
        <w:rPr>
          <w:rFonts w:hint="eastAsia"/>
          <w:sz w:val="24"/>
          <w:lang w:val="en-US" w:eastAsia="zh-CN"/>
        </w:rPr>
        <w:t>三</w:t>
      </w:r>
      <w:r w:rsidR="00F23F1A" w:rsidRPr="00F23F1A">
        <w:rPr>
          <w:sz w:val="24"/>
          <w:lang w:val="en-US" w:eastAsia="zh-CN"/>
        </w:rPr>
        <w:t>次会议</w:t>
      </w:r>
      <w:r>
        <w:rPr>
          <w:rFonts w:hint="eastAsia"/>
          <w:sz w:val="24"/>
          <w:lang w:val="en-US" w:eastAsia="zh-CN"/>
        </w:rPr>
        <w:t>上</w:t>
      </w:r>
      <w:r>
        <w:rPr>
          <w:sz w:val="24"/>
          <w:lang w:val="en-US" w:eastAsia="zh-CN"/>
        </w:rPr>
        <w:t>所作评论</w:t>
      </w:r>
      <w:r>
        <w:rPr>
          <w:rFonts w:hint="eastAsia"/>
          <w:sz w:val="24"/>
          <w:lang w:val="en-US" w:eastAsia="zh-CN"/>
        </w:rPr>
        <w:t>；</w:t>
      </w:r>
    </w:p>
    <w:p w14:paraId="1F2EB20B" w14:textId="1F160514" w:rsidR="007B5A7F" w:rsidRDefault="007B5A7F" w:rsidP="00485F9F">
      <w:pPr>
        <w:pStyle w:val="ListParagraph"/>
        <w:numPr>
          <w:ilvl w:val="0"/>
          <w:numId w:val="32"/>
        </w:numPr>
        <w:tabs>
          <w:tab w:val="left" w:pos="1440"/>
        </w:tabs>
        <w:spacing w:line="256" w:lineRule="auto"/>
        <w:ind w:left="0" w:firstLine="720"/>
      </w:pPr>
      <w:r>
        <w:rPr>
          <w:rFonts w:eastAsia="KaiTi" w:hint="eastAsia"/>
        </w:rPr>
        <w:t>请</w:t>
      </w:r>
      <w:r>
        <w:rPr>
          <w:rFonts w:hint="eastAsia"/>
        </w:rPr>
        <w:t>各缔约方并</w:t>
      </w:r>
      <w:r>
        <w:rPr>
          <w:rFonts w:eastAsia="KaiTi" w:hint="eastAsia"/>
        </w:rPr>
        <w:t>鼓励</w:t>
      </w:r>
      <w:r>
        <w:rPr>
          <w:rFonts w:hint="eastAsia"/>
        </w:rPr>
        <w:t>有能力的其他国家政府和相关组织提供财政援助和支持发展中国家的能力建设举措，帮助其执行第</w:t>
      </w:r>
      <w:r>
        <w:t>14/7</w:t>
      </w:r>
      <w:r>
        <w:rPr>
          <w:rFonts w:hint="eastAsia"/>
        </w:rPr>
        <w:t>号决定和《濒危野生动植物种国际贸易公约》的无害判定；</w:t>
      </w:r>
    </w:p>
    <w:p w14:paraId="5D711DB2" w14:textId="5990B253" w:rsidR="007B5A7F" w:rsidRDefault="007B5A7F" w:rsidP="00485F9F">
      <w:pPr>
        <w:pStyle w:val="ListParagraph"/>
        <w:numPr>
          <w:ilvl w:val="0"/>
          <w:numId w:val="32"/>
        </w:numPr>
        <w:tabs>
          <w:tab w:val="left" w:pos="1440"/>
        </w:tabs>
        <w:spacing w:line="256" w:lineRule="auto"/>
        <w:ind w:left="0" w:firstLine="720"/>
      </w:pPr>
      <w:r>
        <w:rPr>
          <w:rFonts w:eastAsia="KaiTi" w:hint="eastAsia"/>
        </w:rPr>
        <w:t>邀请</w:t>
      </w:r>
      <w:r>
        <w:t>2020</w:t>
      </w:r>
      <w:r>
        <w:rPr>
          <w:rFonts w:hint="eastAsia"/>
        </w:rPr>
        <w:t>年后全球生物多样性框架不限成员名额工作组考虑科学、技术和工艺咨询附属机构第二十三次会议的成果，</w:t>
      </w:r>
      <w:r w:rsidR="00CB4DE1">
        <w:rPr>
          <w:rFonts w:hint="eastAsia"/>
        </w:rPr>
        <w:t>以期</w:t>
      </w:r>
      <w:r>
        <w:rPr>
          <w:rFonts w:hint="eastAsia"/>
        </w:rPr>
        <w:t>将与野生动物管理有关的问题纳入</w:t>
      </w:r>
      <w:r>
        <w:t>2020</w:t>
      </w:r>
      <w:r>
        <w:rPr>
          <w:rFonts w:hint="eastAsia"/>
        </w:rPr>
        <w:t>年后全球生物多样性框架，作为对可持续利用生物多样性和实现</w:t>
      </w:r>
      <w:r w:rsidR="00290041">
        <w:rPr>
          <w:rFonts w:hint="eastAsia"/>
        </w:rPr>
        <w:t>《</w:t>
      </w:r>
      <w:r>
        <w:rPr>
          <w:rFonts w:hint="eastAsia"/>
        </w:rPr>
        <w:t>可持续发展目标</w:t>
      </w:r>
      <w:r w:rsidR="00290041">
        <w:rPr>
          <w:rFonts w:hint="eastAsia"/>
        </w:rPr>
        <w:t>》</w:t>
      </w:r>
      <w:r>
        <w:rPr>
          <w:rFonts w:hint="eastAsia"/>
        </w:rPr>
        <w:t>的重要贡献；</w:t>
      </w:r>
    </w:p>
    <w:p w14:paraId="578D1D5D" w14:textId="42FB8F7E" w:rsidR="007B5A7F" w:rsidRDefault="007B5A7F" w:rsidP="00485F9F">
      <w:pPr>
        <w:pStyle w:val="ListParagraph"/>
        <w:numPr>
          <w:ilvl w:val="0"/>
          <w:numId w:val="32"/>
        </w:numPr>
        <w:tabs>
          <w:tab w:val="left" w:pos="1440"/>
        </w:tabs>
        <w:spacing w:line="256" w:lineRule="auto"/>
        <w:ind w:left="0" w:firstLine="720"/>
        <w:rPr>
          <w:lang w:val="en-US"/>
        </w:rPr>
      </w:pPr>
      <w:r>
        <w:rPr>
          <w:rFonts w:eastAsia="KaiTi" w:hint="eastAsia"/>
        </w:rPr>
        <w:t>请</w:t>
      </w:r>
      <w:r>
        <w:rPr>
          <w:rFonts w:hint="eastAsia"/>
          <w:lang w:val="en-US"/>
        </w:rPr>
        <w:t>执行秘书邀请生物多样性和生态系统服务政府间</w:t>
      </w:r>
      <w:r w:rsidR="001E05B8">
        <w:rPr>
          <w:rFonts w:hint="eastAsia"/>
          <w:lang w:val="en-US"/>
        </w:rPr>
        <w:t>科学政策</w:t>
      </w:r>
      <w:r>
        <w:rPr>
          <w:rFonts w:hint="eastAsia"/>
          <w:lang w:val="en-US"/>
        </w:rPr>
        <w:t>平台秘书处向</w:t>
      </w:r>
      <w:r>
        <w:rPr>
          <w:lang w:val="en-US"/>
        </w:rPr>
        <w:t>2020</w:t>
      </w:r>
      <w:r>
        <w:rPr>
          <w:rFonts w:hint="eastAsia"/>
          <w:lang w:val="en-US"/>
        </w:rPr>
        <w:t>年后全球生物多样性框架不限成员名额工作组和生物多样性缔约方会议第十五</w:t>
      </w:r>
      <w:r w:rsidR="00CB4DE1">
        <w:rPr>
          <w:rFonts w:hint="eastAsia"/>
          <w:lang w:val="en-US"/>
        </w:rPr>
        <w:t>届会议</w:t>
      </w:r>
      <w:r>
        <w:rPr>
          <w:rFonts w:hint="eastAsia"/>
          <w:lang w:val="en-US"/>
        </w:rPr>
        <w:t>就野生生物可持续利用的专题评估进展提供信息，为</w:t>
      </w:r>
      <w:r>
        <w:rPr>
          <w:lang w:val="en-US"/>
        </w:rPr>
        <w:t>2020</w:t>
      </w:r>
      <w:r>
        <w:rPr>
          <w:rFonts w:hint="eastAsia"/>
          <w:lang w:val="en-US"/>
        </w:rPr>
        <w:t>年后全球生物多样性框架的可持续野生生物管理方面的制定工作</w:t>
      </w:r>
      <w:r w:rsidR="00CB4DE1">
        <w:rPr>
          <w:rFonts w:hint="eastAsia"/>
          <w:lang w:val="en-US"/>
        </w:rPr>
        <w:t>献计献策</w:t>
      </w:r>
      <w:r>
        <w:rPr>
          <w:rFonts w:hint="eastAsia"/>
          <w:lang w:val="en-US"/>
        </w:rPr>
        <w:t>；</w:t>
      </w:r>
    </w:p>
    <w:p w14:paraId="3B24A48F" w14:textId="406830AE" w:rsidR="00C243D2" w:rsidRPr="00E47CBD" w:rsidRDefault="00C243D2" w:rsidP="00485F9F">
      <w:pPr>
        <w:pStyle w:val="ListParagraph"/>
        <w:numPr>
          <w:ilvl w:val="0"/>
          <w:numId w:val="32"/>
        </w:numPr>
        <w:tabs>
          <w:tab w:val="left" w:pos="1440"/>
        </w:tabs>
        <w:spacing w:line="256" w:lineRule="auto"/>
        <w:ind w:left="0" w:firstLine="720"/>
        <w:rPr>
          <w:lang w:val="en-US"/>
        </w:rPr>
      </w:pPr>
      <w:r w:rsidRPr="00E47CBD">
        <w:rPr>
          <w:rFonts w:eastAsia="KaiTi" w:hint="eastAsia"/>
          <w:lang w:val="en-US"/>
        </w:rPr>
        <w:t>邀请</w:t>
      </w:r>
      <w:r w:rsidRPr="00E47CBD">
        <w:rPr>
          <w:rFonts w:hint="eastAsia"/>
          <w:lang w:val="en-US"/>
        </w:rPr>
        <w:t>可持续</w:t>
      </w:r>
      <w:r w:rsidRPr="00E47CBD">
        <w:rPr>
          <w:lang w:val="en-US"/>
        </w:rPr>
        <w:t>野生动物管理合作伙伴关系继续促进</w:t>
      </w:r>
      <w:r w:rsidRPr="00E47CBD">
        <w:rPr>
          <w:rFonts w:hint="eastAsia"/>
          <w:lang w:val="en-US"/>
        </w:rPr>
        <w:t>可持续</w:t>
      </w:r>
      <w:r w:rsidRPr="00E47CBD">
        <w:rPr>
          <w:lang w:val="en-US"/>
        </w:rPr>
        <w:t>野生肉类部门的自愿指导意见</w:t>
      </w:r>
      <w:r w:rsidRPr="00E47CBD">
        <w:rPr>
          <w:rFonts w:hint="eastAsia"/>
          <w:lang w:val="en-US"/>
        </w:rPr>
        <w:t>并整理不同情况下实际应用的更多实例，包括</w:t>
      </w:r>
      <w:r w:rsidRPr="00E47CBD">
        <w:rPr>
          <w:lang w:val="en-US"/>
        </w:rPr>
        <w:t>消费和非消费用途，</w:t>
      </w:r>
      <w:r w:rsidRPr="00E47CBD">
        <w:rPr>
          <w:rFonts w:hint="eastAsia"/>
          <w:lang w:val="en-US"/>
        </w:rPr>
        <w:t>特别是《濒危野生动植物种国际贸易公约》</w:t>
      </w:r>
      <w:r w:rsidR="00E47CBD" w:rsidRPr="00E47CBD">
        <w:rPr>
          <w:rFonts w:hint="eastAsia"/>
          <w:lang w:val="en-US"/>
        </w:rPr>
        <w:t>的</w:t>
      </w:r>
      <w:r w:rsidR="00E47CBD" w:rsidRPr="00E47CBD">
        <w:rPr>
          <w:lang w:val="en-US"/>
        </w:rPr>
        <w:t>实例</w:t>
      </w:r>
      <w:r w:rsidRPr="00E47CBD">
        <w:rPr>
          <w:rFonts w:hint="eastAsia"/>
          <w:lang w:val="en-US"/>
        </w:rPr>
        <w:t>；</w:t>
      </w:r>
    </w:p>
    <w:p w14:paraId="7F297BEE" w14:textId="381FE318" w:rsidR="007B5A7F" w:rsidRDefault="007B5A7F" w:rsidP="00485F9F">
      <w:pPr>
        <w:pStyle w:val="ListParagraph"/>
        <w:numPr>
          <w:ilvl w:val="0"/>
          <w:numId w:val="32"/>
        </w:numPr>
        <w:tabs>
          <w:tab w:val="left" w:pos="1440"/>
        </w:tabs>
        <w:spacing w:line="256" w:lineRule="auto"/>
        <w:ind w:left="0" w:firstLine="720"/>
        <w:rPr>
          <w:lang w:val="en-US"/>
        </w:rPr>
      </w:pPr>
      <w:r>
        <w:rPr>
          <w:rFonts w:eastAsia="KaiTi" w:hint="eastAsia"/>
        </w:rPr>
        <w:t>请</w:t>
      </w:r>
      <w:r>
        <w:rPr>
          <w:rFonts w:hint="eastAsia"/>
          <w:lang w:val="en-US"/>
        </w:rPr>
        <w:t>执行秘书</w:t>
      </w:r>
      <w:r w:rsidR="00CB4DE1">
        <w:rPr>
          <w:rFonts w:hint="eastAsia"/>
          <w:lang w:val="en-US"/>
        </w:rPr>
        <w:t>确定</w:t>
      </w:r>
      <w:r>
        <w:rPr>
          <w:rFonts w:hint="eastAsia"/>
          <w:lang w:val="en-US"/>
        </w:rPr>
        <w:t>在执行</w:t>
      </w:r>
      <w:r>
        <w:rPr>
          <w:rFonts w:hint="eastAsia"/>
          <w:iCs/>
          <w:lang w:val="en-US"/>
        </w:rPr>
        <w:t>对可持续野生</w:t>
      </w:r>
      <w:r w:rsidR="00C243D2">
        <w:rPr>
          <w:rFonts w:hint="eastAsia"/>
          <w:iCs/>
          <w:lang w:val="en-US"/>
        </w:rPr>
        <w:t>肉类</w:t>
      </w:r>
      <w:r>
        <w:rPr>
          <w:rFonts w:hint="eastAsia"/>
          <w:iCs/>
          <w:lang w:val="en-US"/>
        </w:rPr>
        <w:t>部门的自愿指导意见</w:t>
      </w:r>
      <w:r>
        <w:rPr>
          <w:rFonts w:hint="eastAsia"/>
          <w:lang w:val="en-US"/>
        </w:rPr>
        <w:t>时应采取哪些行动，充分反映、处理和吸纳性别差距分析的结果；</w:t>
      </w:r>
    </w:p>
    <w:p w14:paraId="758446A1" w14:textId="77777777" w:rsidR="007B5A7F" w:rsidRDefault="007B5A7F" w:rsidP="00485F9F">
      <w:pPr>
        <w:pStyle w:val="ListParagraph"/>
        <w:numPr>
          <w:ilvl w:val="0"/>
          <w:numId w:val="32"/>
        </w:numPr>
        <w:tabs>
          <w:tab w:val="left" w:pos="1440"/>
        </w:tabs>
        <w:spacing w:line="256" w:lineRule="auto"/>
        <w:ind w:left="0" w:firstLine="720"/>
        <w:rPr>
          <w:lang w:val="en-US"/>
        </w:rPr>
      </w:pPr>
      <w:r>
        <w:rPr>
          <w:rFonts w:eastAsia="KaiTi" w:hint="eastAsia"/>
        </w:rPr>
        <w:t>建议</w:t>
      </w:r>
      <w:r>
        <w:rPr>
          <w:rFonts w:hint="eastAsia"/>
          <w:lang w:val="en-US"/>
        </w:rPr>
        <w:t>缔约方大会第十五届会议通过一项措辞大致如下的决定：</w:t>
      </w:r>
    </w:p>
    <w:p w14:paraId="6E96815A" w14:textId="212509A4" w:rsidR="007B5A7F" w:rsidRDefault="007B5A7F" w:rsidP="00485F9F">
      <w:pPr>
        <w:spacing w:line="256" w:lineRule="auto"/>
        <w:ind w:left="720" w:firstLine="720"/>
        <w:rPr>
          <w:lang w:val="en-US"/>
        </w:rPr>
      </w:pPr>
      <w:r>
        <w:rPr>
          <w:lang w:val="en-US"/>
        </w:rPr>
        <w:tab/>
      </w:r>
      <w:r w:rsidR="00290041">
        <w:rPr>
          <w:rFonts w:eastAsia="KaiTi" w:hint="eastAsia"/>
        </w:rPr>
        <w:t>缔约方大会</w:t>
      </w:r>
      <w:r>
        <w:rPr>
          <w:rFonts w:hint="eastAsia"/>
          <w:lang w:val="en-US"/>
        </w:rPr>
        <w:t>，</w:t>
      </w:r>
    </w:p>
    <w:p w14:paraId="1EED4512" w14:textId="60B508DB" w:rsidR="007B5A7F" w:rsidRDefault="007B5A7F" w:rsidP="00485F9F">
      <w:pPr>
        <w:spacing w:line="256" w:lineRule="auto"/>
        <w:ind w:left="720" w:firstLine="720"/>
        <w:rPr>
          <w:lang w:val="en-US"/>
        </w:rPr>
      </w:pPr>
      <w:r>
        <w:rPr>
          <w:lang w:val="en-US"/>
        </w:rPr>
        <w:tab/>
      </w:r>
      <w:r>
        <w:rPr>
          <w:rFonts w:eastAsia="KaiTi" w:hint="eastAsia"/>
        </w:rPr>
        <w:t>认识到</w:t>
      </w:r>
      <w:r>
        <w:rPr>
          <w:rFonts w:hint="eastAsia"/>
          <w:lang w:val="en-US"/>
        </w:rPr>
        <w:t>生物多样性的可持续利用，包括野生动植物管理，推动了实现一些爱知生物多样性</w:t>
      </w:r>
      <w:r w:rsidR="00E47CBD">
        <w:rPr>
          <w:rFonts w:hint="eastAsia"/>
          <w:lang w:val="en-US"/>
        </w:rPr>
        <w:t>目标</w:t>
      </w:r>
      <w:r>
        <w:rPr>
          <w:rFonts w:hint="eastAsia"/>
          <w:lang w:val="en-US"/>
        </w:rPr>
        <w:t>和可持续发展目标，并继续与</w:t>
      </w:r>
      <w:r>
        <w:rPr>
          <w:lang w:val="en-US"/>
        </w:rPr>
        <w:t>2020</w:t>
      </w:r>
      <w:r>
        <w:rPr>
          <w:rFonts w:hint="eastAsia"/>
          <w:lang w:val="en-US"/>
        </w:rPr>
        <w:t>年后全球生物多样性框架相关，</w:t>
      </w:r>
    </w:p>
    <w:p w14:paraId="72EC4026" w14:textId="532721F2" w:rsidR="00E47CBD" w:rsidRDefault="00E47CBD" w:rsidP="00485F9F">
      <w:pPr>
        <w:suppressLineNumbers/>
        <w:suppressAutoHyphens/>
        <w:ind w:left="720" w:firstLine="720"/>
        <w:rPr>
          <w:i/>
          <w:iCs/>
          <w:kern w:val="22"/>
          <w:szCs w:val="22"/>
        </w:rPr>
      </w:pPr>
      <w:r>
        <w:rPr>
          <w:rFonts w:eastAsia="KaiTi" w:hint="eastAsia"/>
        </w:rPr>
        <w:t>认识到</w:t>
      </w:r>
      <w:r>
        <w:rPr>
          <w:rFonts w:hint="eastAsia"/>
          <w:lang w:val="en-US"/>
        </w:rPr>
        <w:t>不可持续</w:t>
      </w:r>
      <w:r>
        <w:rPr>
          <w:lang w:val="en-US"/>
        </w:rPr>
        <w:t>的</w:t>
      </w:r>
      <w:r>
        <w:rPr>
          <w:rFonts w:hint="eastAsia"/>
          <w:lang w:val="en-US"/>
        </w:rPr>
        <w:t>野生动物</w:t>
      </w:r>
      <w:r>
        <w:rPr>
          <w:lang w:val="en-US"/>
        </w:rPr>
        <w:t>管理阻碍</w:t>
      </w:r>
      <w:r>
        <w:rPr>
          <w:rFonts w:hint="eastAsia"/>
          <w:lang w:val="en-US"/>
        </w:rPr>
        <w:t>在实现若干</w:t>
      </w:r>
      <w:r>
        <w:rPr>
          <w:lang w:val="en-US"/>
        </w:rPr>
        <w:t>爱知生物多样性指标</w:t>
      </w:r>
      <w:r>
        <w:rPr>
          <w:rFonts w:hint="eastAsia"/>
          <w:lang w:val="en-US"/>
        </w:rPr>
        <w:t>和</w:t>
      </w:r>
      <w:r>
        <w:rPr>
          <w:lang w:val="en-US"/>
        </w:rPr>
        <w:t>《可持续发展目标</w:t>
      </w:r>
      <w:r>
        <w:rPr>
          <w:rFonts w:hint="eastAsia"/>
          <w:lang w:val="en-US"/>
        </w:rPr>
        <w:t>》</w:t>
      </w:r>
      <w:r>
        <w:rPr>
          <w:lang w:val="en-US"/>
        </w:rPr>
        <w:t>方面的进展，</w:t>
      </w:r>
    </w:p>
    <w:p w14:paraId="0F7F8242" w14:textId="62AE05A6" w:rsidR="007B5A7F" w:rsidRDefault="007B5A7F" w:rsidP="00485F9F">
      <w:pPr>
        <w:spacing w:line="256" w:lineRule="auto"/>
        <w:ind w:left="720" w:firstLine="720"/>
        <w:rPr>
          <w:lang w:val="en-US"/>
        </w:rPr>
      </w:pPr>
      <w:r>
        <w:rPr>
          <w:lang w:val="en-US"/>
        </w:rPr>
        <w:lastRenderedPageBreak/>
        <w:tab/>
      </w:r>
      <w:r>
        <w:rPr>
          <w:rFonts w:eastAsia="KaiTi" w:hint="eastAsia"/>
        </w:rPr>
        <w:t>认识到</w:t>
      </w:r>
      <w:r w:rsidR="00542C9E" w:rsidRPr="00542C9E">
        <w:rPr>
          <w:rFonts w:hint="eastAsia"/>
          <w:lang w:val="en-US"/>
        </w:rPr>
        <w:t>在</w:t>
      </w:r>
      <w:r>
        <w:rPr>
          <w:rFonts w:hint="eastAsia"/>
          <w:lang w:val="en-US"/>
        </w:rPr>
        <w:t>审议热带和亚热带</w:t>
      </w:r>
      <w:r>
        <w:rPr>
          <w:rFonts w:hint="eastAsia"/>
          <w:iCs/>
          <w:lang w:val="en-US"/>
        </w:rPr>
        <w:t>对可持续野生</w:t>
      </w:r>
      <w:r w:rsidR="00542C9E">
        <w:rPr>
          <w:rFonts w:hint="eastAsia"/>
          <w:iCs/>
          <w:lang w:val="en-US"/>
        </w:rPr>
        <w:t>肉类</w:t>
      </w:r>
      <w:r>
        <w:rPr>
          <w:rFonts w:hint="eastAsia"/>
          <w:iCs/>
          <w:lang w:val="en-US"/>
        </w:rPr>
        <w:t>部门自愿指导意见</w:t>
      </w:r>
      <w:r w:rsidR="00542C9E">
        <w:rPr>
          <w:rFonts w:hint="eastAsia"/>
          <w:iCs/>
          <w:lang w:val="en-US"/>
        </w:rPr>
        <w:t>方面</w:t>
      </w:r>
      <w:r>
        <w:rPr>
          <w:rFonts w:hint="eastAsia"/>
          <w:lang w:val="en-US"/>
        </w:rPr>
        <w:t>取得</w:t>
      </w:r>
      <w:r w:rsidR="00542C9E">
        <w:rPr>
          <w:rFonts w:hint="eastAsia"/>
          <w:lang w:val="en-US"/>
        </w:rPr>
        <w:t>的</w:t>
      </w:r>
      <w:r>
        <w:rPr>
          <w:rFonts w:hint="eastAsia"/>
          <w:lang w:val="en-US"/>
        </w:rPr>
        <w:t>进展，</w:t>
      </w:r>
    </w:p>
    <w:p w14:paraId="32FA2603" w14:textId="0120586E" w:rsidR="00542C9E" w:rsidRDefault="00542C9E" w:rsidP="00485F9F">
      <w:pPr>
        <w:spacing w:line="256" w:lineRule="auto"/>
        <w:ind w:left="720" w:firstLine="720"/>
        <w:rPr>
          <w:lang w:val="en-US"/>
        </w:rPr>
      </w:pPr>
      <w:r>
        <w:rPr>
          <w:lang w:val="en-US"/>
        </w:rPr>
        <w:tab/>
      </w:r>
      <w:r>
        <w:rPr>
          <w:rFonts w:eastAsia="KaiTi" w:hint="eastAsia"/>
        </w:rPr>
        <w:t>欢迎</w:t>
      </w:r>
      <w:r>
        <w:rPr>
          <w:rFonts w:hint="eastAsia"/>
          <w:lang w:val="en-US"/>
        </w:rPr>
        <w:t>生物多样性公约</w:t>
      </w:r>
      <w:r w:rsidR="003522B8">
        <w:rPr>
          <w:rFonts w:hint="eastAsia"/>
          <w:lang w:val="en-US"/>
        </w:rPr>
        <w:t>、</w:t>
      </w:r>
      <w:r>
        <w:rPr>
          <w:rFonts w:hint="eastAsia"/>
          <w:lang w:val="en-US"/>
        </w:rPr>
        <w:t>濒危野生动植物种国际贸易公约、</w:t>
      </w:r>
      <w:r w:rsidR="003522B8">
        <w:rPr>
          <w:rFonts w:hint="eastAsia"/>
          <w:lang w:val="en-US"/>
        </w:rPr>
        <w:t>养护野生动物迁徙物种公约、</w:t>
      </w:r>
      <w:r>
        <w:rPr>
          <w:rFonts w:hint="eastAsia"/>
          <w:lang w:val="en-US"/>
        </w:rPr>
        <w:t>联合国粮食及农业组织、生物多样性和生态系统服务政府间科学政策平台</w:t>
      </w:r>
      <w:r w:rsidR="003522B8">
        <w:rPr>
          <w:rFonts w:hint="eastAsia"/>
          <w:lang w:val="en-US"/>
        </w:rPr>
        <w:t>和联合国气候变化框架公约</w:t>
      </w:r>
      <w:r>
        <w:rPr>
          <w:rFonts w:hint="eastAsia"/>
          <w:lang w:val="en-US"/>
        </w:rPr>
        <w:t>、可持续野生生物管理合作伙伴关系的工作</w:t>
      </w:r>
      <w:r w:rsidR="003522B8">
        <w:rPr>
          <w:rFonts w:hint="eastAsia"/>
          <w:lang w:val="en-US"/>
        </w:rPr>
        <w:t>以及</w:t>
      </w:r>
      <w:r w:rsidR="003522B8">
        <w:t>国际打击野生动物犯罪联</w:t>
      </w:r>
      <w:r w:rsidR="003522B8">
        <w:rPr>
          <w:rFonts w:ascii="SimSun" w:hAnsi="SimSun" w:cs="SimSun" w:hint="eastAsia"/>
        </w:rPr>
        <w:t>盟和</w:t>
      </w:r>
      <w:r w:rsidR="003522B8">
        <w:rPr>
          <w:rFonts w:hint="eastAsia"/>
          <w:lang w:val="en-US"/>
        </w:rPr>
        <w:t>其他</w:t>
      </w:r>
      <w:r w:rsidR="003522B8">
        <w:rPr>
          <w:lang w:val="en-US"/>
        </w:rPr>
        <w:t>参与执法的各方</w:t>
      </w:r>
      <w:r w:rsidR="003522B8">
        <w:rPr>
          <w:rFonts w:hint="eastAsia"/>
          <w:lang w:val="en-US"/>
        </w:rPr>
        <w:t>当前在</w:t>
      </w:r>
      <w:r w:rsidR="003522B8">
        <w:rPr>
          <w:lang w:val="en-US"/>
        </w:rPr>
        <w:t>与可持续野生动物管理相关问题上</w:t>
      </w:r>
      <w:r w:rsidR="003522B8">
        <w:rPr>
          <w:rFonts w:hint="eastAsia"/>
          <w:lang w:val="en-US"/>
        </w:rPr>
        <w:t>的</w:t>
      </w:r>
      <w:r>
        <w:rPr>
          <w:rFonts w:hint="eastAsia"/>
          <w:lang w:val="en-US"/>
        </w:rPr>
        <w:t>合作，</w:t>
      </w:r>
    </w:p>
    <w:p w14:paraId="1904FE9E" w14:textId="5D03D645" w:rsidR="007B5A7F" w:rsidRDefault="007B5A7F" w:rsidP="00485F9F">
      <w:pPr>
        <w:spacing w:line="256" w:lineRule="auto"/>
        <w:ind w:left="720" w:firstLine="720"/>
        <w:rPr>
          <w:kern w:val="22"/>
          <w:szCs w:val="22"/>
        </w:rPr>
      </w:pPr>
      <w:r>
        <w:rPr>
          <w:lang w:val="en-US"/>
        </w:rPr>
        <w:tab/>
      </w:r>
      <w:r>
        <w:rPr>
          <w:rFonts w:eastAsia="KaiTi" w:hint="eastAsia"/>
        </w:rPr>
        <w:t>认识到</w:t>
      </w:r>
      <w:r>
        <w:rPr>
          <w:rFonts w:hint="eastAsia"/>
          <w:lang w:val="en-US"/>
        </w:rPr>
        <w:t>实现生物多样性的可持续利用需要创新</w:t>
      </w:r>
      <w:r w:rsidR="00485F9F">
        <w:rPr>
          <w:rFonts w:hint="eastAsia"/>
          <w:lang w:val="en-US"/>
        </w:rPr>
        <w:t>战略办法</w:t>
      </w:r>
      <w:r>
        <w:rPr>
          <w:rFonts w:hint="eastAsia"/>
          <w:lang w:val="en-US"/>
        </w:rPr>
        <w:t>和议题</w:t>
      </w:r>
      <w:r>
        <w:rPr>
          <w:rFonts w:hint="eastAsia"/>
          <w:kern w:val="22"/>
          <w:szCs w:val="22"/>
        </w:rPr>
        <w:t>、有效的实施和行动，以确保将生物多样性纳入所有相关部门的主流，</w:t>
      </w:r>
    </w:p>
    <w:p w14:paraId="67567E3A" w14:textId="77777777" w:rsidR="00485F9F" w:rsidRPr="00DF413F" w:rsidRDefault="00485F9F" w:rsidP="00485F9F">
      <w:pPr>
        <w:spacing w:line="256" w:lineRule="auto"/>
        <w:ind w:left="720" w:firstLine="720"/>
      </w:pPr>
      <w:r w:rsidRPr="00D77D5A">
        <w:rPr>
          <w:rFonts w:eastAsia="KaiTi" w:hint="eastAsia"/>
        </w:rPr>
        <w:t>注意到</w:t>
      </w:r>
      <w:r w:rsidRPr="00D77D5A">
        <w:rPr>
          <w:rFonts w:ascii="SimSun" w:hAnsi="SimSun" w:hint="eastAsia"/>
        </w:rPr>
        <w:t>，</w:t>
      </w:r>
      <w:r w:rsidRPr="00D77D5A">
        <w:rPr>
          <w:rFonts w:eastAsia="KaiTi"/>
        </w:rPr>
        <w:t xml:space="preserve"> </w:t>
      </w:r>
      <w:r>
        <w:rPr>
          <w:rFonts w:hint="eastAsia"/>
        </w:rPr>
        <w:t>当</w:t>
      </w:r>
      <w:r>
        <w:t>消费和利用属于非法和（或）不可持续时，</w:t>
      </w:r>
      <w:r>
        <w:rPr>
          <w:rFonts w:hint="eastAsia"/>
        </w:rPr>
        <w:t>针对野生肉类</w:t>
      </w:r>
      <w:r>
        <w:t>的消费</w:t>
      </w:r>
      <w:r>
        <w:rPr>
          <w:rFonts w:hint="eastAsia"/>
        </w:rPr>
        <w:t>和</w:t>
      </w:r>
      <w:r>
        <w:t>一般针对野生生物的</w:t>
      </w:r>
      <w:r w:rsidRPr="00DF413F">
        <w:rPr>
          <w:rFonts w:hint="eastAsia"/>
        </w:rPr>
        <w:t>减少</w:t>
      </w:r>
      <w:r w:rsidRPr="00DF413F">
        <w:t>需求战略和</w:t>
      </w:r>
      <w:r>
        <w:rPr>
          <w:rFonts w:hint="eastAsia"/>
        </w:rPr>
        <w:t>替代</w:t>
      </w:r>
      <w:r>
        <w:t>生计办法</w:t>
      </w:r>
      <w:r>
        <w:rPr>
          <w:rFonts w:hint="eastAsia"/>
        </w:rPr>
        <w:t>可能</w:t>
      </w:r>
      <w:r>
        <w:t>更加有必要，</w:t>
      </w:r>
      <w:r>
        <w:rPr>
          <w:rFonts w:hint="eastAsia"/>
        </w:rPr>
        <w:t>这是因为，与可能</w:t>
      </w:r>
      <w:r>
        <w:t>导致土地用途改变从而有可能危及环境和生态系统的其他替代办法相比，可持续野生生物管理能够大大推动生物多样性的保护</w:t>
      </w:r>
      <w:r>
        <w:rPr>
          <w:rFonts w:hint="eastAsia"/>
        </w:rPr>
        <w:t>；</w:t>
      </w:r>
    </w:p>
    <w:p w14:paraId="6FA8AD17" w14:textId="0CD3236B" w:rsidR="007B5A7F" w:rsidRDefault="007B5A7F" w:rsidP="00485F9F">
      <w:pPr>
        <w:spacing w:line="256" w:lineRule="auto"/>
        <w:ind w:left="720" w:firstLine="720"/>
        <w:rPr>
          <w:kern w:val="22"/>
          <w:szCs w:val="22"/>
        </w:rPr>
      </w:pPr>
      <w:r>
        <w:rPr>
          <w:lang w:val="en-US"/>
        </w:rPr>
        <w:tab/>
      </w:r>
      <w:bookmarkStart w:id="0" w:name="_GoBack"/>
      <w:r w:rsidR="009E3DE7" w:rsidRPr="009E3DE7">
        <w:rPr>
          <w:rFonts w:eastAsia="KaiTi" w:hint="eastAsia"/>
        </w:rPr>
        <w:t>表示</w:t>
      </w:r>
      <w:bookmarkEnd w:id="0"/>
      <w:r>
        <w:rPr>
          <w:rFonts w:eastAsia="KaiTi" w:hint="eastAsia"/>
        </w:rPr>
        <w:t>注意到</w:t>
      </w:r>
      <w:r>
        <w:rPr>
          <w:rFonts w:hint="eastAsia"/>
          <w:lang w:val="en-US"/>
        </w:rPr>
        <w:t>科学</w:t>
      </w:r>
      <w:r>
        <w:rPr>
          <w:rFonts w:hint="eastAsia"/>
          <w:kern w:val="22"/>
          <w:szCs w:val="22"/>
        </w:rPr>
        <w:t>、技术和工艺咨询附属机构关于可持续野生动物管理的第</w:t>
      </w:r>
      <w:r w:rsidR="00485F9F">
        <w:rPr>
          <w:kern w:val="22"/>
          <w:szCs w:val="22"/>
        </w:rPr>
        <w:t>23/3</w:t>
      </w:r>
      <w:r>
        <w:rPr>
          <w:rFonts w:hint="eastAsia"/>
          <w:kern w:val="22"/>
          <w:szCs w:val="22"/>
        </w:rPr>
        <w:t>号建议，</w:t>
      </w:r>
    </w:p>
    <w:p w14:paraId="35054650" w14:textId="239384DD" w:rsidR="007B5A7F" w:rsidRDefault="007B5A7F" w:rsidP="00485F9F">
      <w:pPr>
        <w:tabs>
          <w:tab w:val="left" w:pos="2160"/>
        </w:tabs>
        <w:spacing w:line="256" w:lineRule="auto"/>
        <w:ind w:left="720" w:firstLine="720"/>
        <w:rPr>
          <w:bCs/>
          <w:kern w:val="22"/>
        </w:rPr>
      </w:pPr>
      <w:r>
        <w:rPr>
          <w:kern w:val="22"/>
        </w:rPr>
        <w:t>1.</w:t>
      </w:r>
      <w:r>
        <w:rPr>
          <w:kern w:val="22"/>
        </w:rPr>
        <w:tab/>
      </w:r>
      <w:r>
        <w:rPr>
          <w:rFonts w:eastAsia="KaiTi" w:hint="eastAsia"/>
        </w:rPr>
        <w:t>请</w:t>
      </w:r>
      <w:r>
        <w:rPr>
          <w:rFonts w:hint="eastAsia"/>
          <w:kern w:val="22"/>
        </w:rPr>
        <w:t>执行秘书与</w:t>
      </w:r>
      <w:r w:rsidR="00485F9F">
        <w:rPr>
          <w:rFonts w:hint="eastAsia"/>
          <w:kern w:val="22"/>
        </w:rPr>
        <w:t>各</w:t>
      </w:r>
      <w:r>
        <w:rPr>
          <w:rFonts w:hint="eastAsia"/>
          <w:kern w:val="22"/>
        </w:rPr>
        <w:t>缔约方、其他国家政府、土著人民和地方社区、可持续野生动物管理合作伙伴关系的其他成员以及其他相关利益攸关方和权利持有</w:t>
      </w:r>
      <w:r w:rsidR="00485F9F">
        <w:rPr>
          <w:rFonts w:hint="eastAsia"/>
          <w:kern w:val="22"/>
        </w:rPr>
        <w:t>者</w:t>
      </w:r>
      <w:r>
        <w:rPr>
          <w:rFonts w:hint="eastAsia"/>
          <w:kern w:val="22"/>
        </w:rPr>
        <w:t>协商，在资源允许的情况下：</w:t>
      </w:r>
    </w:p>
    <w:p w14:paraId="266747C0" w14:textId="5BE10C8F" w:rsidR="007B5A7F" w:rsidRPr="00485F9F" w:rsidRDefault="007B5A7F" w:rsidP="00485F9F">
      <w:pPr>
        <w:pStyle w:val="ListParagraph"/>
        <w:numPr>
          <w:ilvl w:val="0"/>
          <w:numId w:val="38"/>
        </w:numPr>
        <w:tabs>
          <w:tab w:val="left" w:pos="2160"/>
        </w:tabs>
        <w:spacing w:line="256" w:lineRule="auto"/>
        <w:ind w:left="720" w:firstLine="720"/>
        <w:rPr>
          <w:bCs/>
          <w:kern w:val="22"/>
        </w:rPr>
      </w:pPr>
      <w:r w:rsidRPr="00485F9F">
        <w:rPr>
          <w:rFonts w:hint="eastAsia"/>
          <w:kern w:val="22"/>
        </w:rPr>
        <w:t>完成第</w:t>
      </w:r>
      <w:r w:rsidRPr="00485F9F">
        <w:rPr>
          <w:kern w:val="22"/>
        </w:rPr>
        <w:t>14/7</w:t>
      </w:r>
      <w:r w:rsidRPr="00485F9F">
        <w:rPr>
          <w:rFonts w:hint="eastAsia"/>
          <w:kern w:val="22"/>
        </w:rPr>
        <w:t>号决定授权的工作，包括确定</w:t>
      </w:r>
      <w:r w:rsidR="0005002B">
        <w:rPr>
          <w:rFonts w:hint="eastAsia"/>
          <w:kern w:val="22"/>
        </w:rPr>
        <w:t>野生肉类</w:t>
      </w:r>
      <w:r w:rsidRPr="00485F9F">
        <w:rPr>
          <w:rFonts w:hint="eastAsia"/>
          <w:kern w:val="22"/>
        </w:rPr>
        <w:t>部门、地理区域、物种和用途之外可能需要补充指导的其他领域，充分利用</w:t>
      </w:r>
      <w:r w:rsidRPr="00485F9F">
        <w:rPr>
          <w:kern w:val="22"/>
        </w:rPr>
        <w:t>2020</w:t>
      </w:r>
      <w:r w:rsidRPr="00485F9F">
        <w:rPr>
          <w:rFonts w:hint="eastAsia"/>
          <w:kern w:val="22"/>
        </w:rPr>
        <w:t>年后可持续野生动物管理协商研讨会报告的成果</w:t>
      </w:r>
      <w:r w:rsidR="00485F9F" w:rsidRPr="00485F9F">
        <w:rPr>
          <w:vertAlign w:val="superscript"/>
        </w:rPr>
        <w:footnoteReference w:id="4"/>
      </w:r>
      <w:r w:rsidR="00485F9F" w:rsidRPr="00485F9F">
        <w:rPr>
          <w:rFonts w:hint="eastAsia"/>
          <w:kern w:val="22"/>
          <w:vertAlign w:val="superscript"/>
        </w:rPr>
        <w:t xml:space="preserve"> </w:t>
      </w:r>
      <w:r w:rsidRPr="00485F9F">
        <w:rPr>
          <w:rFonts w:hint="eastAsia"/>
          <w:kern w:val="22"/>
        </w:rPr>
        <w:t>和调查结果以及可持续野生动物管理调查的结果；</w:t>
      </w:r>
    </w:p>
    <w:p w14:paraId="63385EAC" w14:textId="7F3831D3" w:rsidR="007B5A7F" w:rsidRDefault="007B5A7F" w:rsidP="00485F9F">
      <w:pPr>
        <w:pStyle w:val="ListParagraph"/>
        <w:numPr>
          <w:ilvl w:val="0"/>
          <w:numId w:val="38"/>
        </w:numPr>
        <w:tabs>
          <w:tab w:val="left" w:pos="2160"/>
        </w:tabs>
        <w:spacing w:line="256" w:lineRule="auto"/>
        <w:ind w:left="720" w:firstLine="720"/>
        <w:rPr>
          <w:bCs/>
          <w:kern w:val="22"/>
        </w:rPr>
      </w:pPr>
      <w:r>
        <w:rPr>
          <w:rFonts w:hint="eastAsia"/>
          <w:kern w:val="22"/>
        </w:rPr>
        <w:t>继续与生物多样性和生态系统服务政府间</w:t>
      </w:r>
      <w:r w:rsidR="001E05B8">
        <w:rPr>
          <w:rFonts w:hint="eastAsia"/>
          <w:kern w:val="22"/>
        </w:rPr>
        <w:t>科学政策</w:t>
      </w:r>
      <w:r>
        <w:rPr>
          <w:rFonts w:hint="eastAsia"/>
          <w:kern w:val="22"/>
        </w:rPr>
        <w:t>平台秘书处密切合作，对野生物种的可持续利用及其对实施</w:t>
      </w:r>
      <w:r>
        <w:rPr>
          <w:kern w:val="22"/>
        </w:rPr>
        <w:t>2020</w:t>
      </w:r>
      <w:r>
        <w:rPr>
          <w:rFonts w:hint="eastAsia"/>
          <w:kern w:val="22"/>
        </w:rPr>
        <w:t>年后全球生物多样性框架的影响进行专题评估；</w:t>
      </w:r>
    </w:p>
    <w:p w14:paraId="0494E918" w14:textId="12E0DF1F" w:rsidR="007B5A7F" w:rsidRDefault="007B5A7F" w:rsidP="00485F9F">
      <w:pPr>
        <w:pStyle w:val="ListParagraph"/>
        <w:numPr>
          <w:ilvl w:val="0"/>
          <w:numId w:val="38"/>
        </w:numPr>
        <w:tabs>
          <w:tab w:val="left" w:pos="2160"/>
        </w:tabs>
        <w:spacing w:line="256" w:lineRule="auto"/>
        <w:ind w:left="720" w:firstLine="720"/>
        <w:rPr>
          <w:bCs/>
          <w:kern w:val="22"/>
        </w:rPr>
      </w:pPr>
      <w:r>
        <w:rPr>
          <w:rFonts w:hint="eastAsia"/>
          <w:kern w:val="22"/>
        </w:rPr>
        <w:t>与所有相关行为体和利益攸关方合作，确保将生物多样性特别是野生物种的可持续利用纳入所有相关部门的主流；</w:t>
      </w:r>
    </w:p>
    <w:p w14:paraId="5FBEF3D1" w14:textId="6363954A" w:rsidR="007B5A7F" w:rsidRDefault="007B5A7F" w:rsidP="00485F9F">
      <w:pPr>
        <w:pStyle w:val="ListParagraph"/>
        <w:numPr>
          <w:ilvl w:val="0"/>
          <w:numId w:val="38"/>
        </w:numPr>
        <w:tabs>
          <w:tab w:val="left" w:pos="2160"/>
        </w:tabs>
        <w:spacing w:line="256" w:lineRule="auto"/>
        <w:ind w:left="720" w:firstLine="720"/>
        <w:rPr>
          <w:kern w:val="22"/>
        </w:rPr>
      </w:pPr>
      <w:r>
        <w:rPr>
          <w:rFonts w:hint="eastAsia"/>
          <w:kern w:val="22"/>
        </w:rPr>
        <w:lastRenderedPageBreak/>
        <w:t>进一步与濒危野生动植物种国际贸易公约、联合国粮食及农业组织、养护野生动物移栖物种公约和野生动物可持续利用领域的其他相关多边环境协定合作并加强协同作用；</w:t>
      </w:r>
    </w:p>
    <w:p w14:paraId="3B9C784F" w14:textId="3B24245D" w:rsidR="007B5A7F" w:rsidRDefault="00577964" w:rsidP="00C03069">
      <w:pPr>
        <w:pStyle w:val="ListParagraph"/>
        <w:numPr>
          <w:ilvl w:val="0"/>
          <w:numId w:val="38"/>
        </w:numPr>
        <w:tabs>
          <w:tab w:val="left" w:pos="2160"/>
        </w:tabs>
        <w:spacing w:line="256" w:lineRule="auto"/>
        <w:ind w:left="720" w:firstLine="720"/>
      </w:pPr>
      <w:r w:rsidRPr="00F43A4F">
        <w:rPr>
          <w:rFonts w:hint="eastAsia"/>
          <w:kern w:val="22"/>
        </w:rPr>
        <w:t>报告上文</w:t>
      </w:r>
      <w:r w:rsidRPr="00F43A4F">
        <w:rPr>
          <w:kern w:val="22"/>
        </w:rPr>
        <w:t>所列各项</w:t>
      </w:r>
      <w:r w:rsidRPr="00F43A4F">
        <w:rPr>
          <w:rFonts w:hint="eastAsia"/>
          <w:kern w:val="22"/>
        </w:rPr>
        <w:t>活动的进展情况，</w:t>
      </w:r>
      <w:r w:rsidRPr="00F43A4F">
        <w:rPr>
          <w:kern w:val="22"/>
        </w:rPr>
        <w:t>并</w:t>
      </w:r>
      <w:r w:rsidRPr="00F43A4F">
        <w:rPr>
          <w:rFonts w:hint="eastAsia"/>
          <w:kern w:val="22"/>
        </w:rPr>
        <w:t>为</w:t>
      </w:r>
      <w:r w:rsidRPr="00F43A4F">
        <w:rPr>
          <w:kern w:val="22"/>
        </w:rPr>
        <w:t>《公约</w:t>
      </w:r>
      <w:r w:rsidRPr="00F43A4F">
        <w:rPr>
          <w:rFonts w:hint="eastAsia"/>
          <w:kern w:val="22"/>
        </w:rPr>
        <w:t>》今后</w:t>
      </w:r>
      <w:r w:rsidRPr="00F43A4F">
        <w:rPr>
          <w:kern w:val="22"/>
        </w:rPr>
        <w:t>在可持续野生动物管理方面的工作拟订建议，</w:t>
      </w:r>
      <w:r w:rsidRPr="00F43A4F">
        <w:rPr>
          <w:rFonts w:hint="eastAsia"/>
          <w:kern w:val="22"/>
        </w:rPr>
        <w:t>供</w:t>
      </w:r>
      <w:r w:rsidR="0005002B" w:rsidRPr="00F43A4F">
        <w:rPr>
          <w:rFonts w:hint="eastAsia"/>
          <w:kern w:val="22"/>
        </w:rPr>
        <w:t>缔约方大会第十六届会议</w:t>
      </w:r>
      <w:r w:rsidR="007B5A7F" w:rsidRPr="00F43A4F">
        <w:rPr>
          <w:rFonts w:hint="eastAsia"/>
          <w:kern w:val="22"/>
        </w:rPr>
        <w:t>之前</w:t>
      </w:r>
      <w:r w:rsidR="00F43A4F" w:rsidRPr="00F43A4F">
        <w:rPr>
          <w:rFonts w:hint="eastAsia"/>
          <w:kern w:val="22"/>
        </w:rPr>
        <w:t>举行</w:t>
      </w:r>
      <w:r w:rsidR="00F43A4F" w:rsidRPr="00F43A4F">
        <w:rPr>
          <w:kern w:val="22"/>
        </w:rPr>
        <w:t>的</w:t>
      </w:r>
      <w:r w:rsidR="007B5A7F" w:rsidRPr="00F43A4F">
        <w:rPr>
          <w:rFonts w:hint="eastAsia"/>
          <w:kern w:val="22"/>
        </w:rPr>
        <w:t>科学、技术和工艺咨询附属机构</w:t>
      </w:r>
      <w:r w:rsidR="00F43A4F" w:rsidRPr="00F43A4F">
        <w:rPr>
          <w:rFonts w:hint="eastAsia"/>
          <w:kern w:val="22"/>
        </w:rPr>
        <w:t>会议审议</w:t>
      </w:r>
      <w:r w:rsidR="007B5A7F" w:rsidRPr="00F43A4F">
        <w:rPr>
          <w:rFonts w:hint="eastAsia"/>
          <w:kern w:val="22"/>
        </w:rPr>
        <w:t>。</w:t>
      </w:r>
      <w:r w:rsidR="007B5A7F" w:rsidRPr="00F43A4F">
        <w:rPr>
          <w:rFonts w:hint="eastAsia"/>
          <w:kern w:val="22"/>
        </w:rPr>
        <w:t xml:space="preserve"> </w:t>
      </w:r>
    </w:p>
    <w:p w14:paraId="4CDCEA52" w14:textId="125472D5" w:rsidR="00EC64BC" w:rsidRPr="00261A19" w:rsidRDefault="008F21E5" w:rsidP="00261A19">
      <w:pPr>
        <w:spacing w:line="240" w:lineRule="auto"/>
        <w:jc w:val="center"/>
      </w:pPr>
      <w:r w:rsidRPr="00261A19">
        <w:t>——————</w:t>
      </w:r>
    </w:p>
    <w:sectPr w:rsidR="00EC64BC" w:rsidRPr="00261A19" w:rsidSect="00C1197C">
      <w:headerReference w:type="even" r:id="rId12"/>
      <w:headerReference w:type="default" r:id="rId13"/>
      <w:footerReference w:type="even" r:id="rId14"/>
      <w:footerReference w:type="default" r:id="rId15"/>
      <w:pgSz w:w="12240" w:h="15840" w:code="1"/>
      <w:pgMar w:top="749" w:right="1440" w:bottom="749" w:left="1440" w:header="562" w:footer="56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A0F9C" w14:textId="77777777" w:rsidR="00507136" w:rsidRDefault="00507136">
      <w:r>
        <w:separator/>
      </w:r>
    </w:p>
  </w:endnote>
  <w:endnote w:type="continuationSeparator" w:id="0">
    <w:p w14:paraId="517C080D" w14:textId="77777777" w:rsidR="00507136" w:rsidRDefault="0050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iTi">
    <w:altName w:val="Arial Unicode MS"/>
    <w:panose1 w:val="02010609060101010101"/>
    <w:charset w:val="86"/>
    <w:family w:val="modern"/>
    <w:pitch w:val="fixed"/>
    <w:sig w:usb0="800002BF" w:usb1="38CF7CFA"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8B80C" w14:textId="77777777" w:rsidR="00006321" w:rsidRDefault="00006321">
    <w:pPr>
      <w:tabs>
        <w:tab w:val="left" w:pos="480"/>
        <w:tab w:val="left" w:pos="840"/>
      </w:tabs>
    </w:pPr>
  </w:p>
  <w:p w14:paraId="0DF94AE0" w14:textId="77777777" w:rsidR="00006321" w:rsidRDefault="00006321">
    <w:pPr>
      <w:tabs>
        <w:tab w:val="left" w:pos="720"/>
      </w:tabs>
    </w:pPr>
    <w:r>
      <w:t xml:space="preserve">   </w:t>
    </w:r>
  </w:p>
  <w:p w14:paraId="2FBA34CA" w14:textId="77777777" w:rsidR="00006321" w:rsidRDefault="000063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AEFB4" w14:textId="77777777" w:rsidR="00006321" w:rsidRDefault="00006321">
    <w:pPr>
      <w:jc w:val="left"/>
    </w:pPr>
  </w:p>
  <w:p w14:paraId="564A9392" w14:textId="77777777" w:rsidR="00006321" w:rsidRDefault="00006321">
    <w:pP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7C429" w14:textId="77777777" w:rsidR="00507136" w:rsidRDefault="00507136">
      <w:r>
        <w:separator/>
      </w:r>
    </w:p>
  </w:footnote>
  <w:footnote w:type="continuationSeparator" w:id="0">
    <w:p w14:paraId="5332854F" w14:textId="77777777" w:rsidR="00507136" w:rsidRDefault="00507136">
      <w:r>
        <w:continuationSeparator/>
      </w:r>
    </w:p>
  </w:footnote>
  <w:footnote w:id="1">
    <w:p w14:paraId="62FCB348" w14:textId="77777777" w:rsidR="00DF413F" w:rsidRDefault="00DF413F" w:rsidP="00DF413F">
      <w:pPr>
        <w:pStyle w:val="FootnoteText"/>
        <w:tabs>
          <w:tab w:val="left" w:pos="360"/>
        </w:tabs>
        <w:spacing w:before="0"/>
        <w:ind w:firstLine="0"/>
        <w:rPr>
          <w:sz w:val="20"/>
          <w:szCs w:val="20"/>
        </w:rPr>
      </w:pPr>
      <w:r w:rsidRPr="001E05B8">
        <w:rPr>
          <w:rStyle w:val="FootnoteReference"/>
          <w:sz w:val="20"/>
          <w:szCs w:val="20"/>
          <w:u w:val="none"/>
        </w:rPr>
        <w:footnoteRef/>
      </w:r>
      <w:r w:rsidRPr="001E05B8">
        <w:rPr>
          <w:sz w:val="20"/>
          <w:szCs w:val="20"/>
        </w:rPr>
        <w:t xml:space="preserve"> </w:t>
      </w:r>
      <w:r>
        <w:rPr>
          <w:sz w:val="20"/>
          <w:szCs w:val="20"/>
        </w:rPr>
        <w:tab/>
      </w:r>
      <w:r>
        <w:rPr>
          <w:bCs/>
          <w:sz w:val="20"/>
          <w:szCs w:val="20"/>
        </w:rPr>
        <w:t>CBD/SBSTTA/23/5</w:t>
      </w:r>
      <w:r>
        <w:rPr>
          <w:rFonts w:hint="eastAsia"/>
          <w:bCs/>
          <w:sz w:val="20"/>
          <w:szCs w:val="20"/>
        </w:rPr>
        <w:t>。</w:t>
      </w:r>
    </w:p>
  </w:footnote>
  <w:footnote w:id="2">
    <w:p w14:paraId="78FBF8AC" w14:textId="77777777" w:rsidR="007B5A7F" w:rsidRDefault="007B5A7F" w:rsidP="001E05B8">
      <w:pPr>
        <w:pStyle w:val="FootnoteText"/>
        <w:tabs>
          <w:tab w:val="left" w:pos="360"/>
        </w:tabs>
        <w:spacing w:before="0"/>
        <w:ind w:firstLine="0"/>
        <w:rPr>
          <w:sz w:val="20"/>
          <w:szCs w:val="20"/>
        </w:rPr>
      </w:pPr>
      <w:r w:rsidRPr="001E05B8">
        <w:rPr>
          <w:rStyle w:val="FootnoteReference"/>
          <w:sz w:val="20"/>
          <w:szCs w:val="20"/>
          <w:u w:val="none"/>
        </w:rPr>
        <w:footnoteRef/>
      </w:r>
      <w:r w:rsidRPr="001E05B8">
        <w:rPr>
          <w:rStyle w:val="FootnoteReference"/>
          <w:sz w:val="20"/>
          <w:u w:val="none"/>
        </w:rPr>
        <w:t xml:space="preserve"> </w:t>
      </w:r>
      <w:r>
        <w:rPr>
          <w:sz w:val="20"/>
          <w:szCs w:val="20"/>
        </w:rPr>
        <w:tab/>
      </w:r>
      <w:r>
        <w:rPr>
          <w:rFonts w:hint="eastAsia"/>
          <w:sz w:val="20"/>
          <w:szCs w:val="20"/>
        </w:rPr>
        <w:t>见</w:t>
      </w:r>
      <w:hyperlink r:id="rId1" w:history="1">
        <w:r>
          <w:rPr>
            <w:rStyle w:val="Hyperlink"/>
            <w:sz w:val="20"/>
            <w:szCs w:val="20"/>
          </w:rPr>
          <w:t>CBD/WG2020/1/INF/3</w:t>
        </w:r>
      </w:hyperlink>
      <w:r>
        <w:rPr>
          <w:rFonts w:hint="eastAsia"/>
          <w:sz w:val="20"/>
          <w:szCs w:val="20"/>
        </w:rPr>
        <w:t>。</w:t>
      </w:r>
    </w:p>
  </w:footnote>
  <w:footnote w:id="3">
    <w:p w14:paraId="757FC881" w14:textId="77777777" w:rsidR="007B5A7F" w:rsidRDefault="007B5A7F" w:rsidP="001E05B8">
      <w:pPr>
        <w:pStyle w:val="FootnoteText"/>
        <w:tabs>
          <w:tab w:val="left" w:pos="360"/>
        </w:tabs>
        <w:spacing w:before="0"/>
        <w:ind w:firstLine="0"/>
        <w:rPr>
          <w:kern w:val="18"/>
          <w:szCs w:val="18"/>
          <w:lang w:val="en-CA"/>
        </w:rPr>
      </w:pPr>
      <w:r w:rsidRPr="001E05B8">
        <w:rPr>
          <w:rStyle w:val="FootnoteReference"/>
          <w:sz w:val="20"/>
          <w:szCs w:val="20"/>
          <w:u w:val="none"/>
        </w:rPr>
        <w:footnoteRef/>
      </w:r>
      <w:r w:rsidRPr="001E05B8">
        <w:rPr>
          <w:rStyle w:val="FootnoteReference"/>
          <w:sz w:val="20"/>
          <w:szCs w:val="20"/>
          <w:u w:val="none"/>
        </w:rPr>
        <w:t xml:space="preserve"> </w:t>
      </w:r>
      <w:r>
        <w:rPr>
          <w:kern w:val="18"/>
          <w:szCs w:val="18"/>
        </w:rPr>
        <w:tab/>
      </w:r>
      <w:r>
        <w:rPr>
          <w:rFonts w:hint="eastAsia"/>
          <w:kern w:val="18"/>
          <w:szCs w:val="18"/>
        </w:rPr>
        <w:t>见</w:t>
      </w:r>
      <w:hyperlink r:id="rId2" w:history="1">
        <w:r>
          <w:rPr>
            <w:rStyle w:val="Hyperlink"/>
            <w:kern w:val="18"/>
            <w:szCs w:val="18"/>
          </w:rPr>
          <w:t>CBD/SBSTTA/23/INF/19</w:t>
        </w:r>
      </w:hyperlink>
      <w:r>
        <w:rPr>
          <w:rFonts w:hint="eastAsia"/>
          <w:kern w:val="18"/>
          <w:szCs w:val="18"/>
        </w:rPr>
        <w:t>。</w:t>
      </w:r>
    </w:p>
  </w:footnote>
  <w:footnote w:id="4">
    <w:p w14:paraId="79842FAF" w14:textId="35935875" w:rsidR="00485F9F" w:rsidRPr="00D21493" w:rsidRDefault="00485F9F" w:rsidP="00D21493">
      <w:pPr>
        <w:tabs>
          <w:tab w:val="left" w:pos="360"/>
        </w:tabs>
        <w:spacing w:line="256" w:lineRule="auto"/>
        <w:rPr>
          <w:szCs w:val="18"/>
        </w:rPr>
      </w:pPr>
      <w:r w:rsidRPr="00D21493">
        <w:rPr>
          <w:rStyle w:val="FootnoteReference"/>
          <w:sz w:val="20"/>
          <w:szCs w:val="18"/>
          <w:u w:val="none"/>
        </w:rPr>
        <w:footnoteRef/>
      </w:r>
      <w:r w:rsidRPr="00D21493">
        <w:rPr>
          <w:sz w:val="20"/>
          <w:szCs w:val="18"/>
        </w:rPr>
        <w:t xml:space="preserve"> </w:t>
      </w:r>
      <w:r w:rsidR="0005002B" w:rsidRPr="00D21493">
        <w:rPr>
          <w:sz w:val="20"/>
          <w:szCs w:val="18"/>
        </w:rPr>
        <w:tab/>
      </w:r>
      <w:r w:rsidR="0005002B" w:rsidRPr="00D21493">
        <w:rPr>
          <w:rFonts w:hint="eastAsia"/>
          <w:sz w:val="20"/>
          <w:szCs w:val="18"/>
        </w:rPr>
        <w:t>见</w:t>
      </w:r>
      <w:hyperlink r:id="rId3" w:history="1">
        <w:r w:rsidRPr="00D21493">
          <w:rPr>
            <w:rStyle w:val="Hyperlink"/>
            <w:sz w:val="20"/>
            <w:szCs w:val="18"/>
          </w:rPr>
          <w:t>CBD/WG2020/1/INF/3</w:t>
        </w:r>
      </w:hyperlink>
      <w:r w:rsidR="0005002B" w:rsidRPr="00D21493">
        <w:rPr>
          <w:rFonts w:hint="eastAsia"/>
          <w:sz w:val="20"/>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94F4" w14:textId="726E5CB3" w:rsidR="00261A19" w:rsidRPr="00261A19" w:rsidRDefault="00261A19" w:rsidP="00261A19">
    <w:pPr>
      <w:spacing w:before="0" w:after="0" w:line="240" w:lineRule="auto"/>
      <w:rPr>
        <w:snapToGrid w:val="0"/>
        <w:kern w:val="22"/>
        <w:szCs w:val="22"/>
        <w:lang w:val="en-US" w:eastAsia="en-US"/>
      </w:rPr>
    </w:pPr>
    <w:r w:rsidRPr="00261A19">
      <w:rPr>
        <w:rFonts w:eastAsia="Times New Roman"/>
        <w:snapToGrid w:val="0"/>
        <w:kern w:val="22"/>
        <w:szCs w:val="22"/>
        <w:lang w:val="en-US" w:eastAsia="en-US"/>
      </w:rPr>
      <w:t>CBD/SBSTTA/REC/23/</w:t>
    </w:r>
    <w:r w:rsidR="00275726">
      <w:rPr>
        <w:rFonts w:eastAsia="Times New Roman"/>
        <w:snapToGrid w:val="0"/>
        <w:kern w:val="22"/>
        <w:szCs w:val="22"/>
        <w:lang w:val="en-US" w:eastAsia="en-US"/>
      </w:rPr>
      <w:t>3</w:t>
    </w:r>
  </w:p>
  <w:p w14:paraId="49CD8C16" w14:textId="468D7703" w:rsidR="00006321" w:rsidRDefault="00006321" w:rsidP="00D031B9">
    <w:pPr>
      <w:spacing w:before="0" w:after="0"/>
      <w:jc w:val="left"/>
      <w:rPr>
        <w:lang w:val="en-US"/>
      </w:rPr>
    </w:pPr>
    <w:r>
      <w:t xml:space="preserve">Page </w:t>
    </w:r>
    <w:r>
      <w:fldChar w:fldCharType="begin"/>
    </w:r>
    <w:r>
      <w:instrText xml:space="preserve"> PAGE </w:instrText>
    </w:r>
    <w:r>
      <w:fldChar w:fldCharType="separate"/>
    </w:r>
    <w:r w:rsidR="009E3DE7">
      <w:rPr>
        <w:noProof/>
      </w:rPr>
      <w:t>2</w:t>
    </w:r>
    <w:r>
      <w:fldChar w:fldCharType="end"/>
    </w:r>
    <w:r>
      <w:rPr>
        <w:rFonts w:hint="eastAsia"/>
        <w:lang w:val="en-US"/>
      </w:rPr>
      <w:t xml:space="preserve"> </w:t>
    </w:r>
  </w:p>
  <w:p w14:paraId="255BC85F" w14:textId="77777777" w:rsidR="00261A19" w:rsidRDefault="00261A19" w:rsidP="00D031B9">
    <w:pPr>
      <w:spacing w:before="0" w:after="0"/>
      <w:jc w:val="left"/>
      <w:rPr>
        <w:lang w:val="en-US"/>
      </w:rPr>
    </w:pPr>
  </w:p>
  <w:p w14:paraId="3C1B805D" w14:textId="77777777" w:rsidR="00D031B9" w:rsidRDefault="00D031B9" w:rsidP="00D031B9">
    <w:pPr>
      <w:spacing w:before="0" w:after="0"/>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3E949" w14:textId="428A94BC" w:rsidR="00261A19" w:rsidRPr="00261A19" w:rsidRDefault="00261A19" w:rsidP="00261A19">
    <w:pPr>
      <w:spacing w:before="0" w:after="0" w:line="240" w:lineRule="auto"/>
      <w:jc w:val="right"/>
      <w:rPr>
        <w:snapToGrid w:val="0"/>
        <w:kern w:val="22"/>
        <w:szCs w:val="22"/>
        <w:lang w:val="en-US" w:eastAsia="en-US"/>
      </w:rPr>
    </w:pPr>
    <w:r w:rsidRPr="00261A19">
      <w:rPr>
        <w:rFonts w:eastAsia="Times New Roman"/>
        <w:snapToGrid w:val="0"/>
        <w:kern w:val="22"/>
        <w:szCs w:val="22"/>
        <w:lang w:val="en-US" w:eastAsia="en-US"/>
      </w:rPr>
      <w:t>CBD/SBSTTA/REC/23/</w:t>
    </w:r>
    <w:r w:rsidR="00275726">
      <w:rPr>
        <w:rFonts w:eastAsia="Times New Roman"/>
        <w:snapToGrid w:val="0"/>
        <w:kern w:val="22"/>
        <w:szCs w:val="22"/>
        <w:lang w:val="en-US" w:eastAsia="en-US"/>
      </w:rPr>
      <w:t>3</w:t>
    </w:r>
  </w:p>
  <w:p w14:paraId="52397DAB" w14:textId="77777777" w:rsidR="00261A19" w:rsidRDefault="00261A19" w:rsidP="00261A19">
    <w:pPr>
      <w:spacing w:before="0" w:after="0"/>
      <w:jc w:val="right"/>
      <w:rPr>
        <w:lang w:val="en-US"/>
      </w:rPr>
    </w:pPr>
    <w:r>
      <w:t xml:space="preserve">Page </w:t>
    </w:r>
    <w:r>
      <w:fldChar w:fldCharType="begin"/>
    </w:r>
    <w:r>
      <w:instrText xml:space="preserve"> PAGE </w:instrText>
    </w:r>
    <w:r>
      <w:fldChar w:fldCharType="separate"/>
    </w:r>
    <w:r w:rsidR="009E3DE7">
      <w:rPr>
        <w:noProof/>
      </w:rPr>
      <w:t>3</w:t>
    </w:r>
    <w:r>
      <w:fldChar w:fldCharType="end"/>
    </w:r>
    <w:r>
      <w:rPr>
        <w:rFonts w:hint="eastAsia"/>
        <w:lang w:val="en-US"/>
      </w:rPr>
      <w:t xml:space="preserve"> </w:t>
    </w:r>
  </w:p>
  <w:p w14:paraId="1F12C18B" w14:textId="77777777" w:rsidR="00D031B9" w:rsidRDefault="00D031B9" w:rsidP="00D031B9">
    <w:pPr>
      <w:spacing w:before="0" w:after="0"/>
      <w:jc w:val="right"/>
      <w:rPr>
        <w:lang w:val="en-US"/>
      </w:rPr>
    </w:pPr>
  </w:p>
  <w:p w14:paraId="0296F566" w14:textId="77777777" w:rsidR="00261A19" w:rsidRDefault="00261A19" w:rsidP="00D031B9">
    <w:pPr>
      <w:spacing w:before="0" w:after="0"/>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9003C9"/>
    <w:multiLevelType w:val="hybridMultilevel"/>
    <w:tmpl w:val="DFEE26C2"/>
    <w:lvl w:ilvl="0" w:tplc="579C6FDA">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0C7B7134"/>
    <w:multiLevelType w:val="hybridMultilevel"/>
    <w:tmpl w:val="2B34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92D17"/>
    <w:multiLevelType w:val="hybridMultilevel"/>
    <w:tmpl w:val="95D8E470"/>
    <w:lvl w:ilvl="0" w:tplc="06D6B320">
      <w:start w:val="1"/>
      <w:numFmt w:val="decimal"/>
      <w:lvlText w:val="%1."/>
      <w:lvlJc w:val="left"/>
      <w:pPr>
        <w:ind w:left="850" w:hanging="49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160CF8"/>
    <w:multiLevelType w:val="singleLevel"/>
    <w:tmpl w:val="28161C8A"/>
    <w:lvl w:ilvl="0">
      <w:start w:val="3"/>
      <w:numFmt w:val="decimal"/>
      <w:lvlText w:val="3.%1 "/>
      <w:legacy w:legacy="1" w:legacySpace="0" w:legacyIndent="283"/>
      <w:lvlJc w:val="left"/>
      <w:pPr>
        <w:ind w:left="283" w:hanging="283"/>
      </w:pPr>
      <w:rPr>
        <w:rFonts w:ascii="Courier" w:hAnsi="Courier" w:hint="default"/>
        <w:b w:val="0"/>
        <w:i w:val="0"/>
        <w:sz w:val="20"/>
        <w:u w:val="none"/>
      </w:rPr>
    </w:lvl>
  </w:abstractNum>
  <w:abstractNum w:abstractNumId="6" w15:restartNumberingAfterBreak="0">
    <w:nsid w:val="23E12E32"/>
    <w:multiLevelType w:val="hybridMultilevel"/>
    <w:tmpl w:val="AB4ABA76"/>
    <w:lvl w:ilvl="0" w:tplc="D6A07B3A">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72F44"/>
    <w:multiLevelType w:val="hybridMultilevel"/>
    <w:tmpl w:val="696A5D9A"/>
    <w:lvl w:ilvl="0" w:tplc="6A34B2A6">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84512C8"/>
    <w:multiLevelType w:val="hybridMultilevel"/>
    <w:tmpl w:val="958A603C"/>
    <w:lvl w:ilvl="0" w:tplc="92EE55BC">
      <w:start w:val="1"/>
      <w:numFmt w:val="lowerLetter"/>
      <w:lvlText w:val="(%1)"/>
      <w:lvlJc w:val="left"/>
      <w:pPr>
        <w:ind w:left="1800" w:hanging="14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2250A"/>
    <w:multiLevelType w:val="hybridMultilevel"/>
    <w:tmpl w:val="28AE1E72"/>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DB318A"/>
    <w:multiLevelType w:val="hybridMultilevel"/>
    <w:tmpl w:val="632E4938"/>
    <w:lvl w:ilvl="0" w:tplc="611A9E6C">
      <w:start w:val="1"/>
      <w:numFmt w:val="lowerLetter"/>
      <w:lvlText w:val="(%1)"/>
      <w:lvlJc w:val="left"/>
      <w:pPr>
        <w:tabs>
          <w:tab w:val="num" w:pos="720"/>
        </w:tabs>
        <w:ind w:left="720" w:hanging="720"/>
      </w:pPr>
      <w:rPr>
        <w:rFonts w:ascii="Times New Roman" w:hAnsi="Times New Roman" w:hint="default"/>
        <w:b w:val="0"/>
        <w:i/>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F5D313E"/>
    <w:multiLevelType w:val="hybridMultilevel"/>
    <w:tmpl w:val="AD5E99D8"/>
    <w:lvl w:ilvl="0" w:tplc="16041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91C85"/>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53E52"/>
    <w:multiLevelType w:val="multilevel"/>
    <w:tmpl w:val="8E5A9DAC"/>
    <w:lvl w:ilvl="0">
      <w:start w:val="1"/>
      <w:numFmt w:val="decimal"/>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A3B20DA"/>
    <w:multiLevelType w:val="hybridMultilevel"/>
    <w:tmpl w:val="1C2AD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B0B1E"/>
    <w:multiLevelType w:val="multilevel"/>
    <w:tmpl w:val="E07EC09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8" w15:restartNumberingAfterBreak="0">
    <w:nsid w:val="3CE43C91"/>
    <w:multiLevelType w:val="singleLevel"/>
    <w:tmpl w:val="B36A8C58"/>
    <w:lvl w:ilvl="0">
      <w:start w:val="1"/>
      <w:numFmt w:val="decimal"/>
      <w:lvlText w:val="%1."/>
      <w:lvlJc w:val="left"/>
      <w:pPr>
        <w:tabs>
          <w:tab w:val="num" w:pos="360"/>
        </w:tabs>
        <w:ind w:left="0" w:firstLine="0"/>
      </w:pPr>
    </w:lvl>
  </w:abstractNum>
  <w:abstractNum w:abstractNumId="19" w15:restartNumberingAfterBreak="0">
    <w:nsid w:val="3DB63129"/>
    <w:multiLevelType w:val="hybridMultilevel"/>
    <w:tmpl w:val="521EB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46FF5"/>
    <w:multiLevelType w:val="hybridMultilevel"/>
    <w:tmpl w:val="5A70F666"/>
    <w:lvl w:ilvl="0" w:tplc="9B42D92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C7FBB"/>
    <w:multiLevelType w:val="hybridMultilevel"/>
    <w:tmpl w:val="DC8ED5BA"/>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57440D0"/>
    <w:multiLevelType w:val="hybridMultilevel"/>
    <w:tmpl w:val="6FF0B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C1341E"/>
    <w:multiLevelType w:val="hybridMultilevel"/>
    <w:tmpl w:val="47004A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8356DF8"/>
    <w:multiLevelType w:val="hybridMultilevel"/>
    <w:tmpl w:val="E72620D2"/>
    <w:lvl w:ilvl="0" w:tplc="B7BE8C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E0442B4"/>
    <w:multiLevelType w:val="multilevel"/>
    <w:tmpl w:val="0D0A7D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pStyle w:val="Para3"/>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7"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41E5533"/>
    <w:multiLevelType w:val="multilevel"/>
    <w:tmpl w:val="048825CA"/>
    <w:lvl w:ilvl="0">
      <w:start w:val="1"/>
      <w:numFmt w:val="decimal"/>
      <w:lvlText w:val="%1."/>
      <w:lvlJc w:val="left"/>
      <w:pPr>
        <w:tabs>
          <w:tab w:val="num" w:pos="1080"/>
        </w:tabs>
        <w:ind w:left="1080" w:hanging="720"/>
      </w:pPr>
      <w:rPr>
        <w:rFonts w:ascii="Times New Roman" w:eastAsia="SimSun" w:hAnsi="Times New Roman" w:cs="Times New Roman" w:hint="default"/>
        <w:sz w:val="24"/>
        <w:szCs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9" w15:restartNumberingAfterBreak="0">
    <w:nsid w:val="59AD0E89"/>
    <w:multiLevelType w:val="hybridMultilevel"/>
    <w:tmpl w:val="3118B15A"/>
    <w:lvl w:ilvl="0" w:tplc="AA60D8D6">
      <w:start w:val="1"/>
      <w:numFmt w:val="japaneseCounting"/>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1F9470B"/>
    <w:multiLevelType w:val="hybridMultilevel"/>
    <w:tmpl w:val="50F88B46"/>
    <w:lvl w:ilvl="0" w:tplc="FFFFFFFF">
      <w:start w:val="1"/>
      <w:numFmt w:val="decimal"/>
      <w:lvlText w:val="%1."/>
      <w:lvlJc w:val="left"/>
      <w:pPr>
        <w:tabs>
          <w:tab w:val="num" w:pos="360"/>
        </w:tabs>
        <w:ind w:left="0"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7EC0EF0"/>
    <w:multiLevelType w:val="hybridMultilevel"/>
    <w:tmpl w:val="97DA042C"/>
    <w:lvl w:ilvl="0" w:tplc="6BCE276C">
      <w:start w:val="9"/>
      <w:numFmt w:val="decimal"/>
      <w:lvlText w:val="%1."/>
      <w:lvlJc w:val="left"/>
      <w:pPr>
        <w:ind w:left="21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2C1A04"/>
    <w:multiLevelType w:val="hybridMultilevel"/>
    <w:tmpl w:val="1E364CD8"/>
    <w:lvl w:ilvl="0" w:tplc="9834A6C4">
      <w:start w:val="1"/>
      <w:numFmt w:val="lowerLetter"/>
      <w:lvlText w:val="(%1)"/>
      <w:lvlJc w:val="left"/>
      <w:pPr>
        <w:ind w:left="970" w:hanging="48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4" w15:restartNumberingAfterBreak="0">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A1556E"/>
    <w:multiLevelType w:val="hybridMultilevel"/>
    <w:tmpl w:val="50342FA8"/>
    <w:lvl w:ilvl="0" w:tplc="174AE974">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6" w15:restartNumberingAfterBreak="0">
    <w:nsid w:val="7C93761D"/>
    <w:multiLevelType w:val="hybridMultilevel"/>
    <w:tmpl w:val="A2367150"/>
    <w:lvl w:ilvl="0" w:tplc="32C4D004">
      <w:start w:val="1"/>
      <w:numFmt w:val="lowerLetter"/>
      <w:lvlText w:val="(%1)"/>
      <w:lvlJc w:val="left"/>
      <w:pPr>
        <w:ind w:left="2160" w:hanging="72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1"/>
  </w:num>
  <w:num w:numId="3">
    <w:abstractNumId w:val="18"/>
  </w:num>
  <w:num w:numId="4">
    <w:abstractNumId w:val="10"/>
  </w:num>
  <w:num w:numId="5">
    <w:abstractNumId w:val="17"/>
  </w:num>
  <w:num w:numId="6">
    <w:abstractNumId w:val="25"/>
  </w:num>
  <w:num w:numId="7">
    <w:abstractNumId w:val="5"/>
  </w:num>
  <w:num w:numId="8">
    <w:abstractNumId w:val="12"/>
  </w:num>
  <w:num w:numId="9">
    <w:abstractNumId w:val="21"/>
  </w:num>
  <w:num w:numId="10">
    <w:abstractNumId w:val="0"/>
  </w:num>
  <w:num w:numId="11">
    <w:abstractNumId w:val="26"/>
  </w:num>
  <w:num w:numId="12">
    <w:abstractNumId w:val="27"/>
  </w:num>
  <w:num w:numId="13">
    <w:abstractNumId w:val="32"/>
  </w:num>
  <w:num w:numId="14">
    <w:abstractNumId w:val="4"/>
  </w:num>
  <w:num w:numId="15">
    <w:abstractNumId w:val="30"/>
  </w:num>
  <w:num w:numId="16">
    <w:abstractNumId w:val="28"/>
  </w:num>
  <w:num w:numId="17">
    <w:abstractNumId w:val="2"/>
  </w:num>
  <w:num w:numId="18">
    <w:abstractNumId w:val="24"/>
  </w:num>
  <w:num w:numId="19">
    <w:abstractNumId w:val="13"/>
  </w:num>
  <w:num w:numId="20">
    <w:abstractNumId w:val="20"/>
  </w:num>
  <w:num w:numId="21">
    <w:abstractNumId w:val="29"/>
  </w:num>
  <w:num w:numId="22">
    <w:abstractNumId w:val="35"/>
  </w:num>
  <w:num w:numId="23">
    <w:abstractNumId w:val="1"/>
  </w:num>
  <w:num w:numId="24">
    <w:abstractNumId w:val="22"/>
  </w:num>
  <w:num w:numId="25">
    <w:abstractNumId w:val="16"/>
  </w:num>
  <w:num w:numId="26">
    <w:abstractNumId w:val="19"/>
  </w:num>
  <w:num w:numId="27">
    <w:abstractNumId w:val="3"/>
  </w:num>
  <w:num w:numId="28">
    <w:abstractNumId w:val="15"/>
  </w:num>
  <w:num w:numId="29">
    <w:abstractNumId w:val="6"/>
  </w:num>
  <w:num w:numId="30">
    <w:abstractNumId w:val="7"/>
  </w:num>
  <w:num w:numId="31">
    <w:abstractNumId w:val="31"/>
  </w:num>
  <w:num w:numId="32">
    <w:abstractNumId w:val="3"/>
  </w:num>
  <w:num w:numId="33">
    <w:abstractNumId w:val="14"/>
  </w:num>
  <w:num w:numId="34">
    <w:abstractNumId w:val="33"/>
  </w:num>
  <w:num w:numId="35">
    <w:abstractNumId w:val="8"/>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6"/>
  </w:num>
  <w:num w:numId="39">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EB"/>
    <w:rsid w:val="00006321"/>
    <w:rsid w:val="000174FB"/>
    <w:rsid w:val="000360DA"/>
    <w:rsid w:val="0004417A"/>
    <w:rsid w:val="0005002B"/>
    <w:rsid w:val="00050C5F"/>
    <w:rsid w:val="000513F0"/>
    <w:rsid w:val="000519DB"/>
    <w:rsid w:val="00064D8E"/>
    <w:rsid w:val="0007459A"/>
    <w:rsid w:val="00083FF6"/>
    <w:rsid w:val="00084382"/>
    <w:rsid w:val="000926CC"/>
    <w:rsid w:val="000953DA"/>
    <w:rsid w:val="000A3338"/>
    <w:rsid w:val="000D1EFC"/>
    <w:rsid w:val="000E549B"/>
    <w:rsid w:val="00107EA9"/>
    <w:rsid w:val="00110CED"/>
    <w:rsid w:val="001129A4"/>
    <w:rsid w:val="001625A5"/>
    <w:rsid w:val="001909F3"/>
    <w:rsid w:val="001A5EA6"/>
    <w:rsid w:val="001C3F68"/>
    <w:rsid w:val="001C55D3"/>
    <w:rsid w:val="001E05B8"/>
    <w:rsid w:val="001F4F0E"/>
    <w:rsid w:val="0020245D"/>
    <w:rsid w:val="00217A2A"/>
    <w:rsid w:val="0022482D"/>
    <w:rsid w:val="00224A48"/>
    <w:rsid w:val="00224BAC"/>
    <w:rsid w:val="002257B8"/>
    <w:rsid w:val="002474AE"/>
    <w:rsid w:val="00261A19"/>
    <w:rsid w:val="00263E9F"/>
    <w:rsid w:val="00275726"/>
    <w:rsid w:val="00290041"/>
    <w:rsid w:val="002B0C69"/>
    <w:rsid w:val="002B0CBD"/>
    <w:rsid w:val="002C2FEA"/>
    <w:rsid w:val="002C55C7"/>
    <w:rsid w:val="002F313A"/>
    <w:rsid w:val="00311EB2"/>
    <w:rsid w:val="003522B8"/>
    <w:rsid w:val="00355F2C"/>
    <w:rsid w:val="00373D9E"/>
    <w:rsid w:val="00394B62"/>
    <w:rsid w:val="003A0650"/>
    <w:rsid w:val="003D233F"/>
    <w:rsid w:val="003E4587"/>
    <w:rsid w:val="003F178D"/>
    <w:rsid w:val="00414DC1"/>
    <w:rsid w:val="00416A43"/>
    <w:rsid w:val="0041782B"/>
    <w:rsid w:val="00464BC3"/>
    <w:rsid w:val="00480536"/>
    <w:rsid w:val="00485F9F"/>
    <w:rsid w:val="00493A0A"/>
    <w:rsid w:val="00497321"/>
    <w:rsid w:val="004A4ED6"/>
    <w:rsid w:val="004B1C00"/>
    <w:rsid w:val="004D0C53"/>
    <w:rsid w:val="004D37B6"/>
    <w:rsid w:val="004D7C4D"/>
    <w:rsid w:val="004E1BAF"/>
    <w:rsid w:val="00501B60"/>
    <w:rsid w:val="00503F62"/>
    <w:rsid w:val="00507136"/>
    <w:rsid w:val="00515E0F"/>
    <w:rsid w:val="00524E39"/>
    <w:rsid w:val="00534EE9"/>
    <w:rsid w:val="00541FF0"/>
    <w:rsid w:val="00542C9E"/>
    <w:rsid w:val="00556BCA"/>
    <w:rsid w:val="00566F35"/>
    <w:rsid w:val="00577964"/>
    <w:rsid w:val="00594F27"/>
    <w:rsid w:val="005963BF"/>
    <w:rsid w:val="005A2E57"/>
    <w:rsid w:val="005B3EFF"/>
    <w:rsid w:val="005C24BD"/>
    <w:rsid w:val="005E0683"/>
    <w:rsid w:val="005E08E9"/>
    <w:rsid w:val="005E5608"/>
    <w:rsid w:val="00601E90"/>
    <w:rsid w:val="00604E13"/>
    <w:rsid w:val="00606571"/>
    <w:rsid w:val="00621DE7"/>
    <w:rsid w:val="00630482"/>
    <w:rsid w:val="006505F8"/>
    <w:rsid w:val="00661673"/>
    <w:rsid w:val="00674A85"/>
    <w:rsid w:val="0068311C"/>
    <w:rsid w:val="00685DE2"/>
    <w:rsid w:val="006969B0"/>
    <w:rsid w:val="006B2ADF"/>
    <w:rsid w:val="006B5C2D"/>
    <w:rsid w:val="006C2DC9"/>
    <w:rsid w:val="006D1623"/>
    <w:rsid w:val="006D26D7"/>
    <w:rsid w:val="006D7F1F"/>
    <w:rsid w:val="006E603F"/>
    <w:rsid w:val="006F74DC"/>
    <w:rsid w:val="00736F80"/>
    <w:rsid w:val="007525F8"/>
    <w:rsid w:val="00754EA5"/>
    <w:rsid w:val="00773114"/>
    <w:rsid w:val="0077708F"/>
    <w:rsid w:val="00795C1A"/>
    <w:rsid w:val="007B5A7F"/>
    <w:rsid w:val="007C2062"/>
    <w:rsid w:val="007D45B2"/>
    <w:rsid w:val="007E4A98"/>
    <w:rsid w:val="007E6394"/>
    <w:rsid w:val="0081669C"/>
    <w:rsid w:val="0084008A"/>
    <w:rsid w:val="0084659F"/>
    <w:rsid w:val="00860BA5"/>
    <w:rsid w:val="00874582"/>
    <w:rsid w:val="00875CB0"/>
    <w:rsid w:val="008815BB"/>
    <w:rsid w:val="00883CEB"/>
    <w:rsid w:val="00894FF1"/>
    <w:rsid w:val="00896DE1"/>
    <w:rsid w:val="00897706"/>
    <w:rsid w:val="008B641D"/>
    <w:rsid w:val="008F15B6"/>
    <w:rsid w:val="008F21E5"/>
    <w:rsid w:val="008F2787"/>
    <w:rsid w:val="008F3D19"/>
    <w:rsid w:val="008F6BD9"/>
    <w:rsid w:val="0090619C"/>
    <w:rsid w:val="009134A2"/>
    <w:rsid w:val="00922326"/>
    <w:rsid w:val="009424C5"/>
    <w:rsid w:val="009428C0"/>
    <w:rsid w:val="00942A3F"/>
    <w:rsid w:val="0094363C"/>
    <w:rsid w:val="00955AFA"/>
    <w:rsid w:val="00973F6F"/>
    <w:rsid w:val="00995A41"/>
    <w:rsid w:val="009B49FE"/>
    <w:rsid w:val="009B4F86"/>
    <w:rsid w:val="009E3DE7"/>
    <w:rsid w:val="009E5ACA"/>
    <w:rsid w:val="009E6CFD"/>
    <w:rsid w:val="009F1747"/>
    <w:rsid w:val="009F5AA8"/>
    <w:rsid w:val="00A01789"/>
    <w:rsid w:val="00A05999"/>
    <w:rsid w:val="00A36ACC"/>
    <w:rsid w:val="00A64C33"/>
    <w:rsid w:val="00A676CF"/>
    <w:rsid w:val="00A70EF7"/>
    <w:rsid w:val="00A81D37"/>
    <w:rsid w:val="00A87F94"/>
    <w:rsid w:val="00A92F85"/>
    <w:rsid w:val="00AA281D"/>
    <w:rsid w:val="00AA4A69"/>
    <w:rsid w:val="00AB0A72"/>
    <w:rsid w:val="00AB25FA"/>
    <w:rsid w:val="00AC2A13"/>
    <w:rsid w:val="00AC3E62"/>
    <w:rsid w:val="00AE2529"/>
    <w:rsid w:val="00AF7F4E"/>
    <w:rsid w:val="00B107DE"/>
    <w:rsid w:val="00B1120F"/>
    <w:rsid w:val="00B30A01"/>
    <w:rsid w:val="00B31D5E"/>
    <w:rsid w:val="00B50017"/>
    <w:rsid w:val="00B5417A"/>
    <w:rsid w:val="00B55D5E"/>
    <w:rsid w:val="00B81B73"/>
    <w:rsid w:val="00B87258"/>
    <w:rsid w:val="00BA1A00"/>
    <w:rsid w:val="00BA6030"/>
    <w:rsid w:val="00BB476C"/>
    <w:rsid w:val="00BB658D"/>
    <w:rsid w:val="00BE1963"/>
    <w:rsid w:val="00C022B0"/>
    <w:rsid w:val="00C1197C"/>
    <w:rsid w:val="00C167F9"/>
    <w:rsid w:val="00C243D2"/>
    <w:rsid w:val="00C34674"/>
    <w:rsid w:val="00C372EC"/>
    <w:rsid w:val="00C47D6B"/>
    <w:rsid w:val="00C96CEB"/>
    <w:rsid w:val="00CA0C18"/>
    <w:rsid w:val="00CB29BD"/>
    <w:rsid w:val="00CB4DE1"/>
    <w:rsid w:val="00CC0176"/>
    <w:rsid w:val="00CE79D4"/>
    <w:rsid w:val="00D031B9"/>
    <w:rsid w:val="00D1442B"/>
    <w:rsid w:val="00D21493"/>
    <w:rsid w:val="00D26BEE"/>
    <w:rsid w:val="00D40607"/>
    <w:rsid w:val="00D40B64"/>
    <w:rsid w:val="00D411E7"/>
    <w:rsid w:val="00D46EA7"/>
    <w:rsid w:val="00D77D5A"/>
    <w:rsid w:val="00D8219C"/>
    <w:rsid w:val="00DA394A"/>
    <w:rsid w:val="00DA5C0A"/>
    <w:rsid w:val="00DB09F8"/>
    <w:rsid w:val="00DB41C5"/>
    <w:rsid w:val="00DB6DBA"/>
    <w:rsid w:val="00DE3CFD"/>
    <w:rsid w:val="00DF413F"/>
    <w:rsid w:val="00E00634"/>
    <w:rsid w:val="00E1004A"/>
    <w:rsid w:val="00E31F10"/>
    <w:rsid w:val="00E375FD"/>
    <w:rsid w:val="00E47CBD"/>
    <w:rsid w:val="00E50CB6"/>
    <w:rsid w:val="00E53476"/>
    <w:rsid w:val="00E86D8D"/>
    <w:rsid w:val="00E92E4B"/>
    <w:rsid w:val="00E94773"/>
    <w:rsid w:val="00EC64BC"/>
    <w:rsid w:val="00EC7D7D"/>
    <w:rsid w:val="00ED03C6"/>
    <w:rsid w:val="00ED1E5C"/>
    <w:rsid w:val="00ED7F54"/>
    <w:rsid w:val="00F07F09"/>
    <w:rsid w:val="00F1460F"/>
    <w:rsid w:val="00F23F1A"/>
    <w:rsid w:val="00F43A4F"/>
    <w:rsid w:val="00F5190F"/>
    <w:rsid w:val="00F5532B"/>
    <w:rsid w:val="00F608B1"/>
    <w:rsid w:val="00F61C32"/>
    <w:rsid w:val="00F66CDF"/>
    <w:rsid w:val="00F67C30"/>
    <w:rsid w:val="00F82042"/>
    <w:rsid w:val="00F91AD5"/>
    <w:rsid w:val="00F944D2"/>
    <w:rsid w:val="00F9665A"/>
    <w:rsid w:val="00FB06A1"/>
    <w:rsid w:val="00FB344E"/>
    <w:rsid w:val="00FE003C"/>
    <w:rsid w:val="00FE7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9646FD"/>
  <w15:docId w15:val="{5162AB20-708D-4DF2-BEB4-A8D75E69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A72"/>
    <w:pPr>
      <w:spacing w:before="120" w:after="120" w:line="240" w:lineRule="atLeast"/>
      <w:jc w:val="both"/>
    </w:pPr>
    <w:rPr>
      <w:sz w:val="24"/>
      <w:szCs w:val="24"/>
      <w:lang w:val="en-GB"/>
    </w:rPr>
  </w:style>
  <w:style w:type="paragraph" w:styleId="Heading1">
    <w:name w:val="heading 1"/>
    <w:basedOn w:val="Normal"/>
    <w:next w:val="Heading2"/>
    <w:qFormat/>
    <w:pPr>
      <w:keepNext/>
      <w:tabs>
        <w:tab w:val="left" w:pos="720"/>
      </w:tabs>
      <w:spacing w:before="240"/>
      <w:jc w:val="center"/>
      <w:outlineLvl w:val="0"/>
    </w:pPr>
    <w:rPr>
      <w:rFonts w:eastAsia="SimHei"/>
      <w:kern w:val="24"/>
    </w:rPr>
  </w:style>
  <w:style w:type="paragraph" w:styleId="Heading2">
    <w:name w:val="heading 2"/>
    <w:basedOn w:val="Normal"/>
    <w:next w:val="Normal"/>
    <w:qFormat/>
    <w:pPr>
      <w:keepNext/>
      <w:tabs>
        <w:tab w:val="left" w:pos="720"/>
      </w:tabs>
      <w:jc w:val="center"/>
      <w:outlineLvl w:val="1"/>
    </w:pPr>
    <w:rPr>
      <w:b/>
      <w:bCs/>
      <w:i/>
      <w:iCs/>
      <w:kern w:val="24"/>
    </w:rPr>
  </w:style>
  <w:style w:type="paragraph" w:styleId="Heading3">
    <w:name w:val="heading 3"/>
    <w:basedOn w:val="Normal"/>
    <w:next w:val="Normal"/>
    <w:qFormat/>
    <w:pPr>
      <w:keepNext/>
      <w:tabs>
        <w:tab w:val="left" w:leader="dot" w:pos="567"/>
      </w:tabs>
      <w:jc w:val="center"/>
      <w:outlineLvl w:val="2"/>
    </w:pPr>
    <w:rPr>
      <w:iCs/>
      <w:u w:val="single"/>
    </w:rPr>
  </w:style>
  <w:style w:type="paragraph" w:styleId="Heading4">
    <w:name w:val="heading 4"/>
    <w:basedOn w:val="Normal"/>
    <w:qFormat/>
    <w:pPr>
      <w:keepNext/>
      <w:outlineLvl w:val="3"/>
    </w:pPr>
    <w:rPr>
      <w:rFonts w:ascii="Times New Roman Bold" w:eastAsia="Arial Unicode MS" w:hAnsi="Times New Roman Bold" w:cs="Arial"/>
      <w:b/>
      <w:bCs/>
      <w:i/>
      <w:iCs/>
    </w:rPr>
  </w:style>
  <w:style w:type="paragraph" w:styleId="Heading5">
    <w:name w:val="heading 5"/>
    <w:basedOn w:val="Normal"/>
    <w:next w:val="Normal"/>
    <w:qFormat/>
    <w:pPr>
      <w:keepNext/>
      <w:numPr>
        <w:ilvl w:val="4"/>
        <w:numId w:val="8"/>
      </w:numPr>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0">
    <w:name w:val="文件标题"/>
    <w:basedOn w:val="Normal"/>
    <w:pPr>
      <w:keepNext/>
      <w:jc w:val="center"/>
    </w:pPr>
    <w:rPr>
      <w:rFonts w:eastAsia="SimHei"/>
      <w:kern w:val="28"/>
      <w:sz w:val="28"/>
    </w:rPr>
  </w:style>
  <w:style w:type="paragraph" w:customStyle="1" w:styleId="a">
    <w:name w:val="正文段落"/>
    <w:basedOn w:val="Normal-para"/>
    <w:pPr>
      <w:numPr>
        <w:numId w:val="14"/>
      </w:numPr>
      <w:tabs>
        <w:tab w:val="clear" w:pos="490"/>
        <w:tab w:val="clear" w:pos="979"/>
        <w:tab w:val="clear" w:pos="1469"/>
        <w:tab w:val="left" w:pos="480"/>
      </w:tabs>
    </w:pPr>
    <w:rPr>
      <w:spacing w:val="0"/>
      <w:szCs w:val="24"/>
    </w:rPr>
  </w:style>
  <w:style w:type="paragraph" w:customStyle="1" w:styleId="Normal-para">
    <w:name w:val="Normal-para"/>
    <w:basedOn w:val="Normal"/>
    <w:pPr>
      <w:widowControl w:val="0"/>
      <w:numPr>
        <w:numId w:val="13"/>
      </w:numPr>
      <w:tabs>
        <w:tab w:val="clear" w:pos="360"/>
        <w:tab w:val="left" w:pos="490"/>
        <w:tab w:val="left" w:pos="979"/>
        <w:tab w:val="left" w:pos="1469"/>
      </w:tabs>
      <w:suppressAutoHyphens/>
      <w:adjustRightInd w:val="0"/>
      <w:textAlignment w:val="baseline"/>
    </w:pPr>
    <w:rPr>
      <w:spacing w:val="-2"/>
      <w:szCs w:val="20"/>
      <w:lang w:val="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pPr>
      <w:keepLines/>
      <w:spacing w:after="60"/>
      <w:ind w:firstLine="720"/>
    </w:pPr>
    <w:rPr>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Pr>
      <w:sz w:val="28"/>
      <w:u w:val="single"/>
      <w:vertAlign w:val="superscript"/>
    </w:rPr>
  </w:style>
  <w:style w:type="paragraph" w:customStyle="1" w:styleId="Para1-Annex">
    <w:name w:val="Para1-Annex"/>
    <w:basedOn w:val="Normal"/>
    <w:pPr>
      <w:numPr>
        <w:numId w:val="12"/>
      </w:numPr>
    </w:p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paragraph" w:styleId="TOC1">
    <w:name w:val="toc 1"/>
    <w:basedOn w:val="BodyText"/>
    <w:next w:val="Normal"/>
    <w:autoRedefine/>
    <w:semiHidden/>
    <w:pPr>
      <w:tabs>
        <w:tab w:val="left" w:pos="440"/>
        <w:tab w:val="right" w:leader="dot" w:pos="9350"/>
      </w:tabs>
      <w:ind w:left="709" w:hanging="709"/>
    </w:pPr>
    <w:rPr>
      <w:b/>
      <w:caps/>
      <w:noProof/>
    </w:rPr>
  </w:style>
  <w:style w:type="paragraph" w:styleId="BodyText">
    <w:name w:val="Body Text"/>
    <w:basedOn w:val="Normal"/>
    <w:rPr>
      <w:rFonts w:ascii="SimSun"/>
      <w:iCs/>
      <w:kern w:val="24"/>
    </w:rPr>
  </w:style>
  <w:style w:type="paragraph" w:styleId="TOC2">
    <w:name w:val="toc 2"/>
    <w:basedOn w:val="Normal"/>
    <w:next w:val="Normal"/>
    <w:autoRedefine/>
    <w:semiHidden/>
    <w:pPr>
      <w:ind w:leftChars="270" w:left="979" w:hanging="709"/>
    </w:pPr>
    <w:rPr>
      <w:noProof/>
      <w:szCs w:val="22"/>
    </w:rPr>
  </w:style>
  <w:style w:type="paragraph" w:styleId="TOC3">
    <w:name w:val="toc 3"/>
    <w:basedOn w:val="Normal"/>
    <w:next w:val="Normal"/>
    <w:autoRedefine/>
    <w:semiHidden/>
    <w:pPr>
      <w:tabs>
        <w:tab w:val="left" w:leader="dot" w:pos="9214"/>
      </w:tabs>
      <w:ind w:leftChars="490" w:left="1176"/>
    </w:pPr>
    <w:rPr>
      <w:noProof/>
      <w:lang w:eastAsia="en-US"/>
    </w:rPr>
  </w:style>
  <w:style w:type="paragraph" w:styleId="Header">
    <w:name w:val="header"/>
    <w:basedOn w:val="Normal"/>
    <w:pPr>
      <w:widowControl w:val="0"/>
      <w:tabs>
        <w:tab w:val="center" w:pos="4320"/>
        <w:tab w:val="right" w:pos="8640"/>
      </w:tabs>
      <w:overflowPunct w:val="0"/>
      <w:autoSpaceDE w:val="0"/>
      <w:autoSpaceDN w:val="0"/>
      <w:adjustRightInd w:val="0"/>
      <w:jc w:val="left"/>
      <w:textAlignment w:val="baseline"/>
    </w:pPr>
    <w:rPr>
      <w:szCs w:val="20"/>
    </w:rPr>
  </w:style>
  <w:style w:type="paragraph" w:customStyle="1" w:styleId="--">
    <w:name w:val="--的说明"/>
    <w:basedOn w:val="Normal"/>
    <w:pPr>
      <w:spacing w:before="240"/>
      <w:jc w:val="center"/>
    </w:pPr>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TableofFigures">
    <w:name w:val="table of figures"/>
    <w:basedOn w:val="Normal"/>
    <w:next w:val="Normal"/>
    <w:semiHidden/>
    <w:pPr>
      <w:ind w:left="440" w:hanging="440"/>
    </w:pPr>
  </w:style>
  <w:style w:type="paragraph" w:customStyle="1" w:styleId="Cornernotation">
    <w:name w:val="Corner notation"/>
    <w:basedOn w:val="Normal"/>
    <w:pPr>
      <w:ind w:left="170" w:right="3119" w:hanging="170"/>
      <w:jc w:val="left"/>
    </w:pPr>
    <w:rPr>
      <w:sz w:val="22"/>
      <w:szCs w:val="22"/>
      <w:lang w:eastAsia="en-US"/>
    </w:rPr>
  </w:style>
  <w:style w:type="character" w:styleId="CommentReference">
    <w:name w:val="annotation reference"/>
    <w:semiHidden/>
    <w:rPr>
      <w:sz w:val="21"/>
      <w:szCs w:val="21"/>
    </w:rPr>
  </w:style>
  <w:style w:type="paragraph" w:styleId="CommentText">
    <w:name w:val="annotation text"/>
    <w:basedOn w:val="Normal"/>
    <w:link w:val="CommentTextChar"/>
    <w:semiHidden/>
    <w:pPr>
      <w:jc w:val="left"/>
    </w:pPr>
  </w:style>
  <w:style w:type="paragraph" w:customStyle="1" w:styleId="HEADING">
    <w:name w:val="HEADING"/>
    <w:basedOn w:val="Normal"/>
    <w:pPr>
      <w:keepNext/>
      <w:spacing w:before="180" w:line="240" w:lineRule="exact"/>
      <w:jc w:val="center"/>
    </w:pPr>
    <w:rPr>
      <w:sz w:val="22"/>
      <w:szCs w:val="22"/>
      <w:lang w:eastAsia="en-US"/>
    </w:rPr>
  </w:style>
  <w:style w:type="paragraph" w:customStyle="1" w:styleId="Para1">
    <w:name w:val="Para1"/>
    <w:basedOn w:val="Normal"/>
    <w:link w:val="Para1Char"/>
    <w:pPr>
      <w:tabs>
        <w:tab w:val="num" w:pos="1080"/>
      </w:tabs>
      <w:ind w:left="720"/>
    </w:pPr>
    <w:rPr>
      <w:sz w:val="22"/>
      <w:szCs w:val="22"/>
      <w:lang w:eastAsia="en-US"/>
    </w:rPr>
  </w:style>
  <w:style w:type="paragraph" w:customStyle="1" w:styleId="Para3">
    <w:name w:val="Para3"/>
    <w:basedOn w:val="Normal"/>
    <w:pPr>
      <w:numPr>
        <w:ilvl w:val="2"/>
        <w:numId w:val="11"/>
      </w:numPr>
      <w:tabs>
        <w:tab w:val="left" w:pos="1980"/>
      </w:tabs>
      <w:spacing w:before="80" w:after="80"/>
    </w:pPr>
    <w:rPr>
      <w:sz w:val="22"/>
      <w:szCs w:val="22"/>
      <w:lang w:eastAsia="en-US"/>
    </w:rPr>
  </w:style>
  <w:style w:type="paragraph" w:customStyle="1" w:styleId="Para2">
    <w:name w:val="Para2"/>
    <w:basedOn w:val="Para1"/>
    <w:pPr>
      <w:numPr>
        <w:numId w:val="9"/>
      </w:numPr>
      <w:autoSpaceDE w:val="0"/>
      <w:autoSpaceDN w:val="0"/>
    </w:pPr>
  </w:style>
  <w:style w:type="paragraph" w:customStyle="1" w:styleId="Heading1longmultiline">
    <w:name w:val="Heading 1 (long multiline)"/>
    <w:basedOn w:val="Heading1"/>
    <w:pPr>
      <w:ind w:left="1843" w:hanging="1134"/>
      <w:jc w:val="left"/>
    </w:pPr>
    <w:rPr>
      <w:rFonts w:eastAsia="SimSun"/>
      <w:b/>
      <w:bCs/>
      <w:caps/>
      <w:kern w:val="0"/>
      <w:sz w:val="22"/>
      <w:szCs w:val="22"/>
      <w:lang w:eastAsia="en-US"/>
    </w:rPr>
  </w:style>
  <w:style w:type="paragraph" w:customStyle="1" w:styleId="para20">
    <w:name w:val="para2"/>
    <w:basedOn w:val="Normal"/>
    <w:pPr>
      <w:tabs>
        <w:tab w:val="num" w:pos="1440"/>
      </w:tabs>
      <w:spacing w:line="240" w:lineRule="exact"/>
      <w:ind w:firstLine="720"/>
      <w:jc w:val="left"/>
    </w:pPr>
    <w:rPr>
      <w:rFonts w:ascii="Courier" w:hAnsi="Courier"/>
      <w:sz w:val="20"/>
      <w:szCs w:val="20"/>
      <w:lang w:eastAsia="en-US"/>
    </w:rPr>
  </w:style>
  <w:style w:type="paragraph" w:customStyle="1" w:styleId="Paranum">
    <w:name w:val="Paranum"/>
    <w:basedOn w:val="Para1"/>
    <w:pPr>
      <w:tabs>
        <w:tab w:val="clear" w:pos="1080"/>
        <w:tab w:val="num" w:pos="360"/>
      </w:tabs>
      <w:spacing w:line="240" w:lineRule="exact"/>
      <w:ind w:left="0"/>
    </w:pPr>
    <w:rPr>
      <w:lang w:val="en-US"/>
    </w:rPr>
  </w:style>
  <w:style w:type="paragraph" w:customStyle="1" w:styleId="para4">
    <w:name w:val="para4"/>
    <w:basedOn w:val="Normal"/>
    <w:pPr>
      <w:tabs>
        <w:tab w:val="num" w:pos="1440"/>
        <w:tab w:val="num" w:pos="2160"/>
      </w:tabs>
      <w:overflowPunct w:val="0"/>
      <w:autoSpaceDE w:val="0"/>
      <w:autoSpaceDN w:val="0"/>
      <w:adjustRightInd w:val="0"/>
      <w:ind w:left="2160" w:hanging="720"/>
      <w:textAlignment w:val="baseline"/>
    </w:pPr>
    <w:rPr>
      <w:rFonts w:ascii="Courier" w:hAnsi="Courier"/>
      <w:color w:val="000000"/>
      <w:sz w:val="20"/>
      <w:szCs w:val="20"/>
      <w:lang w:eastAsia="en-US"/>
    </w:rPr>
  </w:style>
  <w:style w:type="character" w:customStyle="1" w:styleId="text1">
    <w:name w:val="text1"/>
    <w:rPr>
      <w:rFonts w:ascii="Arial" w:hAnsi="Arial" w:cs="Arial"/>
      <w:color w:val="000000"/>
      <w:sz w:val="18"/>
      <w:szCs w:val="18"/>
    </w:rPr>
  </w:style>
  <w:style w:type="paragraph" w:styleId="BodyText2">
    <w:name w:val="Body Text 2"/>
    <w:basedOn w:val="Normal"/>
    <w:rPr>
      <w:b/>
      <w:bCs/>
      <w:lang w:val="en-US"/>
    </w:rPr>
  </w:style>
  <w:style w:type="paragraph" w:styleId="BalloonText">
    <w:name w:val="Balloon Text"/>
    <w:basedOn w:val="Normal"/>
    <w:semiHidden/>
    <w:rPr>
      <w:rFonts w:ascii="Tahoma" w:hAnsi="Tahoma" w:cs="Tahoma"/>
      <w:sz w:val="16"/>
      <w:szCs w:val="16"/>
      <w:lang w:eastAsia="en-US"/>
    </w:rPr>
  </w:style>
  <w:style w:type="paragraph" w:customStyle="1" w:styleId="Para10">
    <w:name w:val="Para 1"/>
    <w:basedOn w:val="BodyText"/>
    <w:rPr>
      <w:rFonts w:ascii="Times New Roman" w:eastAsia="MS Mincho"/>
      <w:iCs w:val="0"/>
      <w:kern w:val="0"/>
      <w:sz w:val="22"/>
      <w:szCs w:val="22"/>
      <w:lang w:eastAsia="en-US"/>
    </w:rPr>
  </w:style>
  <w:style w:type="paragraph" w:customStyle="1" w:styleId="Style1">
    <w:name w:val="Style1"/>
    <w:basedOn w:val="BodyText2"/>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pPr>
      <w:tabs>
        <w:tab w:val="num" w:pos="360"/>
      </w:tabs>
    </w:pPr>
    <w:rPr>
      <w:sz w:val="22"/>
      <w:lang w:eastAsia="en-US"/>
    </w:rPr>
  </w:style>
  <w:style w:type="paragraph" w:customStyle="1" w:styleId="Heading1centred">
    <w:name w:val="Heading 1 (centred)"/>
    <w:basedOn w:val="Heading1"/>
    <w:next w:val="Normal"/>
    <w:pPr>
      <w:ind w:right="403"/>
    </w:pPr>
    <w:rPr>
      <w:rFonts w:eastAsia="SimSun"/>
      <w:b/>
      <w:caps/>
      <w:kern w:val="0"/>
      <w:sz w:val="22"/>
      <w:lang w:eastAsia="en-US"/>
    </w:rPr>
  </w:style>
  <w:style w:type="paragraph" w:customStyle="1" w:styleId="Heading-plainbold">
    <w:name w:val="Heading-plain bold"/>
    <w:basedOn w:val="BodyText"/>
    <w:pPr>
      <w:jc w:val="center"/>
    </w:pPr>
    <w:rPr>
      <w:rFonts w:ascii="Times New Roman"/>
      <w:b/>
      <w:bCs/>
      <w:i/>
      <w:iCs w:val="0"/>
      <w:kern w:val="0"/>
      <w:sz w:val="22"/>
      <w:lang w:val="en-US" w:eastAsia="en-US"/>
    </w:rPr>
  </w:style>
  <w:style w:type="character" w:styleId="HTMLTypewriter">
    <w:name w:val="HTML Typewriter"/>
    <w:rPr>
      <w:rFonts w:ascii="Courier New" w:eastAsia="Arial Unicode MS" w:hAnsi="Courier New" w:cs="Courier New" w:hint="default"/>
      <w:sz w:val="20"/>
      <w:szCs w:val="20"/>
    </w:rPr>
  </w:style>
  <w:style w:type="paragraph" w:customStyle="1" w:styleId="Heading-plain">
    <w:name w:val="Heading - plain"/>
    <w:basedOn w:val="Heading2"/>
    <w:next w:val="BodyText"/>
    <w:rPr>
      <w:kern w:val="0"/>
      <w:sz w:val="22"/>
      <w:lang w:eastAsia="en-US"/>
    </w:rPr>
  </w:style>
  <w:style w:type="paragraph" w:customStyle="1" w:styleId="Heading2longmultiline">
    <w:name w:val="Heading 2 (long multiline)"/>
    <w:basedOn w:val="Heading2multiline"/>
    <w:pPr>
      <w:ind w:left="2127" w:hanging="1276"/>
    </w:pPr>
  </w:style>
  <w:style w:type="paragraph" w:customStyle="1" w:styleId="Heading2multiline">
    <w:name w:val="Heading 2 (multiline)"/>
    <w:basedOn w:val="Heading1"/>
    <w:next w:val="Normal"/>
    <w:pPr>
      <w:spacing w:before="120"/>
      <w:ind w:left="1843" w:right="998" w:hanging="567"/>
      <w:jc w:val="left"/>
    </w:pPr>
    <w:rPr>
      <w:rFonts w:eastAsia="SimSun"/>
      <w:b/>
      <w:i/>
      <w:iCs/>
      <w:kern w:val="0"/>
      <w:sz w:val="22"/>
      <w:lang w:eastAsia="en-US"/>
    </w:rPr>
  </w:style>
  <w:style w:type="character" w:styleId="FollowedHyperlink">
    <w:name w:val="FollowedHyperlink"/>
    <w:rPr>
      <w:color w:val="800080"/>
      <w:u w:val="single"/>
    </w:rPr>
  </w:style>
  <w:style w:type="paragraph" w:customStyle="1" w:styleId="Heading40">
    <w:name w:val="Heading4"/>
    <w:basedOn w:val="Normal"/>
    <w:pPr>
      <w:keepNext/>
      <w:tabs>
        <w:tab w:val="num" w:pos="720"/>
      </w:tabs>
      <w:ind w:left="720" w:hanging="720"/>
    </w:pPr>
    <w:rPr>
      <w:i/>
      <w:iCs/>
      <w:sz w:val="22"/>
      <w:lang w:eastAsia="en-US"/>
    </w:rPr>
  </w:style>
  <w:style w:type="paragraph" w:customStyle="1" w:styleId="list3">
    <w:name w:val="list3"/>
    <w:basedOn w:val="Normal"/>
    <w:autoRedefine/>
    <w:pPr>
      <w:tabs>
        <w:tab w:val="num" w:pos="720"/>
      </w:tabs>
      <w:ind w:left="720" w:hanging="360"/>
    </w:pPr>
    <w:rPr>
      <w:sz w:val="22"/>
      <w:lang w:eastAsia="en-US"/>
    </w:rPr>
  </w:style>
  <w:style w:type="paragraph" w:customStyle="1" w:styleId="Numberedparagraph">
    <w:name w:val="Numbered paragraph"/>
    <w:basedOn w:val="Normal"/>
    <w:pPr>
      <w:tabs>
        <w:tab w:val="num" w:pos="1080"/>
      </w:tabs>
      <w:ind w:left="1080" w:hanging="360"/>
    </w:pPr>
    <w:rPr>
      <w:kern w:val="28"/>
      <w:sz w:val="22"/>
      <w:lang w:eastAsia="en-US"/>
    </w:rPr>
  </w:style>
  <w:style w:type="paragraph" w:customStyle="1" w:styleId="Para3nonumber">
    <w:name w:val="Para  3 (no number)"/>
    <w:basedOn w:val="Para3"/>
    <w:pPr>
      <w:numPr>
        <w:ilvl w:val="0"/>
        <w:numId w:val="0"/>
      </w:numPr>
      <w:tabs>
        <w:tab w:val="clear" w:pos="1980"/>
        <w:tab w:val="left" w:pos="2160"/>
      </w:tabs>
      <w:spacing w:before="120" w:after="120"/>
      <w:ind w:left="2160" w:hanging="720"/>
    </w:pPr>
  </w:style>
  <w:style w:type="character" w:customStyle="1" w:styleId="Hyperlink1">
    <w:name w:val="Hyperlink1"/>
    <w:rPr>
      <w:color w:val="0000FF"/>
      <w:sz w:val="18"/>
      <w:u w:val="single"/>
    </w:rPr>
  </w:style>
  <w:style w:type="paragraph" w:styleId="Footer">
    <w:name w:val="footer"/>
    <w:basedOn w:val="Normal"/>
    <w:link w:val="FooterChar"/>
    <w:rsid w:val="009E5ACA"/>
    <w:pPr>
      <w:tabs>
        <w:tab w:val="center" w:pos="4680"/>
        <w:tab w:val="right" w:pos="9360"/>
      </w:tabs>
    </w:p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paragraph" w:styleId="ListParagraph">
    <w:name w:val="List Paragraph"/>
    <w:basedOn w:val="Normal"/>
    <w:uiPriority w:val="34"/>
    <w:qFormat/>
    <w:rsid w:val="00E1004A"/>
  </w:style>
  <w:style w:type="paragraph" w:customStyle="1" w:styleId="Footnotes">
    <w:name w:val="Footnotes"/>
    <w:basedOn w:val="FootnoteText"/>
    <w:link w:val="FootnotesChar"/>
    <w:qFormat/>
    <w:rsid w:val="002C55C7"/>
    <w:pPr>
      <w:spacing w:before="0"/>
      <w:ind w:firstLine="0"/>
    </w:pPr>
    <w:rPr>
      <w:sz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2C55C7"/>
    <w:rPr>
      <w:sz w:val="18"/>
      <w:szCs w:val="24"/>
      <w:lang w:val="en-GB"/>
    </w:rPr>
  </w:style>
  <w:style w:type="character" w:customStyle="1" w:styleId="FootnotesChar">
    <w:name w:val="Footnotes Char"/>
    <w:basedOn w:val="FootnoteTextChar"/>
    <w:link w:val="Footnotes"/>
    <w:rsid w:val="002C55C7"/>
    <w:rPr>
      <w:sz w:val="18"/>
      <w:szCs w:val="24"/>
      <w:lang w:val="en-GB"/>
    </w:rPr>
  </w:style>
  <w:style w:type="character" w:customStyle="1" w:styleId="st">
    <w:name w:val="st"/>
    <w:basedOn w:val="DefaultParagraphFont"/>
    <w:rsid w:val="004B1C00"/>
  </w:style>
  <w:style w:type="character" w:styleId="Emphasis">
    <w:name w:val="Emphasis"/>
    <w:basedOn w:val="DefaultParagraphFont"/>
    <w:uiPriority w:val="20"/>
    <w:qFormat/>
    <w:rsid w:val="004B1C00"/>
    <w:rPr>
      <w:i/>
      <w:iCs/>
    </w:rPr>
  </w:style>
  <w:style w:type="paragraph" w:customStyle="1" w:styleId="BVIfnrChar">
    <w:name w:val="BVI fnr Char"/>
    <w:aliases w:val="BVI fnr Car Car Char,BVI fnr Car Char,BVI fnr Car Car Car Car Char Char,BVI fnr Car Car Car Car Char,BVI fnr Car Car Car Char,BVI fnr Car Car Car Car Car Char, BVI fnr Car Car Car Car Car Char, BVI fnr Car Car Car Car Char Char"/>
    <w:basedOn w:val="Normal"/>
    <w:link w:val="FootnoteReference"/>
    <w:uiPriority w:val="99"/>
    <w:rsid w:val="00C34674"/>
    <w:pPr>
      <w:spacing w:before="0" w:after="160" w:line="240" w:lineRule="exact"/>
      <w:jc w:val="left"/>
    </w:pPr>
    <w:rPr>
      <w:sz w:val="28"/>
      <w:szCs w:val="20"/>
      <w:u w:val="single"/>
      <w:vertAlign w:val="superscript"/>
      <w:lang w:val="en-US"/>
    </w:rPr>
  </w:style>
  <w:style w:type="character" w:styleId="PlaceholderText">
    <w:name w:val="Placeholder Text"/>
    <w:basedOn w:val="DefaultParagraphFont"/>
    <w:uiPriority w:val="67"/>
    <w:rsid w:val="00261A19"/>
    <w:rPr>
      <w:color w:val="808080"/>
    </w:rPr>
  </w:style>
  <w:style w:type="character" w:customStyle="1" w:styleId="Para1Char">
    <w:name w:val="Para1 Char"/>
    <w:link w:val="Para1"/>
    <w:locked/>
    <w:rsid w:val="00BB658D"/>
    <w:rPr>
      <w:sz w:val="22"/>
      <w:szCs w:val="22"/>
      <w:lang w:val="en-GB" w:eastAsia="en-US"/>
    </w:rPr>
  </w:style>
  <w:style w:type="character" w:customStyle="1" w:styleId="CommentTextChar">
    <w:name w:val="Comment Text Char"/>
    <w:basedOn w:val="DefaultParagraphFont"/>
    <w:link w:val="CommentText"/>
    <w:semiHidden/>
    <w:rsid w:val="0077311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4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07-zh.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2d1f/ab01/681ae86a81ab601e585ecfe0/wg2020-01-inf-03-en.pdf" TargetMode="External"/><Relationship Id="rId2" Type="http://schemas.openxmlformats.org/officeDocument/2006/relationships/hyperlink" Target="https://www.cbd.int/doc/c/9976/abec/faeb75bca38405469916049f/sbstta-23-inf-19-en.pdf" TargetMode="External"/><Relationship Id="rId1" Type="http://schemas.openxmlformats.org/officeDocument/2006/relationships/hyperlink" Target="https://www.cbd.int/doc/c/2d1f/ab01/681ae86a81ab601e585ecfe0/wg2020-01-inf-03-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C530E-AF31-45A5-9E5E-715D24F71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BASIC-CBD-Doc</Template>
  <TotalTime>98</TotalTime>
  <Pages>4</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UNEP/CBD/WG8J/10/</vt:lpstr>
    </vt:vector>
  </TitlesOfParts>
  <Company>SCBD</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23/3. 可持续野生动物管理</dc:title>
  <dc:subject>CBD/SBSTTA/REC/23/3</dc:subject>
  <dc:creator>SCBD</dc:creator>
  <cp:lastModifiedBy>Chuansheng Li</cp:lastModifiedBy>
  <cp:revision>14</cp:revision>
  <cp:lastPrinted>2020-02-03T02:31:00Z</cp:lastPrinted>
  <dcterms:created xsi:type="dcterms:W3CDTF">2020-02-02T03:46:00Z</dcterms:created>
  <dcterms:modified xsi:type="dcterms:W3CDTF">2020-02-03T02:33:00Z</dcterms:modified>
  <cp:category>Chinese Template</cp:category>
</cp:coreProperties>
</file>