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5"/>
        <w:gridCol w:w="5001"/>
      </w:tblGrid>
      <w:tr w:rsidR="00C9161D" w:rsidRPr="004B4166" w14:paraId="0F2B209F" w14:textId="77777777" w:rsidTr="004B4166">
        <w:trPr>
          <w:trHeight w:val="709"/>
        </w:trPr>
        <w:tc>
          <w:tcPr>
            <w:tcW w:w="976" w:type="dxa"/>
            <w:tcBorders>
              <w:bottom w:val="single" w:sz="12" w:space="0" w:color="auto"/>
            </w:tcBorders>
          </w:tcPr>
          <w:p w14:paraId="76199F72" w14:textId="77777777" w:rsidR="00C9161D" w:rsidRPr="004B4166" w:rsidRDefault="00C9161D">
            <w:pPr>
              <w:rPr>
                <w:kern w:val="22"/>
              </w:rPr>
            </w:pPr>
            <w:r w:rsidRPr="004B4166">
              <w:rPr>
                <w:noProof/>
                <w:lang w:val="en-US" w:eastAsia="zh-CN"/>
              </w:rPr>
              <w:drawing>
                <wp:inline distT="0" distB="0" distL="0" distR="0" wp14:anchorId="4C61D45E" wp14:editId="601D00F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5" w:type="dxa"/>
            <w:tcBorders>
              <w:bottom w:val="single" w:sz="12" w:space="0" w:color="auto"/>
            </w:tcBorders>
          </w:tcPr>
          <w:p w14:paraId="5006BD6B" w14:textId="77777777" w:rsidR="00C9161D" w:rsidRPr="004B4166" w:rsidRDefault="00C9161D">
            <w:pPr>
              <w:rPr>
                <w:kern w:val="22"/>
              </w:rPr>
            </w:pPr>
            <w:r w:rsidRPr="004B4166">
              <w:rPr>
                <w:noProof/>
                <w:lang w:val="en-US" w:eastAsia="zh-CN"/>
              </w:rPr>
              <w:drawing>
                <wp:inline distT="0" distB="0" distL="0" distR="0" wp14:anchorId="53BA4C35" wp14:editId="2D0A769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5001" w:type="dxa"/>
            <w:tcBorders>
              <w:bottom w:val="single" w:sz="12" w:space="0" w:color="auto"/>
            </w:tcBorders>
          </w:tcPr>
          <w:p w14:paraId="2D9D8604" w14:textId="77777777" w:rsidR="00C9161D" w:rsidRPr="004B4166" w:rsidRDefault="00C9161D" w:rsidP="00C9161D">
            <w:pPr>
              <w:jc w:val="right"/>
              <w:rPr>
                <w:rFonts w:ascii="Arial" w:hAnsi="Arial" w:cs="Arial"/>
                <w:b/>
                <w:kern w:val="22"/>
                <w:sz w:val="32"/>
                <w:szCs w:val="32"/>
              </w:rPr>
            </w:pPr>
            <w:r>
              <w:rPr>
                <w:rFonts w:ascii="Arial" w:hAnsi="Arial"/>
                <w:b/>
                <w:sz w:val="32"/>
                <w:szCs w:val="32"/>
              </w:rPr>
              <w:t>CDB</w:t>
            </w:r>
          </w:p>
        </w:tc>
      </w:tr>
      <w:tr w:rsidR="00C9161D" w:rsidRPr="004B4166" w14:paraId="0D4BB9C9" w14:textId="77777777" w:rsidTr="004B4166">
        <w:tc>
          <w:tcPr>
            <w:tcW w:w="4781" w:type="dxa"/>
            <w:gridSpan w:val="2"/>
            <w:tcBorders>
              <w:top w:val="single" w:sz="12" w:space="0" w:color="auto"/>
              <w:bottom w:val="single" w:sz="36" w:space="0" w:color="auto"/>
            </w:tcBorders>
            <w:vAlign w:val="center"/>
          </w:tcPr>
          <w:p w14:paraId="048F2D16" w14:textId="453BEB1B" w:rsidR="00C9161D" w:rsidRPr="004B4166" w:rsidRDefault="005B4222" w:rsidP="00C9161D">
            <w:pPr>
              <w:rPr>
                <w:kern w:val="22"/>
              </w:rPr>
            </w:pPr>
            <w:r w:rsidRPr="005B4222">
              <w:rPr>
                <w:noProof/>
                <w:lang w:val="en-US" w:eastAsia="zh-CN"/>
              </w:rPr>
              <w:drawing>
                <wp:inline distT="0" distB="0" distL="0" distR="0" wp14:anchorId="68DEADD3" wp14:editId="437A487E">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5001" w:type="dxa"/>
            <w:tcBorders>
              <w:top w:val="single" w:sz="12" w:space="0" w:color="auto"/>
              <w:bottom w:val="single" w:sz="36" w:space="0" w:color="auto"/>
            </w:tcBorders>
          </w:tcPr>
          <w:p w14:paraId="03C156C0" w14:textId="77777777" w:rsidR="00C9161D" w:rsidRPr="004B4166" w:rsidRDefault="00C9161D" w:rsidP="004B4166">
            <w:pPr>
              <w:ind w:left="2193"/>
              <w:rPr>
                <w:kern w:val="22"/>
                <w:szCs w:val="22"/>
              </w:rPr>
            </w:pPr>
            <w:r>
              <w:t>Distr.</w:t>
            </w:r>
          </w:p>
          <w:p w14:paraId="2B29A83E" w14:textId="1298A4F6" w:rsidR="00C9161D" w:rsidRPr="004B4166" w:rsidRDefault="00C01B48" w:rsidP="004B4166">
            <w:pPr>
              <w:ind w:left="2193"/>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614F0">
                  <w:t>GENERAL</w:t>
                </w:r>
              </w:sdtContent>
            </w:sdt>
          </w:p>
          <w:p w14:paraId="7828179B" w14:textId="77777777" w:rsidR="00C9161D" w:rsidRPr="004B4166" w:rsidRDefault="00C9161D" w:rsidP="004B4166">
            <w:pPr>
              <w:ind w:left="2193"/>
              <w:rPr>
                <w:kern w:val="22"/>
                <w:szCs w:val="22"/>
              </w:rPr>
            </w:pPr>
          </w:p>
          <w:p w14:paraId="351E8148" w14:textId="15119B34" w:rsidR="00C9161D" w:rsidRPr="004B4166" w:rsidRDefault="00C01B48" w:rsidP="004B4166">
            <w:pPr>
              <w:ind w:left="2193"/>
              <w:rPr>
                <w:kern w:val="22"/>
                <w:szCs w:val="22"/>
              </w:rPr>
            </w:pPr>
            <w:sdt>
              <w:sdtPr>
                <w:rPr>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614F0">
                  <w:t>CBD/SBSTTA/REC/XXI/6</w:t>
                </w:r>
              </w:sdtContent>
            </w:sdt>
          </w:p>
          <w:p w14:paraId="6E527741" w14:textId="64E1682B" w:rsidR="00C9161D" w:rsidRPr="004B4166" w:rsidRDefault="00C01B48" w:rsidP="004B4166">
            <w:pPr>
              <w:ind w:left="2193"/>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5614F0">
                  <w:t>14</w:t>
                </w:r>
                <w:r w:rsidR="005B4222">
                  <w:t xml:space="preserve"> de diciembre de </w:t>
                </w:r>
                <w:r w:rsidR="005614F0">
                  <w:t>2017</w:t>
                </w:r>
              </w:sdtContent>
            </w:sdt>
          </w:p>
          <w:p w14:paraId="6CB5D91E" w14:textId="77777777" w:rsidR="00C9161D" w:rsidRPr="004B4166" w:rsidRDefault="00C9161D" w:rsidP="004B4166">
            <w:pPr>
              <w:ind w:left="2193"/>
              <w:rPr>
                <w:kern w:val="22"/>
                <w:szCs w:val="22"/>
              </w:rPr>
            </w:pPr>
          </w:p>
          <w:p w14:paraId="07CB6799" w14:textId="77777777" w:rsidR="005B4222" w:rsidRDefault="00C9161D" w:rsidP="004B4166">
            <w:pPr>
              <w:ind w:left="2193"/>
            </w:pPr>
            <w:r>
              <w:t>ESPAÑOL</w:t>
            </w:r>
          </w:p>
          <w:p w14:paraId="1757524E" w14:textId="366625F8" w:rsidR="00C9161D" w:rsidRPr="004B4166" w:rsidRDefault="00C9161D" w:rsidP="004B4166">
            <w:pPr>
              <w:ind w:left="2193"/>
              <w:rPr>
                <w:kern w:val="22"/>
                <w:szCs w:val="22"/>
              </w:rPr>
            </w:pPr>
            <w:r>
              <w:t>ORIGINAL:  INGLÉS</w:t>
            </w:r>
          </w:p>
          <w:p w14:paraId="0BFD3E4D" w14:textId="77777777" w:rsidR="00C9161D" w:rsidRPr="004B4166" w:rsidRDefault="00C9161D">
            <w:pPr>
              <w:rPr>
                <w:kern w:val="22"/>
              </w:rPr>
            </w:pPr>
          </w:p>
        </w:tc>
      </w:tr>
    </w:tbl>
    <w:p w14:paraId="2D231522" w14:textId="77777777" w:rsidR="00C9161D" w:rsidRPr="004B4166" w:rsidRDefault="007E09DA" w:rsidP="007E09DA">
      <w:pPr>
        <w:pStyle w:val="meetingname"/>
        <w:ind w:right="4642"/>
        <w:jc w:val="left"/>
        <w:rPr>
          <w:kern w:val="22"/>
        </w:rPr>
      </w:pPr>
      <w:r>
        <w:rPr>
          <w:caps w:val="0"/>
        </w:rPr>
        <w:t>ÓRGANO SUBSIDIARIO DE ASESORAMIENTO CIENTÍFICO, TÉCNICO Y TECNOLÓGICO</w:t>
      </w:r>
    </w:p>
    <w:p w14:paraId="35EE8D46" w14:textId="77777777" w:rsidR="00C9161D" w:rsidRPr="004B4166" w:rsidRDefault="007E09DA" w:rsidP="00C9161D">
      <w:pPr>
        <w:rPr>
          <w:kern w:val="22"/>
          <w:szCs w:val="22"/>
        </w:rPr>
      </w:pPr>
      <w:r>
        <w:t>Vigésima primera reunión</w:t>
      </w:r>
    </w:p>
    <w:p w14:paraId="1BAE7AB1" w14:textId="77777777" w:rsidR="00C9161D" w:rsidRPr="004B4166" w:rsidRDefault="007E09DA" w:rsidP="00C9161D">
      <w:pPr>
        <w:rPr>
          <w:kern w:val="22"/>
          <w:szCs w:val="22"/>
        </w:rPr>
      </w:pPr>
      <w:r>
        <w:t>Montreal (Canadá), 11 a 14 de diciembre de 2017</w:t>
      </w:r>
    </w:p>
    <w:p w14:paraId="0FA59DFD" w14:textId="091E48F3" w:rsidR="00C9161D" w:rsidRPr="004B4166" w:rsidRDefault="007E09DA" w:rsidP="00C9161D">
      <w:pPr>
        <w:rPr>
          <w:kern w:val="22"/>
          <w:szCs w:val="22"/>
        </w:rPr>
      </w:pPr>
      <w:r>
        <w:t>Tema 8 del programa</w:t>
      </w:r>
    </w:p>
    <w:p w14:paraId="59C2950A" w14:textId="77777777" w:rsidR="001B0EEA" w:rsidRPr="004B4166" w:rsidRDefault="001B0EEA" w:rsidP="001B0EEA">
      <w:pPr>
        <w:pStyle w:val="recommendation"/>
        <w:keepNext w:val="0"/>
        <w:suppressLineNumbers/>
        <w:suppressAutoHyphens/>
        <w:spacing w:line="240" w:lineRule="auto"/>
        <w:jc w:val="center"/>
        <w:rPr>
          <w:i w:val="0"/>
          <w:kern w:val="22"/>
        </w:rPr>
      </w:pPr>
      <w:r>
        <w:rPr>
          <w:i w:val="0"/>
        </w:rPr>
        <w:t>RECOMENDACIÓN ADOPTADA POR EL ÓRGANO SUBSIDIARIO DE ASESORAMIENTO CIENTÍFICO, TÉCNICO Y TECNOLÓGICO</w:t>
      </w:r>
    </w:p>
    <w:p w14:paraId="5C699694" w14:textId="77777777" w:rsidR="001B0EEA" w:rsidRPr="004B4166" w:rsidRDefault="001B0EEA" w:rsidP="00C9161D">
      <w:pPr>
        <w:rPr>
          <w:kern w:val="22"/>
          <w:szCs w:val="22"/>
        </w:rPr>
      </w:pPr>
    </w:p>
    <w:p w14:paraId="3050BA8D" w14:textId="0F0B728D" w:rsidR="00C9161D" w:rsidRPr="006A71EB" w:rsidRDefault="00C01B48" w:rsidP="004B4166">
      <w:pPr>
        <w:ind w:left="1701" w:hanging="850"/>
        <w:jc w:val="left"/>
        <w:rPr>
          <w:b/>
          <w:caps/>
          <w:kern w:val="22"/>
          <w:szCs w:val="22"/>
        </w:rPr>
      </w:pPr>
      <w:sdt>
        <w:sdtPr>
          <w:rPr>
            <w:b/>
            <w:bCs/>
            <w:iC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6A71EB" w:rsidRPr="006A71EB">
            <w:rPr>
              <w:b/>
              <w:bCs/>
              <w:iCs/>
              <w:kern w:val="22"/>
              <w:szCs w:val="22"/>
            </w:rPr>
            <w:t>XXI/6.</w:t>
          </w:r>
          <w:r w:rsidR="006A71EB" w:rsidRPr="006A71EB">
            <w:rPr>
              <w:b/>
              <w:bCs/>
              <w:iCs/>
              <w:kern w:val="22"/>
              <w:szCs w:val="22"/>
            </w:rPr>
            <w:tab/>
            <w:t>Herramientas para evaluar la eficacia de los instrumentos de políticas para la implementación del Plan Estratégico para la Diversidad Biológica 2011-2020</w:t>
          </w:r>
        </w:sdtContent>
      </w:sdt>
    </w:p>
    <w:p w14:paraId="37173BA8" w14:textId="77777777" w:rsidR="00FB056B" w:rsidRPr="004B4166" w:rsidRDefault="00FB056B" w:rsidP="00763196">
      <w:pPr>
        <w:pStyle w:val="Para1"/>
        <w:keepNext/>
        <w:numPr>
          <w:ilvl w:val="0"/>
          <w:numId w:val="0"/>
        </w:numPr>
        <w:suppressLineNumbers/>
        <w:suppressAutoHyphens/>
        <w:ind w:left="720"/>
        <w:jc w:val="left"/>
        <w:rPr>
          <w:b/>
          <w:bCs/>
          <w:snapToGrid/>
          <w:kern w:val="22"/>
          <w:szCs w:val="22"/>
        </w:rPr>
      </w:pPr>
      <w:r>
        <w:rPr>
          <w:b/>
          <w:bCs/>
          <w:snapToGrid/>
          <w:szCs w:val="22"/>
        </w:rPr>
        <w:t>Sección A</w:t>
      </w:r>
    </w:p>
    <w:p w14:paraId="1158647D" w14:textId="77777777" w:rsidR="00FB056B" w:rsidRPr="004B4166" w:rsidRDefault="00FB056B" w:rsidP="00763196">
      <w:pPr>
        <w:pStyle w:val="Para1"/>
        <w:keepNext/>
        <w:numPr>
          <w:ilvl w:val="0"/>
          <w:numId w:val="0"/>
        </w:numPr>
        <w:suppressLineNumbers/>
        <w:suppressAutoHyphens/>
        <w:ind w:left="720"/>
        <w:jc w:val="left"/>
        <w:rPr>
          <w:i/>
          <w:iCs/>
          <w:snapToGrid/>
          <w:kern w:val="22"/>
          <w:szCs w:val="22"/>
        </w:rPr>
      </w:pPr>
      <w:r>
        <w:rPr>
          <w:i/>
          <w:iCs/>
          <w:snapToGrid/>
          <w:szCs w:val="22"/>
        </w:rPr>
        <w:t>El Órgano Subsidiario de Asesoramiento Científico, Técnico y Tecnológico,</w:t>
      </w:r>
    </w:p>
    <w:p w14:paraId="0713DBB1" w14:textId="16C807EC" w:rsidR="00FB056B" w:rsidRPr="004B4166" w:rsidRDefault="00FB056B" w:rsidP="00763196">
      <w:pPr>
        <w:pStyle w:val="Para1"/>
        <w:numPr>
          <w:ilvl w:val="0"/>
          <w:numId w:val="0"/>
        </w:numPr>
        <w:suppressLineNumbers/>
        <w:suppressAutoHyphens/>
        <w:spacing w:before="0"/>
        <w:ind w:firstLine="720"/>
        <w:rPr>
          <w:iCs/>
          <w:snapToGrid/>
          <w:kern w:val="22"/>
          <w:szCs w:val="22"/>
        </w:rPr>
      </w:pPr>
      <w:r>
        <w:rPr>
          <w:i/>
          <w:iCs/>
          <w:snapToGrid/>
          <w:szCs w:val="22"/>
        </w:rPr>
        <w:t>Recordando</w:t>
      </w:r>
      <w:r>
        <w:rPr>
          <w:iCs/>
          <w:snapToGrid/>
          <w:szCs w:val="22"/>
        </w:rPr>
        <w:t xml:space="preserve"> la </w:t>
      </w:r>
      <w:hyperlink r:id="rId13" w:history="1">
        <w:r>
          <w:rPr>
            <w:rStyle w:val="Hyperlink"/>
            <w:iCs/>
            <w:snapToGrid/>
            <w:szCs w:val="22"/>
          </w:rPr>
          <w:t>decisión XIII/1</w:t>
        </w:r>
      </w:hyperlink>
      <w:r>
        <w:rPr>
          <w:iCs/>
          <w:snapToGrid/>
          <w:szCs w:val="22"/>
        </w:rPr>
        <w:t>, párrafos 29 y 30,</w:t>
      </w:r>
    </w:p>
    <w:p w14:paraId="1FDFC555" w14:textId="07986646" w:rsidR="00FB056B" w:rsidRPr="004B4166" w:rsidRDefault="00FB056B" w:rsidP="009A33AF">
      <w:pPr>
        <w:pStyle w:val="Para1"/>
        <w:numPr>
          <w:ilvl w:val="0"/>
          <w:numId w:val="2"/>
        </w:numPr>
        <w:suppressLineNumbers/>
        <w:tabs>
          <w:tab w:val="clear" w:pos="360"/>
        </w:tabs>
        <w:suppressAutoHyphens/>
        <w:spacing w:before="0"/>
        <w:ind w:firstLine="720"/>
        <w:rPr>
          <w:snapToGrid/>
          <w:kern w:val="22"/>
          <w:szCs w:val="22"/>
        </w:rPr>
      </w:pPr>
      <w:r>
        <w:rPr>
          <w:i/>
          <w:snapToGrid/>
          <w:szCs w:val="22"/>
        </w:rPr>
        <w:t>Pone de relieve</w:t>
      </w:r>
      <w:r>
        <w:rPr>
          <w:snapToGrid/>
          <w:szCs w:val="22"/>
        </w:rPr>
        <w:t xml:space="preserve"> la importancia de las evaluaciones rigurosas de la eficacia de las medidas o instrumentos de políticas para apoyar la aplicación del Convenio y la implementación del Plan Estratégico para la Diversidad Biológica 2011-2020</w:t>
      </w:r>
      <w:r w:rsidR="00671B5E" w:rsidRPr="004B4166">
        <w:rPr>
          <w:rStyle w:val="FootnoteReference"/>
          <w:snapToGrid/>
          <w:kern w:val="22"/>
          <w:sz w:val="22"/>
          <w:szCs w:val="22"/>
          <w:u w:val="none"/>
          <w:vertAlign w:val="superscript"/>
        </w:rPr>
        <w:footnoteReference w:id="1"/>
      </w:r>
      <w:r>
        <w:rPr>
          <w:snapToGrid/>
          <w:szCs w:val="22"/>
        </w:rPr>
        <w:t xml:space="preserve"> y la necesidad de creación de capacidad relacionada;</w:t>
      </w:r>
    </w:p>
    <w:p w14:paraId="66A211E9" w14:textId="4C0C7DA3" w:rsidR="00FB056B" w:rsidRPr="004B4166" w:rsidRDefault="00FB056B" w:rsidP="00300F6E">
      <w:pPr>
        <w:pStyle w:val="Para1"/>
        <w:numPr>
          <w:ilvl w:val="0"/>
          <w:numId w:val="2"/>
        </w:numPr>
        <w:suppressLineNumbers/>
        <w:tabs>
          <w:tab w:val="clear" w:pos="360"/>
        </w:tabs>
        <w:suppressAutoHyphens/>
        <w:spacing w:before="0"/>
        <w:ind w:firstLine="720"/>
        <w:rPr>
          <w:snapToGrid/>
          <w:kern w:val="22"/>
          <w:szCs w:val="22"/>
        </w:rPr>
      </w:pPr>
      <w:r>
        <w:rPr>
          <w:i/>
          <w:snapToGrid/>
          <w:szCs w:val="22"/>
        </w:rPr>
        <w:t>Toma nota</w:t>
      </w:r>
      <w:r>
        <w:rPr>
          <w:snapToGrid/>
          <w:szCs w:val="22"/>
        </w:rPr>
        <w:t xml:space="preserve"> de la diversidad de enfoques que existen, tales como los sistemas comunitarios de seguimiento e información de los pueblos indígenas y las comunidades locales, para evaluar la eficacia de las medidas o instrumentos de políticas que apoyan la aplicación del Convenio y la implementación del Plan Estratégico para la Diversidad Biológica 2011-2020, y </w:t>
      </w:r>
      <w:r>
        <w:rPr>
          <w:i/>
          <w:snapToGrid/>
          <w:szCs w:val="22"/>
        </w:rPr>
        <w:t>alienta</w:t>
      </w:r>
      <w:r>
        <w:rPr>
          <w:snapToGrid/>
          <w:szCs w:val="22"/>
        </w:rPr>
        <w:t xml:space="preserve"> a que se utilice, según proceda, la información que figura en la nota de la Secretaria Ejecutiva sobre herramientas para evaluar la eficacia de los instrumentos de políticas para la implementación del Plan Estratégico para la Diversidad Biológica 2011-2020</w:t>
      </w:r>
      <w:r w:rsidRPr="004B4166">
        <w:rPr>
          <w:rStyle w:val="FootnoteReference"/>
          <w:rFonts w:eastAsiaTheme="majorEastAsia"/>
          <w:snapToGrid/>
          <w:kern w:val="22"/>
          <w:sz w:val="22"/>
          <w:szCs w:val="22"/>
          <w:u w:val="none"/>
          <w:vertAlign w:val="superscript"/>
        </w:rPr>
        <w:footnoteReference w:id="2"/>
      </w:r>
      <w:r>
        <w:rPr>
          <w:snapToGrid/>
          <w:szCs w:val="22"/>
        </w:rPr>
        <w:t xml:space="preserve"> cuando se diseñen y realicen evaluaciones de la eficacia de las medidas adoptadas para implementar el Plan Estratégico para la Diversidad Biológica 2011-2020, especialmente en el contexto de la preparación de los sextos informes nacionales;</w:t>
      </w:r>
    </w:p>
    <w:p w14:paraId="72961526" w14:textId="6878F66D" w:rsidR="00FB056B" w:rsidRPr="004B4166" w:rsidRDefault="00FB056B" w:rsidP="00FB056B">
      <w:pPr>
        <w:pStyle w:val="Para1"/>
        <w:numPr>
          <w:ilvl w:val="0"/>
          <w:numId w:val="2"/>
        </w:numPr>
        <w:suppressLineNumbers/>
        <w:suppressAutoHyphens/>
        <w:spacing w:before="0"/>
        <w:ind w:firstLine="720"/>
        <w:rPr>
          <w:iCs/>
          <w:snapToGrid/>
          <w:kern w:val="22"/>
          <w:szCs w:val="22"/>
        </w:rPr>
      </w:pPr>
      <w:r>
        <w:rPr>
          <w:i/>
          <w:snapToGrid/>
          <w:szCs w:val="22"/>
        </w:rPr>
        <w:t>Invita</w:t>
      </w:r>
      <w:r>
        <w:rPr>
          <w:snapToGrid/>
          <w:szCs w:val="22"/>
        </w:rPr>
        <w:t xml:space="preserve"> al Órgano Subsidiario sobre la Aplicación a que, en su segunda reunión, tenga en cuenta la importancia de las evaluaciones rigurosas de la eficacia de las medidas y la necesidad de creación de capacidad relacionada al tratar el tema de su programa referido a los mecanismos para la revisión de la aplicación, incluida la consideración de propuestas de fortalecimiento de los mecanismos de revisión existentes, tales como el mecanismo voluntario de revisión por pares de los informes nacionales y las estrategias y planes de acción nacionales en materia de biodiversidad y las opciones para un enfoque orientado al futuro para promover la aplicación futura en el marco del Convenio</w:t>
      </w:r>
      <w:r w:rsidRPr="004B4166">
        <w:rPr>
          <w:rStyle w:val="FootnoteReference"/>
          <w:rFonts w:eastAsiaTheme="majorEastAsia"/>
          <w:bCs/>
          <w:iCs/>
          <w:snapToGrid/>
          <w:kern w:val="22"/>
          <w:sz w:val="22"/>
          <w:szCs w:val="22"/>
          <w:u w:val="none"/>
          <w:vertAlign w:val="superscript"/>
          <w:lang w:eastAsia="nl-BE"/>
        </w:rPr>
        <w:footnoteReference w:id="3"/>
      </w:r>
      <w:r>
        <w:rPr>
          <w:snapToGrid/>
          <w:szCs w:val="22"/>
        </w:rPr>
        <w:t>;</w:t>
      </w:r>
    </w:p>
    <w:p w14:paraId="02B6362A" w14:textId="77777777" w:rsidR="00FB056B" w:rsidRPr="004B4166" w:rsidRDefault="00FB056B" w:rsidP="00FB056B">
      <w:pPr>
        <w:pStyle w:val="Para1"/>
        <w:numPr>
          <w:ilvl w:val="0"/>
          <w:numId w:val="2"/>
        </w:numPr>
        <w:suppressLineNumbers/>
        <w:suppressAutoHyphens/>
        <w:spacing w:before="0"/>
        <w:ind w:firstLine="720"/>
        <w:rPr>
          <w:snapToGrid/>
          <w:kern w:val="22"/>
          <w:szCs w:val="22"/>
        </w:rPr>
      </w:pPr>
      <w:r>
        <w:rPr>
          <w:i/>
          <w:snapToGrid/>
          <w:szCs w:val="22"/>
        </w:rPr>
        <w:t>Invita también</w:t>
      </w:r>
      <w:r>
        <w:rPr>
          <w:snapToGrid/>
          <w:szCs w:val="22"/>
        </w:rPr>
        <w:t xml:space="preserve"> al Órgano Subsidiario sobre la Aplicación a que, en su segunda reunión, tenga en cuenta la utilidad de evaluar la eficacia de las medidas adoptadas en el marco del Convenio y la </w:t>
      </w:r>
      <w:r>
        <w:rPr>
          <w:snapToGrid/>
          <w:szCs w:val="22"/>
        </w:rPr>
        <w:lastRenderedPageBreak/>
        <w:t>necesidad de creación de capacidad relacionada al tratar el tema de su programa referido a la preparación del instrumento que suceda al Plan Estratégico para la Diversidad Biológica 2011-2020</w:t>
      </w:r>
      <w:r w:rsidRPr="004B4166">
        <w:rPr>
          <w:rStyle w:val="FootnoteReference"/>
          <w:rFonts w:eastAsiaTheme="majorEastAsia"/>
          <w:snapToGrid/>
          <w:kern w:val="22"/>
          <w:sz w:val="22"/>
          <w:szCs w:val="22"/>
          <w:u w:val="none"/>
          <w:vertAlign w:val="superscript"/>
        </w:rPr>
        <w:footnoteReference w:id="4"/>
      </w:r>
      <w:r>
        <w:rPr>
          <w:snapToGrid/>
          <w:szCs w:val="22"/>
        </w:rPr>
        <w:t>;</w:t>
      </w:r>
    </w:p>
    <w:p w14:paraId="23489757" w14:textId="77777777" w:rsidR="00FB056B" w:rsidRPr="004B4166" w:rsidRDefault="00FB056B" w:rsidP="00FB056B">
      <w:pPr>
        <w:pStyle w:val="Para1"/>
        <w:numPr>
          <w:ilvl w:val="0"/>
          <w:numId w:val="2"/>
        </w:numPr>
        <w:suppressLineNumbers/>
        <w:suppressAutoHyphens/>
        <w:spacing w:before="0"/>
        <w:ind w:firstLine="720"/>
        <w:rPr>
          <w:iCs/>
          <w:snapToGrid/>
          <w:kern w:val="22"/>
          <w:szCs w:val="22"/>
        </w:rPr>
      </w:pPr>
      <w:r>
        <w:rPr>
          <w:i/>
          <w:iCs/>
          <w:snapToGrid/>
          <w:szCs w:val="22"/>
        </w:rPr>
        <w:t>Pide</w:t>
      </w:r>
      <w:r>
        <w:rPr>
          <w:iCs/>
          <w:snapToGrid/>
          <w:szCs w:val="22"/>
        </w:rPr>
        <w:t xml:space="preserve"> a la Secretaria Ejecutiva que, al preparar la documentación para la segunda reunión del Órgano Subsidiario sobre la Aplicación, tenga en cuenta las orientaciones que figuran en los párrafos 3 y 4 de la presente recomendación;</w:t>
      </w:r>
    </w:p>
    <w:p w14:paraId="32E2B349" w14:textId="77777777" w:rsidR="00FB056B" w:rsidRPr="004B4166" w:rsidRDefault="00FB056B" w:rsidP="00FB056B">
      <w:pPr>
        <w:pStyle w:val="Para1"/>
        <w:numPr>
          <w:ilvl w:val="0"/>
          <w:numId w:val="2"/>
        </w:numPr>
        <w:suppressLineNumbers/>
        <w:suppressAutoHyphens/>
        <w:spacing w:before="0"/>
        <w:ind w:firstLine="720"/>
        <w:rPr>
          <w:snapToGrid/>
          <w:kern w:val="22"/>
          <w:szCs w:val="22"/>
        </w:rPr>
      </w:pPr>
      <w:r>
        <w:rPr>
          <w:i/>
          <w:iCs/>
          <w:snapToGrid/>
          <w:szCs w:val="22"/>
        </w:rPr>
        <w:t>Pide también</w:t>
      </w:r>
      <w:r>
        <w:rPr>
          <w:iCs/>
          <w:snapToGrid/>
          <w:szCs w:val="22"/>
        </w:rPr>
        <w:t xml:space="preserve"> a la Secretaria Ejecutiva que continúe recopilando información, incluidos estudios de casos, sobre experiencias en el uso de herramientas para evaluar la eficacia de los instrumentos de políticas para la implementación del Plan Estratégico para la Diversidad Biológica 2011-2020;</w:t>
      </w:r>
    </w:p>
    <w:p w14:paraId="55FB14F8" w14:textId="77777777" w:rsidR="00FB056B" w:rsidRPr="004B4166" w:rsidRDefault="00FB056B" w:rsidP="00763196">
      <w:pPr>
        <w:pStyle w:val="Para1"/>
        <w:keepNext/>
        <w:numPr>
          <w:ilvl w:val="0"/>
          <w:numId w:val="0"/>
        </w:numPr>
        <w:suppressLineNumbers/>
        <w:suppressAutoHyphens/>
        <w:spacing w:before="0"/>
        <w:rPr>
          <w:b/>
          <w:bCs/>
          <w:snapToGrid/>
          <w:kern w:val="22"/>
          <w:szCs w:val="22"/>
        </w:rPr>
      </w:pPr>
      <w:r>
        <w:rPr>
          <w:b/>
          <w:bCs/>
          <w:snapToGrid/>
          <w:szCs w:val="22"/>
        </w:rPr>
        <w:t>Sección B</w:t>
      </w:r>
    </w:p>
    <w:p w14:paraId="1C60520D" w14:textId="77777777" w:rsidR="00FB056B" w:rsidRPr="004B4166" w:rsidRDefault="00FB056B" w:rsidP="00763196">
      <w:pPr>
        <w:pStyle w:val="Para1"/>
        <w:keepNext/>
        <w:numPr>
          <w:ilvl w:val="0"/>
          <w:numId w:val="0"/>
        </w:numPr>
        <w:suppressLineNumbers/>
        <w:suppressAutoHyphens/>
        <w:ind w:firstLine="720"/>
        <w:rPr>
          <w:snapToGrid/>
          <w:kern w:val="22"/>
          <w:szCs w:val="22"/>
        </w:rPr>
      </w:pPr>
      <w:r>
        <w:rPr>
          <w:snapToGrid/>
          <w:szCs w:val="22"/>
        </w:rPr>
        <w:t>El Órgano Subsidiario de Asesoramiento Científico, Técnico y Tecnológico recomienda que la Conferencia de las Partes, en su 14ª reunión, adopte una decisión del siguiente tenor:</w:t>
      </w:r>
    </w:p>
    <w:p w14:paraId="36387C0A" w14:textId="77777777" w:rsidR="00FB056B" w:rsidRPr="004B4166" w:rsidRDefault="00FB056B" w:rsidP="00300F6E">
      <w:pPr>
        <w:pStyle w:val="Para1"/>
        <w:keepNext/>
        <w:numPr>
          <w:ilvl w:val="0"/>
          <w:numId w:val="0"/>
        </w:numPr>
        <w:suppressLineNumbers/>
        <w:suppressAutoHyphens/>
        <w:ind w:left="720" w:firstLine="720"/>
        <w:rPr>
          <w:i/>
          <w:iCs/>
          <w:snapToGrid/>
          <w:kern w:val="22"/>
          <w:szCs w:val="22"/>
        </w:rPr>
      </w:pPr>
      <w:r>
        <w:rPr>
          <w:i/>
          <w:iCs/>
          <w:snapToGrid/>
          <w:szCs w:val="22"/>
        </w:rPr>
        <w:t>La Conferencia de las Partes,</w:t>
      </w:r>
    </w:p>
    <w:p w14:paraId="2FFB51C4" w14:textId="1DE94382" w:rsidR="00FB056B" w:rsidRPr="004B4166" w:rsidRDefault="00FB056B" w:rsidP="00300F6E">
      <w:pPr>
        <w:pStyle w:val="Para1"/>
        <w:numPr>
          <w:ilvl w:val="0"/>
          <w:numId w:val="0"/>
        </w:numPr>
        <w:suppressLineNumbers/>
        <w:suppressAutoHyphens/>
        <w:spacing w:before="0"/>
        <w:ind w:left="720" w:firstLine="720"/>
        <w:rPr>
          <w:snapToGrid/>
          <w:kern w:val="22"/>
          <w:szCs w:val="22"/>
        </w:rPr>
      </w:pPr>
      <w:r>
        <w:rPr>
          <w:i/>
          <w:iCs/>
          <w:snapToGrid/>
          <w:szCs w:val="22"/>
        </w:rPr>
        <w:t>Recordando</w:t>
      </w:r>
      <w:r>
        <w:rPr>
          <w:iCs/>
          <w:snapToGrid/>
          <w:szCs w:val="22"/>
        </w:rPr>
        <w:t xml:space="preserve"> la </w:t>
      </w:r>
      <w:hyperlink r:id="rId14" w:history="1">
        <w:r>
          <w:rPr>
            <w:rStyle w:val="Hyperlink"/>
            <w:iCs/>
            <w:snapToGrid/>
            <w:szCs w:val="22"/>
          </w:rPr>
          <w:t>decisión XIII/1</w:t>
        </w:r>
      </w:hyperlink>
      <w:r>
        <w:rPr>
          <w:iCs/>
          <w:snapToGrid/>
          <w:szCs w:val="22"/>
        </w:rPr>
        <w:t>, párrafos 29 y 30,</w:t>
      </w:r>
    </w:p>
    <w:p w14:paraId="577CA6A4" w14:textId="117A4BC9" w:rsidR="00FB056B" w:rsidRPr="004B4166" w:rsidRDefault="00FB056B" w:rsidP="00300F6E">
      <w:pPr>
        <w:pStyle w:val="Para1"/>
        <w:numPr>
          <w:ilvl w:val="0"/>
          <w:numId w:val="6"/>
        </w:numPr>
        <w:suppressLineNumbers/>
        <w:tabs>
          <w:tab w:val="clear" w:pos="360"/>
        </w:tabs>
        <w:suppressAutoHyphens/>
        <w:spacing w:before="0"/>
        <w:ind w:left="720" w:firstLine="720"/>
        <w:rPr>
          <w:snapToGrid/>
          <w:kern w:val="22"/>
          <w:szCs w:val="22"/>
        </w:rPr>
      </w:pPr>
      <w:r>
        <w:rPr>
          <w:i/>
          <w:snapToGrid/>
          <w:szCs w:val="22"/>
        </w:rPr>
        <w:t>Pone de relieve</w:t>
      </w:r>
      <w:r>
        <w:rPr>
          <w:snapToGrid/>
          <w:szCs w:val="22"/>
        </w:rPr>
        <w:t xml:space="preserve"> la importancia de las evaluaciones rigurosas de la eficacia de las medidas o instrumentos de políticas para apoyar la aplicación del Convenio y la implementación del Plan Estratégico para la Diversidad Biológica 2011</w:t>
      </w:r>
      <w:r>
        <w:rPr>
          <w:snapToGrid/>
          <w:szCs w:val="22"/>
        </w:rPr>
        <w:noBreakHyphen/>
        <w:t xml:space="preserve">2020 y la necesidad de creación de capacidad relacionada, y por lo tanto </w:t>
      </w:r>
      <w:r>
        <w:rPr>
          <w:i/>
          <w:snapToGrid/>
          <w:szCs w:val="22"/>
        </w:rPr>
        <w:t>pide</w:t>
      </w:r>
      <w:r>
        <w:rPr>
          <w:snapToGrid/>
          <w:szCs w:val="22"/>
        </w:rPr>
        <w:t xml:space="preserve"> a la Secretaria Ejecutiva que tenga ambas cosas en cuenta en la preparación del marco mundial de la diversidad biológica posterior a 2020 y de la tercera reunión del Órgano Subsidiario sobre la Aplicación;</w:t>
      </w:r>
    </w:p>
    <w:p w14:paraId="6411C4A2" w14:textId="1BBA24E7" w:rsidR="00FB056B" w:rsidRPr="004B4166" w:rsidRDefault="00FB056B" w:rsidP="00300F6E">
      <w:pPr>
        <w:pStyle w:val="Para1"/>
        <w:numPr>
          <w:ilvl w:val="0"/>
          <w:numId w:val="6"/>
        </w:numPr>
        <w:suppressLineNumbers/>
        <w:tabs>
          <w:tab w:val="clear" w:pos="360"/>
        </w:tabs>
        <w:suppressAutoHyphens/>
        <w:spacing w:before="0"/>
        <w:ind w:left="720" w:firstLine="720"/>
        <w:rPr>
          <w:i/>
          <w:iCs/>
          <w:snapToGrid/>
          <w:kern w:val="22"/>
          <w:szCs w:val="22"/>
        </w:rPr>
      </w:pPr>
      <w:r>
        <w:rPr>
          <w:i/>
          <w:iCs/>
          <w:snapToGrid/>
          <w:szCs w:val="22"/>
        </w:rPr>
        <w:t>Pone de relieve también</w:t>
      </w:r>
      <w:r>
        <w:rPr>
          <w:snapToGrid/>
          <w:szCs w:val="22"/>
        </w:rPr>
        <w:t xml:space="preserve">, </w:t>
      </w:r>
      <w:r>
        <w:rPr>
          <w:iCs/>
          <w:snapToGrid/>
          <w:szCs w:val="22"/>
        </w:rPr>
        <w:t>en este contexto, el valor de armonizar los indicadores utilizados en los distintos procesos de presentación de informes sobre diversidad biológica y desarrollo sostenible;</w:t>
      </w:r>
    </w:p>
    <w:p w14:paraId="18B159A3" w14:textId="4F268550" w:rsidR="00FB056B" w:rsidRPr="004B4166" w:rsidRDefault="00FB056B" w:rsidP="00300F6E">
      <w:pPr>
        <w:pStyle w:val="Para1"/>
        <w:numPr>
          <w:ilvl w:val="0"/>
          <w:numId w:val="2"/>
        </w:numPr>
        <w:suppressLineNumbers/>
        <w:tabs>
          <w:tab w:val="clear" w:pos="360"/>
        </w:tabs>
        <w:suppressAutoHyphens/>
        <w:spacing w:before="0"/>
        <w:ind w:left="720" w:firstLine="720"/>
        <w:rPr>
          <w:snapToGrid/>
          <w:kern w:val="22"/>
          <w:szCs w:val="22"/>
        </w:rPr>
      </w:pPr>
      <w:r>
        <w:rPr>
          <w:i/>
        </w:rPr>
        <w:t>Alienta</w:t>
      </w:r>
      <w:r>
        <w:t xml:space="preserve"> a las Partes, otros Gobiernos, organizaciones internacionales, los pueblos indígenas y las comunidades locales, el sector empresarial y otros interesados directos a que utilicen, según proceda, la información que figura en la nota de la Secretaria Ejecutiva sobre herramientas para evaluar la eficacia de los instrumentos de políticas para la aplicación del Convenio</w:t>
      </w:r>
      <w:bookmarkStart w:id="0" w:name="_Ref500789132"/>
      <w:r w:rsidRPr="004B4166">
        <w:rPr>
          <w:rStyle w:val="FootnoteReference"/>
          <w:rFonts w:eastAsiaTheme="majorEastAsia"/>
          <w:snapToGrid/>
          <w:kern w:val="22"/>
          <w:sz w:val="22"/>
          <w:szCs w:val="22"/>
          <w:u w:val="none"/>
          <w:vertAlign w:val="superscript"/>
        </w:rPr>
        <w:footnoteReference w:id="5"/>
      </w:r>
      <w:bookmarkEnd w:id="0"/>
      <w:r>
        <w:t xml:space="preserve"> cuando diseñen y realicen evaluaciones de la eficacia de las medidas adoptadas para aplicar el Convenio, como por ejemplo en el contexto de la preparación de sus informes nacionales;</w:t>
      </w:r>
    </w:p>
    <w:p w14:paraId="66C8936F" w14:textId="13D52E46" w:rsidR="00FB056B" w:rsidRPr="004B4166" w:rsidRDefault="00FB056B" w:rsidP="00300F6E">
      <w:pPr>
        <w:pStyle w:val="Para1"/>
        <w:numPr>
          <w:ilvl w:val="0"/>
          <w:numId w:val="2"/>
        </w:numPr>
        <w:suppressLineNumbers/>
        <w:tabs>
          <w:tab w:val="clear" w:pos="360"/>
        </w:tabs>
        <w:suppressAutoHyphens/>
        <w:spacing w:before="0"/>
        <w:ind w:left="720" w:firstLine="720"/>
        <w:rPr>
          <w:iCs/>
          <w:snapToGrid/>
          <w:kern w:val="22"/>
          <w:szCs w:val="22"/>
        </w:rPr>
      </w:pPr>
      <w:r>
        <w:rPr>
          <w:i/>
          <w:iCs/>
          <w:snapToGrid/>
          <w:szCs w:val="22"/>
        </w:rPr>
        <w:t>Pide</w:t>
      </w:r>
      <w:r>
        <w:rPr>
          <w:iCs/>
          <w:snapToGrid/>
          <w:szCs w:val="22"/>
        </w:rPr>
        <w:t xml:space="preserve"> a las Partes que compartan e </w:t>
      </w:r>
      <w:r>
        <w:rPr>
          <w:i/>
          <w:iCs/>
          <w:snapToGrid/>
          <w:szCs w:val="22"/>
        </w:rPr>
        <w:t>invita</w:t>
      </w:r>
      <w:r>
        <w:rPr>
          <w:iCs/>
          <w:snapToGrid/>
          <w:szCs w:val="22"/>
        </w:rPr>
        <w:t xml:space="preserve"> a otros Gobiernos, organizaciones internacionales, los pueblos indígenas y las comunidades locales, el sector empresarial y otros interesados directos a que compartan, según proceda, a través de sus informes nacionales y el mecanismo de facilitación y otros medios adecuados, información sobre las metodologías utilizadas en las evaluaciones de la eficacia de las medidas adoptadas para aplicar el Convenio, incluidos estudios de casos, así como lecciones aprendidas en esas evaluaciones;</w:t>
      </w:r>
    </w:p>
    <w:p w14:paraId="37CD05A2" w14:textId="745CEF98" w:rsidR="00FB056B" w:rsidRPr="004B4166" w:rsidRDefault="00FB056B" w:rsidP="00300F6E">
      <w:pPr>
        <w:pStyle w:val="Para1"/>
        <w:numPr>
          <w:ilvl w:val="0"/>
          <w:numId w:val="2"/>
        </w:numPr>
        <w:suppressLineNumbers/>
        <w:tabs>
          <w:tab w:val="clear" w:pos="360"/>
        </w:tabs>
        <w:suppressAutoHyphens/>
        <w:spacing w:before="0"/>
        <w:ind w:left="720" w:firstLine="720"/>
        <w:rPr>
          <w:iCs/>
          <w:snapToGrid/>
          <w:kern w:val="22"/>
          <w:szCs w:val="22"/>
        </w:rPr>
      </w:pPr>
      <w:r>
        <w:rPr>
          <w:i/>
        </w:rPr>
        <w:t>Pide</w:t>
      </w:r>
      <w:r>
        <w:t xml:space="preserve"> a la Secretaria Ejecutiva que elabore, para su examen por el Órgano Subsidiario sobre la Aplicación en su tercera reunión, un conjunto de herramientas para asistir a las Partes, otros Gobiernos, organizaciones internacionales, los pueblos indígenas y las comunidades locales, el sector empresarial y otros interesados directos en la realización de evaluaciones de la eficacia de las medidas, basándose en las orientaciones que figuran en la nota de la Secretaria Ejecutiva</w:t>
      </w:r>
      <w:r w:rsidRPr="004B4166">
        <w:rPr>
          <w:iCs/>
          <w:snapToGrid/>
          <w:szCs w:val="22"/>
          <w:vertAlign w:val="superscript"/>
        </w:rPr>
        <w:fldChar w:fldCharType="begin"/>
      </w:r>
      <w:r w:rsidRPr="004B4166">
        <w:rPr>
          <w:iCs/>
          <w:snapToGrid/>
          <w:szCs w:val="22"/>
          <w:vertAlign w:val="superscript"/>
        </w:rPr>
        <w:instrText xml:space="preserve"> NOTEREF _Ref500789132 \h  \* MERGEFORMAT </w:instrText>
      </w:r>
      <w:r w:rsidRPr="004B4166">
        <w:rPr>
          <w:iCs/>
          <w:snapToGrid/>
          <w:szCs w:val="22"/>
          <w:vertAlign w:val="superscript"/>
        </w:rPr>
      </w:r>
      <w:r w:rsidRPr="004B4166">
        <w:rPr>
          <w:iCs/>
          <w:snapToGrid/>
          <w:szCs w:val="22"/>
          <w:vertAlign w:val="superscript"/>
        </w:rPr>
        <w:fldChar w:fldCharType="separate"/>
      </w:r>
      <w:r w:rsidRPr="004B4166">
        <w:rPr>
          <w:iCs/>
          <w:snapToGrid/>
          <w:szCs w:val="22"/>
          <w:vertAlign w:val="superscript"/>
        </w:rPr>
        <w:t>5</w:t>
      </w:r>
      <w:r w:rsidRPr="004B4166">
        <w:rPr>
          <w:iCs/>
          <w:snapToGrid/>
          <w:szCs w:val="22"/>
          <w:vertAlign w:val="superscript"/>
        </w:rPr>
        <w:fldChar w:fldCharType="end"/>
      </w:r>
      <w:r>
        <w:t xml:space="preserve"> y en la información presentada de conformidad con el párrafo 3 de la presente decisión.</w:t>
      </w:r>
    </w:p>
    <w:p w14:paraId="3BA4C436" w14:textId="74B06CC8" w:rsidR="00C9161D" w:rsidRPr="004B4166" w:rsidRDefault="00FB056B" w:rsidP="00E6304B">
      <w:pPr>
        <w:suppressLineNumbers/>
        <w:suppressAutoHyphens/>
        <w:jc w:val="center"/>
        <w:rPr>
          <w:kern w:val="22"/>
          <w:szCs w:val="22"/>
        </w:rPr>
      </w:pPr>
      <w:r>
        <w:t>__________</w:t>
      </w:r>
    </w:p>
    <w:p w14:paraId="0415003B" w14:textId="4937E077" w:rsidR="00B3369F" w:rsidRPr="004B4166" w:rsidRDefault="00B3369F" w:rsidP="00300F6E">
      <w:pPr>
        <w:jc w:val="center"/>
        <w:rPr>
          <w:kern w:val="22"/>
          <w:szCs w:val="22"/>
        </w:rPr>
      </w:pPr>
    </w:p>
    <w:sectPr w:rsidR="00B3369F" w:rsidRPr="004B4166" w:rsidSect="00300F6E">
      <w:headerReference w:type="even" r:id="rId15"/>
      <w:headerReference w:type="default" r:id="rId16"/>
      <w:headerReference w:type="first" r:id="rId17"/>
      <w:footerReference w:type="first" r:id="rId18"/>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B1740" w14:textId="77777777" w:rsidR="00030326" w:rsidRDefault="00030326" w:rsidP="00CF1848">
      <w:r>
        <w:separator/>
      </w:r>
    </w:p>
  </w:endnote>
  <w:endnote w:type="continuationSeparator" w:id="0">
    <w:p w14:paraId="65D83DC5" w14:textId="77777777" w:rsidR="00030326" w:rsidRDefault="0003032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28834" w14:textId="77777777" w:rsidR="00F6733A" w:rsidRDefault="00F6733A" w:rsidP="004B4166">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AD42B" w14:textId="77777777" w:rsidR="00030326" w:rsidRDefault="00030326" w:rsidP="00CF1848">
      <w:r>
        <w:separator/>
      </w:r>
    </w:p>
  </w:footnote>
  <w:footnote w:type="continuationSeparator" w:id="0">
    <w:p w14:paraId="1F49E846" w14:textId="77777777" w:rsidR="00030326" w:rsidRDefault="00030326" w:rsidP="00CF1848">
      <w:r>
        <w:continuationSeparator/>
      </w:r>
    </w:p>
  </w:footnote>
  <w:footnote w:id="1">
    <w:p w14:paraId="02BA8903" w14:textId="11E5F5AD" w:rsidR="00671B5E" w:rsidRPr="004B4166" w:rsidRDefault="00671B5E" w:rsidP="004B4166">
      <w:pPr>
        <w:pStyle w:val="FootnoteText"/>
        <w:keepLines w:val="0"/>
        <w:ind w:firstLine="0"/>
        <w:jc w:val="left"/>
        <w:rPr>
          <w:kern w:val="18"/>
        </w:rPr>
      </w:pPr>
      <w:r>
        <w:rPr>
          <w:rStyle w:val="FootnoteReference"/>
          <w:kern w:val="18"/>
          <w:u w:val="none"/>
          <w:vertAlign w:val="superscript"/>
        </w:rPr>
        <w:footnoteRef/>
      </w:r>
      <w:r>
        <w:t xml:space="preserve"> </w:t>
      </w:r>
      <w:hyperlink r:id="rId1" w:history="1">
        <w:r>
          <w:rPr>
            <w:rStyle w:val="Hyperlink"/>
          </w:rPr>
          <w:t>Decisión X/2</w:t>
        </w:r>
      </w:hyperlink>
      <w:r>
        <w:t>, anexo.</w:t>
      </w:r>
    </w:p>
  </w:footnote>
  <w:footnote w:id="2">
    <w:p w14:paraId="5E45308E" w14:textId="7167F1FE" w:rsidR="00FB056B" w:rsidRPr="00320EF0" w:rsidRDefault="00FB056B" w:rsidP="00497235">
      <w:pPr>
        <w:pStyle w:val="FootnoteText"/>
        <w:keepLines w:val="0"/>
        <w:ind w:firstLine="0"/>
        <w:jc w:val="left"/>
        <w:rPr>
          <w:kern w:val="18"/>
        </w:rPr>
      </w:pPr>
      <w:r>
        <w:rPr>
          <w:rStyle w:val="FootnoteReference"/>
          <w:rFonts w:eastAsiaTheme="majorEastAsia"/>
          <w:kern w:val="18"/>
          <w:u w:val="none"/>
          <w:vertAlign w:val="superscript"/>
        </w:rPr>
        <w:footnoteRef/>
      </w:r>
      <w:r>
        <w:t xml:space="preserve"> </w:t>
      </w:r>
      <w:hyperlink r:id="rId2" w:history="1">
        <w:r>
          <w:rPr>
            <w:rStyle w:val="Hyperlink"/>
          </w:rPr>
          <w:t>CBD/SBSTTA/21/7</w:t>
        </w:r>
      </w:hyperlink>
      <w:r>
        <w:t>.</w:t>
      </w:r>
    </w:p>
  </w:footnote>
  <w:footnote w:id="3">
    <w:p w14:paraId="1F6498B2" w14:textId="30D13E32" w:rsidR="00FB056B" w:rsidRPr="00320EF0" w:rsidRDefault="00FB056B" w:rsidP="00320EF0">
      <w:pPr>
        <w:pStyle w:val="FootnoteText"/>
        <w:keepLines w:val="0"/>
        <w:ind w:firstLine="0"/>
        <w:jc w:val="left"/>
        <w:rPr>
          <w:kern w:val="18"/>
        </w:rPr>
      </w:pPr>
      <w:r>
        <w:rPr>
          <w:rStyle w:val="FootnoteReference"/>
          <w:rFonts w:eastAsiaTheme="majorEastAsia"/>
          <w:kern w:val="18"/>
          <w:u w:val="none"/>
          <w:vertAlign w:val="superscript"/>
        </w:rPr>
        <w:footnoteRef/>
      </w:r>
      <w:r>
        <w:t xml:space="preserve">Tema 12 del </w:t>
      </w:r>
      <w:hyperlink r:id="rId3" w:history="1">
        <w:r>
          <w:rPr>
            <w:rStyle w:val="Hyperlink"/>
          </w:rPr>
          <w:t>programa provisional de la segunda reunión del Órgano Subsidiario sobre la Aplicación</w:t>
        </w:r>
      </w:hyperlink>
      <w:r>
        <w:t>.</w:t>
      </w:r>
    </w:p>
  </w:footnote>
  <w:footnote w:id="4">
    <w:p w14:paraId="7142A7B9" w14:textId="77777777" w:rsidR="00FB056B" w:rsidRPr="00320EF0" w:rsidRDefault="00FB056B" w:rsidP="00320EF0">
      <w:pPr>
        <w:pStyle w:val="FootnoteText"/>
        <w:keepLines w:val="0"/>
        <w:ind w:firstLine="0"/>
        <w:jc w:val="left"/>
        <w:rPr>
          <w:kern w:val="18"/>
        </w:rPr>
      </w:pPr>
      <w:r>
        <w:rPr>
          <w:rStyle w:val="FootnoteReference"/>
          <w:rFonts w:eastAsiaTheme="majorEastAsia"/>
          <w:kern w:val="18"/>
          <w:u w:val="none"/>
          <w:vertAlign w:val="superscript"/>
        </w:rPr>
        <w:footnoteRef/>
      </w:r>
      <w:r>
        <w:t xml:space="preserve"> </w:t>
      </w:r>
      <w:r>
        <w:rPr>
          <w:i/>
        </w:rPr>
        <w:t>Ibid</w:t>
      </w:r>
      <w:r>
        <w:t>., tema 16.</w:t>
      </w:r>
    </w:p>
  </w:footnote>
  <w:footnote w:id="5">
    <w:p w14:paraId="252953DA" w14:textId="5A48B564" w:rsidR="00FB056B" w:rsidRPr="00320EF0" w:rsidRDefault="00FB056B" w:rsidP="00320EF0">
      <w:pPr>
        <w:pStyle w:val="FootnoteText"/>
        <w:keepLines w:val="0"/>
        <w:ind w:firstLine="0"/>
        <w:jc w:val="left"/>
        <w:rPr>
          <w:kern w:val="18"/>
        </w:rPr>
      </w:pPr>
      <w:r>
        <w:rPr>
          <w:rStyle w:val="FootnoteReference"/>
          <w:rFonts w:eastAsiaTheme="majorEastAsia"/>
          <w:kern w:val="18"/>
          <w:u w:val="none"/>
          <w:vertAlign w:val="superscript"/>
        </w:rPr>
        <w:footnoteRef/>
      </w:r>
      <w:r>
        <w:t xml:space="preserve"> </w:t>
      </w:r>
      <w:hyperlink r:id="rId4" w:history="1">
        <w:r>
          <w:rPr>
            <w:rStyle w:val="Hyperlink"/>
          </w:rPr>
          <w:t>CBD/SBS</w:t>
        </w:r>
        <w:bookmarkStart w:id="1" w:name="_GoBack"/>
        <w:bookmarkEnd w:id="1"/>
        <w:r>
          <w:rPr>
            <w:rStyle w:val="Hyperlink"/>
          </w:rPr>
          <w:t>T</w:t>
        </w:r>
        <w:r>
          <w:rPr>
            <w:rStyle w:val="Hyperlink"/>
          </w:rPr>
          <w:t>TA/21/7</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5CF4B93B" w14:textId="27EF4D8B" w:rsidR="00534681" w:rsidRPr="000950F5" w:rsidRDefault="00193D02" w:rsidP="004B4166">
        <w:pPr>
          <w:pStyle w:val="Header"/>
          <w:tabs>
            <w:tab w:val="clear" w:pos="4320"/>
            <w:tab w:val="clear" w:pos="8640"/>
          </w:tabs>
          <w:jc w:val="left"/>
          <w:rPr>
            <w:noProof/>
            <w:kern w:val="22"/>
          </w:rPr>
        </w:pPr>
        <w:r>
          <w:t>CBD/SBSTTA/REC/XXI/6</w:t>
        </w:r>
      </w:p>
    </w:sdtContent>
  </w:sdt>
  <w:p w14:paraId="3372F110" w14:textId="1520D65B" w:rsidR="00534681" w:rsidRPr="000950F5" w:rsidRDefault="00534681" w:rsidP="004B4166">
    <w:pPr>
      <w:pStyle w:val="Header"/>
      <w:tabs>
        <w:tab w:val="clear" w:pos="4320"/>
        <w:tab w:val="clear" w:pos="8640"/>
      </w:tabs>
      <w:jc w:val="left"/>
      <w:rPr>
        <w:noProof/>
        <w:kern w:val="22"/>
      </w:rPr>
    </w:pPr>
    <w:r>
      <w:t xml:space="preserve">Página </w:t>
    </w:r>
    <w:r w:rsidRPr="004B4166">
      <w:fldChar w:fldCharType="begin"/>
    </w:r>
    <w:r w:rsidRPr="000950F5">
      <w:instrText xml:space="preserve"> PAGE   \* MERGEFORMAT </w:instrText>
    </w:r>
    <w:r w:rsidRPr="004B4166">
      <w:fldChar w:fldCharType="separate"/>
    </w:r>
    <w:r w:rsidR="00C01B48">
      <w:rPr>
        <w:noProof/>
      </w:rPr>
      <w:t>2</w:t>
    </w:r>
    <w:r w:rsidRPr="004B4166">
      <w:fldChar w:fldCharType="end"/>
    </w:r>
  </w:p>
  <w:p w14:paraId="5B96CA7A" w14:textId="77777777" w:rsidR="00534681" w:rsidRPr="000950F5" w:rsidRDefault="00534681" w:rsidP="004B4166">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205876444"/>
      <w:placeholder>
        <w:docPart w:val="74DFE888CCB242E7B87A0F21309B51AD"/>
      </w:placeholder>
      <w:dataBinding w:prefixMappings="xmlns:ns0='http://purl.org/dc/elements/1.1/' xmlns:ns1='http://schemas.openxmlformats.org/package/2006/metadata/core-properties' " w:xpath="/ns1:coreProperties[1]/ns0:subject[1]" w:storeItemID="{6C3C8BC8-F283-45AE-878A-BAB7291924A1}"/>
      <w:text/>
    </w:sdtPr>
    <w:sdtEndPr/>
    <w:sdtContent>
      <w:p w14:paraId="128A1042" w14:textId="227EA670" w:rsidR="002207B4" w:rsidRPr="004B4166" w:rsidRDefault="00193D02" w:rsidP="002207B4">
        <w:pPr>
          <w:pStyle w:val="Header"/>
          <w:jc w:val="right"/>
        </w:pPr>
        <w:r>
          <w:t>CBD/SBSTTA/REC/XXI/6</w:t>
        </w:r>
      </w:p>
    </w:sdtContent>
  </w:sdt>
  <w:p w14:paraId="559E7B75" w14:textId="12C31B8D" w:rsidR="002207B4" w:rsidRPr="004B4166" w:rsidRDefault="002207B4" w:rsidP="002207B4">
    <w:pPr>
      <w:pStyle w:val="Header"/>
      <w:jc w:val="right"/>
    </w:pPr>
    <w:r>
      <w:t xml:space="preserve">Página </w:t>
    </w:r>
    <w:r>
      <w:fldChar w:fldCharType="begin"/>
    </w:r>
    <w:r w:rsidRPr="004B4166">
      <w:instrText xml:space="preserve"> PAGE   \* MERGEFORMAT </w:instrText>
    </w:r>
    <w:r>
      <w:fldChar w:fldCharType="separate"/>
    </w:r>
    <w:r w:rsidR="00E6304B" w:rsidRPr="004B4166">
      <w:t>3</w:t>
    </w:r>
    <w:r>
      <w:fldChar w:fldCharType="end"/>
    </w:r>
  </w:p>
  <w:p w14:paraId="52679B8A" w14:textId="77777777" w:rsidR="002207B4" w:rsidRPr="004B4166" w:rsidRDefault="002207B4">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95787" w14:textId="77777777" w:rsidR="00F6733A" w:rsidRDefault="00F6733A" w:rsidP="004B4166">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3"/>
  </w:num>
  <w:num w:numId="3">
    <w:abstractNumId w:val="1"/>
  </w:num>
  <w:num w:numId="4">
    <w:abstractNumId w:val="3"/>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6179"/>
    <w:rsid w:val="00030326"/>
    <w:rsid w:val="00037A28"/>
    <w:rsid w:val="00044E5D"/>
    <w:rsid w:val="0006388B"/>
    <w:rsid w:val="000950F5"/>
    <w:rsid w:val="00105372"/>
    <w:rsid w:val="00131E7A"/>
    <w:rsid w:val="00133A4D"/>
    <w:rsid w:val="00161B22"/>
    <w:rsid w:val="00163B57"/>
    <w:rsid w:val="00181458"/>
    <w:rsid w:val="00193D02"/>
    <w:rsid w:val="001A27E7"/>
    <w:rsid w:val="001B0EEA"/>
    <w:rsid w:val="001D569A"/>
    <w:rsid w:val="002207B4"/>
    <w:rsid w:val="002C08FF"/>
    <w:rsid w:val="002D5575"/>
    <w:rsid w:val="00300F6E"/>
    <w:rsid w:val="00320EF0"/>
    <w:rsid w:val="003449DD"/>
    <w:rsid w:val="00372F74"/>
    <w:rsid w:val="00380528"/>
    <w:rsid w:val="003F4621"/>
    <w:rsid w:val="00406C6F"/>
    <w:rsid w:val="00442A51"/>
    <w:rsid w:val="004644C2"/>
    <w:rsid w:val="004849F1"/>
    <w:rsid w:val="004956FD"/>
    <w:rsid w:val="00497235"/>
    <w:rsid w:val="004B4166"/>
    <w:rsid w:val="00534681"/>
    <w:rsid w:val="0053634B"/>
    <w:rsid w:val="00541273"/>
    <w:rsid w:val="005614F0"/>
    <w:rsid w:val="005A6946"/>
    <w:rsid w:val="005B4222"/>
    <w:rsid w:val="005E4C1C"/>
    <w:rsid w:val="00601AA1"/>
    <w:rsid w:val="00615FD5"/>
    <w:rsid w:val="00644D95"/>
    <w:rsid w:val="00670F3A"/>
    <w:rsid w:val="00671B5E"/>
    <w:rsid w:val="006A55E1"/>
    <w:rsid w:val="006A6D6D"/>
    <w:rsid w:val="006A71EB"/>
    <w:rsid w:val="006C6478"/>
    <w:rsid w:val="006E2828"/>
    <w:rsid w:val="00710DFF"/>
    <w:rsid w:val="00717D88"/>
    <w:rsid w:val="00770C04"/>
    <w:rsid w:val="007A4BA9"/>
    <w:rsid w:val="007E09DA"/>
    <w:rsid w:val="007F0B70"/>
    <w:rsid w:val="00907D7D"/>
    <w:rsid w:val="00951AAF"/>
    <w:rsid w:val="0095536B"/>
    <w:rsid w:val="009A33AF"/>
    <w:rsid w:val="009B47C0"/>
    <w:rsid w:val="00A22E6C"/>
    <w:rsid w:val="00A2573A"/>
    <w:rsid w:val="00B04DAA"/>
    <w:rsid w:val="00B3369F"/>
    <w:rsid w:val="00BD2CA3"/>
    <w:rsid w:val="00C01B48"/>
    <w:rsid w:val="00C105F3"/>
    <w:rsid w:val="00C14050"/>
    <w:rsid w:val="00C351FA"/>
    <w:rsid w:val="00C9051C"/>
    <w:rsid w:val="00C9161D"/>
    <w:rsid w:val="00CF084F"/>
    <w:rsid w:val="00CF1848"/>
    <w:rsid w:val="00D76A18"/>
    <w:rsid w:val="00DA78E9"/>
    <w:rsid w:val="00DE1D60"/>
    <w:rsid w:val="00E6304B"/>
    <w:rsid w:val="00E66235"/>
    <w:rsid w:val="00E74E85"/>
    <w:rsid w:val="00E83C24"/>
    <w:rsid w:val="00ED5D70"/>
    <w:rsid w:val="00ED72E5"/>
    <w:rsid w:val="00F02176"/>
    <w:rsid w:val="00F6733A"/>
    <w:rsid w:val="00F94774"/>
    <w:rsid w:val="00FB056B"/>
    <w:rsid w:val="00FB7E19"/>
    <w:rsid w:val="00FC33B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0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uiPriority w:val="99"/>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basedOn w:val="DefaultParagraphFont"/>
    <w:uiPriority w:val="99"/>
    <w:unhideWhenUsed/>
    <w:rsid w:val="00FB056B"/>
    <w:rPr>
      <w:color w:val="0000FF" w:themeColor="hyperlink"/>
      <w:u w:val="single"/>
    </w:rPr>
  </w:style>
  <w:style w:type="paragraph" w:customStyle="1" w:styleId="recommendation">
    <w:name w:val="recommendation"/>
    <w:basedOn w:val="Heading2"/>
    <w:qFormat/>
    <w:rsid w:val="00193D02"/>
    <w:pPr>
      <w:tabs>
        <w:tab w:val="clear" w:pos="720"/>
      </w:tabs>
      <w:snapToGrid w:val="0"/>
      <w:spacing w:before="240" w:after="60" w:line="276" w:lineRule="auto"/>
      <w:jc w:val="left"/>
    </w:pPr>
    <w:rPr>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uiPriority w:val="99"/>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basedOn w:val="DefaultParagraphFont"/>
    <w:uiPriority w:val="99"/>
    <w:unhideWhenUsed/>
    <w:rsid w:val="00FB056B"/>
    <w:rPr>
      <w:color w:val="0000FF" w:themeColor="hyperlink"/>
      <w:u w:val="single"/>
    </w:rPr>
  </w:style>
  <w:style w:type="paragraph" w:customStyle="1" w:styleId="recommendation">
    <w:name w:val="recommendation"/>
    <w:basedOn w:val="Heading2"/>
    <w:qFormat/>
    <w:rsid w:val="00193D02"/>
    <w:pPr>
      <w:tabs>
        <w:tab w:val="clear" w:pos="720"/>
      </w:tabs>
      <w:snapToGrid w:val="0"/>
      <w:spacing w:before="240" w:after="60" w:line="276" w:lineRule="auto"/>
      <w:jc w:val="left"/>
    </w:pPr>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199350">
      <w:bodyDiv w:val="1"/>
      <w:marLeft w:val="0"/>
      <w:marRight w:val="0"/>
      <w:marTop w:val="0"/>
      <w:marBottom w:val="0"/>
      <w:divBdr>
        <w:top w:val="none" w:sz="0" w:space="0" w:color="auto"/>
        <w:left w:val="none" w:sz="0" w:space="0" w:color="auto"/>
        <w:bottom w:val="none" w:sz="0" w:space="0" w:color="auto"/>
        <w:right w:val="none" w:sz="0" w:space="0" w:color="auto"/>
      </w:divBdr>
    </w:div>
    <w:div w:id="992294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01-es.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cop-13/cop-13-dec-01-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965e/7b06/3b39cb44e29286a3029fce8d/sbi-02-01-es.pdf" TargetMode="External"/><Relationship Id="rId2" Type="http://schemas.openxmlformats.org/officeDocument/2006/relationships/hyperlink" Target="https://www.cbd.int/doc/meetings/sbstta/sbstta-21/official/sbstta-21-07-es.pdf" TargetMode="External"/><Relationship Id="rId1" Type="http://schemas.openxmlformats.org/officeDocument/2006/relationships/hyperlink" Target="https://www.cbd.int/doc/decisions/cop-10/cop-10-dec-02-es.pdf" TargetMode="External"/><Relationship Id="rId4" Type="http://schemas.openxmlformats.org/officeDocument/2006/relationships/hyperlink" Target="https://www.cbd.int/doc/meetings/sbstta/sbstta-21/official/sbstta-21-07-e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B7472C" w:rsidRDefault="000B230B">
          <w:r w:rsidRPr="00115DE4">
            <w:rPr>
              <w:rStyle w:val="PlaceholderText"/>
            </w:rPr>
            <w:t>[Subject]</w:t>
          </w:r>
        </w:p>
      </w:docPartBody>
    </w:docPart>
    <w:docPart>
      <w:docPartPr>
        <w:name w:val="74DFE888CCB242E7B87A0F21309B51AD"/>
        <w:category>
          <w:name w:val="General"/>
          <w:gallery w:val="placeholder"/>
        </w:category>
        <w:types>
          <w:type w:val="bbPlcHdr"/>
        </w:types>
        <w:behaviors>
          <w:behavior w:val="content"/>
        </w:behaviors>
        <w:guid w:val="{69D95243-5E0E-4BB1-99C9-C3A419308C38}"/>
      </w:docPartPr>
      <w:docPartBody>
        <w:p w:rsidR="00B7472C" w:rsidRDefault="000B230B" w:rsidP="000B230B">
          <w:pPr>
            <w:pStyle w:val="74DFE888CCB242E7B87A0F21309B51AD"/>
          </w:pPr>
          <w:r w:rsidRPr="00115DE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00E46"/>
    <w:rsid w:val="000B230B"/>
    <w:rsid w:val="000B3BBF"/>
    <w:rsid w:val="005334A1"/>
    <w:rsid w:val="006A36ED"/>
    <w:rsid w:val="006B4B04"/>
    <w:rsid w:val="00810A55"/>
    <w:rsid w:val="008D420E"/>
    <w:rsid w:val="00B747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30B"/>
    <w:rPr>
      <w:color w:val="808080"/>
    </w:rPr>
  </w:style>
  <w:style w:type="paragraph" w:customStyle="1" w:styleId="74DFE888CCB242E7B87A0F21309B51AD">
    <w:name w:val="74DFE888CCB242E7B87A0F21309B51AD"/>
    <w:rsid w:val="000B230B"/>
    <w:pPr>
      <w:spacing w:after="160" w:line="259" w:lineRule="auto"/>
    </w:pPr>
  </w:style>
  <w:style w:type="paragraph" w:customStyle="1" w:styleId="6A26B78578464F238483F76A53060C0E">
    <w:name w:val="6A26B78578464F238483F76A53060C0E"/>
    <w:rsid w:val="000B230B"/>
    <w:pPr>
      <w:spacing w:after="160" w:line="259" w:lineRule="auto"/>
    </w:pPr>
  </w:style>
  <w:style w:type="paragraph" w:customStyle="1" w:styleId="B672B43C11D64CDB86A8BF60DF5A9430">
    <w:name w:val="B672B43C11D64CDB86A8BF60DF5A9430"/>
    <w:rsid w:val="000B230B"/>
    <w:pPr>
      <w:spacing w:after="160" w:line="259" w:lineRule="auto"/>
    </w:pPr>
  </w:style>
  <w:style w:type="paragraph" w:customStyle="1" w:styleId="9F31E1760D9147FFBA7DBCE81E5FD42D">
    <w:name w:val="9F31E1760D9147FFBA7DBCE81E5FD42D"/>
    <w:rsid w:val="000B230B"/>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30B"/>
    <w:rPr>
      <w:color w:val="808080"/>
    </w:rPr>
  </w:style>
  <w:style w:type="paragraph" w:customStyle="1" w:styleId="74DFE888CCB242E7B87A0F21309B51AD">
    <w:name w:val="74DFE888CCB242E7B87A0F21309B51AD"/>
    <w:rsid w:val="000B230B"/>
    <w:pPr>
      <w:spacing w:after="160" w:line="259" w:lineRule="auto"/>
    </w:pPr>
  </w:style>
  <w:style w:type="paragraph" w:customStyle="1" w:styleId="6A26B78578464F238483F76A53060C0E">
    <w:name w:val="6A26B78578464F238483F76A53060C0E"/>
    <w:rsid w:val="000B230B"/>
    <w:pPr>
      <w:spacing w:after="160" w:line="259" w:lineRule="auto"/>
    </w:pPr>
  </w:style>
  <w:style w:type="paragraph" w:customStyle="1" w:styleId="B672B43C11D64CDB86A8BF60DF5A9430">
    <w:name w:val="B672B43C11D64CDB86A8BF60DF5A9430"/>
    <w:rsid w:val="000B230B"/>
    <w:pPr>
      <w:spacing w:after="160" w:line="259" w:lineRule="auto"/>
    </w:pPr>
  </w:style>
  <w:style w:type="paragraph" w:customStyle="1" w:styleId="9F31E1760D9147FFBA7DBCE81E5FD42D">
    <w:name w:val="9F31E1760D9147FFBA7DBCE81E5FD42D"/>
    <w:rsid w:val="000B23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de diciembre de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91392-FB7F-4095-86F7-68A661CC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937</Words>
  <Characters>5341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XXI/6.	Herramientas para evaluar la eficacia de los instrumentos de políticas para la implementación del Plan Estratégico para la Diversidad Biológica 2011-2020</vt:lpstr>
      <vt:lpstr>XX/6.	Tools to evaluate the effectiveness of policy instruments for the implementation of the Strategic Plan for Biodiversity 2011-2020</vt:lpstr>
    </vt:vector>
  </TitlesOfParts>
  <Company>Secretariat of the Convention on Biological Diversity (SCBD)</Company>
  <LinksUpToDate>false</LinksUpToDate>
  <CharactersWithSpaces>6266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XXI/6.	Herramientas para evaluar la eficacia de los instrumentos de políticas para la implementación del Plan Estratégico para la Diversidad Biológica 2011-2020</dc:title>
  <dc:subject>CBD/SBSTTA/REC/XXI/6</dc:subject>
  <dc:creator>SBSTTA</dc:creator>
  <cp:lastModifiedBy>Administrator</cp:lastModifiedBy>
  <cp:revision>6</cp:revision>
  <dcterms:created xsi:type="dcterms:W3CDTF">2018-01-06T21:38:00Z</dcterms:created>
  <dcterms:modified xsi:type="dcterms:W3CDTF">2018-01-11T18:51:00Z</dcterms:modified>
  <cp:contentStatus>GENERAL</cp:contentStatus>
</cp:coreProperties>
</file>