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3C0AFA" w14:paraId="09EEAE79" w14:textId="77777777" w:rsidTr="00B5583F">
        <w:trPr>
          <w:trHeight w:val="709"/>
        </w:trPr>
        <w:tc>
          <w:tcPr>
            <w:tcW w:w="976" w:type="dxa"/>
            <w:tcBorders>
              <w:bottom w:val="single" w:sz="12" w:space="0" w:color="auto"/>
            </w:tcBorders>
          </w:tcPr>
          <w:p w14:paraId="19D1239B" w14:textId="77777777" w:rsidR="003C0AFA" w:rsidRDefault="003C0AFA" w:rsidP="00B5583F">
            <w:r>
              <w:rPr>
                <w:noProof/>
                <w:lang w:eastAsia="en-GB"/>
              </w:rPr>
              <w:drawing>
                <wp:inline distT="0" distB="0" distL="0" distR="0" wp14:anchorId="47ACD739" wp14:editId="4CC98F95">
                  <wp:extent cx="476494" cy="403200"/>
                  <wp:effectExtent l="0" t="0" r="6350" b="3810"/>
                  <wp:docPr id="1" name="Picture 1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bottom w:val="single" w:sz="12" w:space="0" w:color="auto"/>
            </w:tcBorders>
          </w:tcPr>
          <w:p w14:paraId="074FA024" w14:textId="77777777" w:rsidR="003C0AFA" w:rsidRDefault="003C0AFA" w:rsidP="00B5583F">
            <w:r>
              <w:rPr>
                <w:noProof/>
                <w:lang w:eastAsia="en-GB"/>
              </w:rPr>
              <w:drawing>
                <wp:inline distT="0" distB="0" distL="0" distR="0" wp14:anchorId="6B9613DA" wp14:editId="77849265">
                  <wp:extent cx="343700" cy="403200"/>
                  <wp:effectExtent l="0" t="0" r="12065" b="3810"/>
                  <wp:docPr id="3" name="Picture 3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700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bottom w:val="single" w:sz="12" w:space="0" w:color="auto"/>
            </w:tcBorders>
          </w:tcPr>
          <w:p w14:paraId="14BF4CB6" w14:textId="77777777" w:rsidR="003C0AFA" w:rsidRPr="00C9161D" w:rsidRDefault="003C0AFA" w:rsidP="00B5583F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 w:rsidRPr="00C9161D"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3C0AFA" w:rsidRPr="005D5CE7" w14:paraId="29E81650" w14:textId="77777777" w:rsidTr="00B5583F">
        <w:tc>
          <w:tcPr>
            <w:tcW w:w="6117" w:type="dxa"/>
            <w:gridSpan w:val="2"/>
            <w:tcBorders>
              <w:top w:val="single" w:sz="12" w:space="0" w:color="auto"/>
              <w:bottom w:val="single" w:sz="36" w:space="0" w:color="auto"/>
            </w:tcBorders>
            <w:vAlign w:val="center"/>
          </w:tcPr>
          <w:p w14:paraId="24A80EF5" w14:textId="0D723721" w:rsidR="003C0AFA" w:rsidRDefault="00B5583F" w:rsidP="00B5583F">
            <w:r w:rsidRPr="007F4D93">
              <w:rPr>
                <w:rFonts w:ascii="Univers" w:hAnsi="Univers"/>
                <w:noProof/>
                <w:kern w:val="22"/>
                <w:sz w:val="32"/>
                <w:lang w:eastAsia="en-GB"/>
              </w:rPr>
              <w:drawing>
                <wp:inline distT="0" distB="0" distL="0" distR="0" wp14:anchorId="2E4F6B46" wp14:editId="17C576FB">
                  <wp:extent cx="2819400" cy="10668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bottom w:val="single" w:sz="36" w:space="0" w:color="auto"/>
            </w:tcBorders>
          </w:tcPr>
          <w:p w14:paraId="1FF4EAE4" w14:textId="23CC3C07" w:rsidR="003C0AFA" w:rsidRPr="005D5CE7" w:rsidRDefault="003C0AFA" w:rsidP="00B5583F">
            <w:pPr>
              <w:ind w:left="1425"/>
              <w:rPr>
                <w:rFonts w:ascii="Times New Roman" w:hAnsi="Times New Roman" w:cs="Times New Roman"/>
                <w:noProof/>
                <w:szCs w:val="22"/>
                <w:lang w:val="fr-FR"/>
              </w:rPr>
            </w:pPr>
            <w:r w:rsidRPr="005D5CE7">
              <w:rPr>
                <w:rFonts w:ascii="Times New Roman" w:hAnsi="Times New Roman" w:cs="Times New Roman"/>
                <w:noProof/>
                <w:szCs w:val="22"/>
                <w:lang w:val="fr-FR"/>
              </w:rPr>
              <w:t>Distr.</w:t>
            </w:r>
          </w:p>
          <w:p w14:paraId="11E3E64D" w14:textId="59DBA875" w:rsidR="003C0AFA" w:rsidRPr="005D5CE7" w:rsidRDefault="005D5CE7" w:rsidP="00B5583F">
            <w:pPr>
              <w:ind w:left="1425"/>
              <w:rPr>
                <w:rFonts w:ascii="Times New Roman" w:hAnsi="Times New Roman" w:cs="Times New Roman"/>
                <w:szCs w:val="22"/>
                <w:lang w:val="fr-FR"/>
              </w:rPr>
            </w:pPr>
            <w:r w:rsidRPr="005D5CE7">
              <w:rPr>
                <w:rFonts w:ascii="Times New Roman" w:hAnsi="Times New Roman" w:cs="Times New Roman"/>
                <w:szCs w:val="22"/>
                <w:lang w:val="fr-FR"/>
              </w:rPr>
              <w:t>GÉNÉRALE</w:t>
            </w:r>
          </w:p>
          <w:p w14:paraId="344AC030" w14:textId="77777777" w:rsidR="00B5583F" w:rsidRPr="005D5CE7" w:rsidRDefault="00B5583F" w:rsidP="00B5583F">
            <w:pPr>
              <w:ind w:left="1425"/>
              <w:rPr>
                <w:rFonts w:ascii="Times New Roman" w:hAnsi="Times New Roman" w:cs="Times New Roman"/>
                <w:szCs w:val="22"/>
                <w:lang w:val="fr-FR"/>
              </w:rPr>
            </w:pPr>
          </w:p>
          <w:p w14:paraId="748C575E" w14:textId="1E658752" w:rsidR="003C0AFA" w:rsidRPr="005D5CE7" w:rsidRDefault="00A953C9" w:rsidP="00B5583F">
            <w:pPr>
              <w:ind w:left="1425"/>
              <w:rPr>
                <w:rFonts w:ascii="Times New Roman" w:hAnsi="Times New Roman" w:cs="Times New Roman"/>
                <w:szCs w:val="22"/>
                <w:lang w:val="fr-FR"/>
              </w:rPr>
            </w:pPr>
            <w:sdt>
              <w:sdtPr>
                <w:rPr>
                  <w:szCs w:val="22"/>
                  <w:lang w:val="fr-FR"/>
                </w:rPr>
                <w:alias w:val="Subject"/>
                <w:tag w:val=""/>
                <w:id w:val="2137136483"/>
                <w:placeholder>
                  <w:docPart w:val="86727BDD9A02490FA54B79B5E519FD2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5D5CE7" w:rsidRPr="005D5CE7">
                  <w:rPr>
                    <w:rFonts w:ascii="Times New Roman" w:hAnsi="Times New Roman" w:cs="Times New Roman"/>
                    <w:szCs w:val="22"/>
                    <w:lang w:val="fr-FR"/>
                  </w:rPr>
                  <w:t>CBD/SBSTTA/REC/XXI/5</w:t>
                </w:r>
              </w:sdtContent>
            </w:sdt>
          </w:p>
          <w:p w14:paraId="47009D6B" w14:textId="7710DD93" w:rsidR="003C0AFA" w:rsidRPr="005D5CE7" w:rsidRDefault="005D5CE7" w:rsidP="00B5583F">
            <w:pPr>
              <w:ind w:left="1425"/>
              <w:rPr>
                <w:rFonts w:asciiTheme="majorBidi" w:hAnsiTheme="majorBidi" w:cstheme="majorBidi"/>
                <w:szCs w:val="22"/>
                <w:lang w:val="fr-FR"/>
              </w:rPr>
            </w:pPr>
            <w:r w:rsidRPr="005D5CE7">
              <w:rPr>
                <w:rFonts w:asciiTheme="majorBidi" w:hAnsiTheme="majorBidi" w:cstheme="majorBidi"/>
                <w:szCs w:val="22"/>
                <w:lang w:val="fr-FR"/>
              </w:rPr>
              <w:t>14</w:t>
            </w:r>
            <w:r w:rsidR="00B5583F" w:rsidRPr="005D5CE7">
              <w:rPr>
                <w:rFonts w:asciiTheme="majorBidi" w:hAnsiTheme="majorBidi" w:cstheme="majorBidi"/>
                <w:szCs w:val="22"/>
                <w:lang w:val="fr-FR"/>
              </w:rPr>
              <w:t xml:space="preserve"> décembre 2017</w:t>
            </w:r>
          </w:p>
          <w:p w14:paraId="7B19B235" w14:textId="77777777" w:rsidR="00B5583F" w:rsidRPr="005D5CE7" w:rsidRDefault="00B5583F" w:rsidP="00B5583F">
            <w:pPr>
              <w:ind w:left="1425"/>
              <w:rPr>
                <w:rFonts w:asciiTheme="majorBidi" w:hAnsiTheme="majorBidi" w:cstheme="majorBidi"/>
                <w:szCs w:val="22"/>
                <w:lang w:val="fr-FR"/>
              </w:rPr>
            </w:pPr>
          </w:p>
          <w:p w14:paraId="336FE5C1" w14:textId="11BADEF6" w:rsidR="00C63402" w:rsidRPr="005D5CE7" w:rsidRDefault="00C63402" w:rsidP="00B5583F">
            <w:pPr>
              <w:ind w:left="1425"/>
              <w:rPr>
                <w:rFonts w:ascii="Times New Roman" w:hAnsi="Times New Roman" w:cs="Times New Roman"/>
                <w:szCs w:val="22"/>
                <w:lang w:val="fr-FR"/>
              </w:rPr>
            </w:pPr>
            <w:r w:rsidRPr="005D5CE7">
              <w:rPr>
                <w:rFonts w:ascii="Times New Roman" w:hAnsi="Times New Roman" w:cs="Times New Roman"/>
                <w:szCs w:val="22"/>
                <w:lang w:val="fr-FR"/>
              </w:rPr>
              <w:t>FRAN</w:t>
            </w:r>
            <w:r w:rsidR="005D5CE7" w:rsidRPr="005D5CE7">
              <w:rPr>
                <w:rFonts w:ascii="Times New Roman" w:hAnsi="Times New Roman" w:cs="Times New Roman"/>
                <w:szCs w:val="22"/>
                <w:lang w:val="fr-FR"/>
              </w:rPr>
              <w:t>Ç</w:t>
            </w:r>
            <w:r w:rsidRPr="005D5CE7">
              <w:rPr>
                <w:rFonts w:ascii="Times New Roman" w:hAnsi="Times New Roman" w:cs="Times New Roman"/>
                <w:szCs w:val="22"/>
                <w:lang w:val="fr-FR"/>
              </w:rPr>
              <w:t>AIS</w:t>
            </w:r>
          </w:p>
          <w:p w14:paraId="7DA3FDD7" w14:textId="5D2A0775" w:rsidR="003C0AFA" w:rsidRPr="005D5CE7" w:rsidRDefault="003C0AFA" w:rsidP="00B5583F">
            <w:pPr>
              <w:ind w:left="1425"/>
              <w:rPr>
                <w:rFonts w:ascii="Times New Roman" w:hAnsi="Times New Roman" w:cs="Times New Roman"/>
                <w:szCs w:val="22"/>
                <w:lang w:val="fr-FR"/>
              </w:rPr>
            </w:pPr>
            <w:r w:rsidRPr="005D5CE7">
              <w:rPr>
                <w:rFonts w:ascii="Times New Roman" w:hAnsi="Times New Roman" w:cs="Times New Roman"/>
                <w:szCs w:val="22"/>
                <w:lang w:val="fr-FR"/>
              </w:rPr>
              <w:t>ORIGINAL</w:t>
            </w:r>
            <w:r w:rsidR="00C63402" w:rsidRPr="005D5CE7">
              <w:rPr>
                <w:rFonts w:ascii="Times New Roman" w:hAnsi="Times New Roman" w:cs="Times New Roman"/>
                <w:szCs w:val="22"/>
                <w:lang w:val="fr-FR"/>
              </w:rPr>
              <w:t xml:space="preserve"> : A</w:t>
            </w:r>
            <w:r w:rsidRPr="005D5CE7">
              <w:rPr>
                <w:rFonts w:ascii="Times New Roman" w:hAnsi="Times New Roman" w:cs="Times New Roman"/>
                <w:szCs w:val="22"/>
                <w:lang w:val="fr-FR"/>
              </w:rPr>
              <w:t>NGL</w:t>
            </w:r>
            <w:r w:rsidR="00C63402" w:rsidRPr="005D5CE7">
              <w:rPr>
                <w:rFonts w:ascii="Times New Roman" w:hAnsi="Times New Roman" w:cs="Times New Roman"/>
                <w:szCs w:val="22"/>
                <w:lang w:val="fr-FR"/>
              </w:rPr>
              <w:t>AIS</w:t>
            </w:r>
          </w:p>
          <w:p w14:paraId="174E177F" w14:textId="77777777" w:rsidR="003C0AFA" w:rsidRPr="005D5CE7" w:rsidRDefault="003C0AFA" w:rsidP="00B5583F">
            <w:pPr>
              <w:rPr>
                <w:rFonts w:asciiTheme="majorBidi" w:hAnsiTheme="majorBidi" w:cstheme="majorBidi"/>
                <w:lang w:val="fr-FR"/>
              </w:rPr>
            </w:pPr>
          </w:p>
        </w:tc>
      </w:tr>
    </w:tbl>
    <w:p w14:paraId="59CEB1F9" w14:textId="32BBB972" w:rsidR="00CA4407" w:rsidRPr="00833CC5" w:rsidRDefault="00CA4407" w:rsidP="00CA4407">
      <w:pPr>
        <w:pStyle w:val="Cornernotation"/>
        <w:rPr>
          <w:lang w:val="fr-CA"/>
        </w:rPr>
      </w:pPr>
      <w:r w:rsidRPr="00FD641A">
        <w:rPr>
          <w:snapToGrid w:val="0"/>
          <w:kern w:val="22"/>
          <w:lang w:val="fr-CA"/>
        </w:rPr>
        <w:t>ORGANE SUBSIDIAIRE CHARGÉ DE FOURNIR DES AVIS SCIENTIFIQUES, TECHNIQUES ET TECHNOLOGIQUE</w:t>
      </w:r>
      <w:r>
        <w:rPr>
          <w:snapToGrid w:val="0"/>
          <w:kern w:val="22"/>
          <w:lang w:val="fr-CA"/>
        </w:rPr>
        <w:t>S</w:t>
      </w:r>
    </w:p>
    <w:p w14:paraId="698E7725" w14:textId="7FE20C79" w:rsidR="00CA4407" w:rsidRPr="00FD641A" w:rsidRDefault="00122915" w:rsidP="00CA4407">
      <w:pPr>
        <w:pStyle w:val="Cornernotation"/>
        <w:suppressLineNumbers/>
        <w:suppressAutoHyphens/>
        <w:rPr>
          <w:snapToGrid w:val="0"/>
          <w:kern w:val="22"/>
          <w:lang w:val="fr-CA"/>
        </w:rPr>
      </w:pPr>
      <w:r>
        <w:rPr>
          <w:snapToGrid w:val="0"/>
          <w:kern w:val="22"/>
          <w:lang w:val="fr-CA"/>
        </w:rPr>
        <w:t>Vingt-et-</w:t>
      </w:r>
      <w:r w:rsidR="00CA4407" w:rsidRPr="00FD641A">
        <w:rPr>
          <w:snapToGrid w:val="0"/>
          <w:kern w:val="22"/>
          <w:lang w:val="fr-CA"/>
        </w:rPr>
        <w:t>unième réunion</w:t>
      </w:r>
    </w:p>
    <w:p w14:paraId="197DB08B" w14:textId="77777777" w:rsidR="00CA4407" w:rsidRPr="00FD641A" w:rsidRDefault="00CA4407" w:rsidP="00CA4407">
      <w:pPr>
        <w:pStyle w:val="Cornernotation"/>
        <w:suppressLineNumbers/>
        <w:suppressAutoHyphens/>
        <w:rPr>
          <w:snapToGrid w:val="0"/>
          <w:kern w:val="22"/>
          <w:lang w:val="fr-CA"/>
        </w:rPr>
      </w:pPr>
      <w:r w:rsidRPr="00FD641A">
        <w:rPr>
          <w:snapToGrid w:val="0"/>
          <w:kern w:val="22"/>
          <w:lang w:val="fr-CA"/>
        </w:rPr>
        <w:t>Montréal, Canada, 1</w:t>
      </w:r>
      <w:r>
        <w:rPr>
          <w:snapToGrid w:val="0"/>
          <w:kern w:val="22"/>
          <w:lang w:val="fr-CA"/>
        </w:rPr>
        <w:t>1-14</w:t>
      </w:r>
      <w:r w:rsidRPr="00FD641A">
        <w:rPr>
          <w:snapToGrid w:val="0"/>
          <w:kern w:val="22"/>
          <w:lang w:val="fr-CA"/>
        </w:rPr>
        <w:t xml:space="preserve"> </w:t>
      </w:r>
      <w:r>
        <w:rPr>
          <w:snapToGrid w:val="0"/>
          <w:kern w:val="22"/>
          <w:lang w:val="fr-CA"/>
        </w:rPr>
        <w:t>décembre</w:t>
      </w:r>
      <w:r w:rsidRPr="00FD641A">
        <w:rPr>
          <w:snapToGrid w:val="0"/>
          <w:kern w:val="22"/>
          <w:lang w:val="fr-CA"/>
        </w:rPr>
        <w:t xml:space="preserve"> 2017</w:t>
      </w:r>
    </w:p>
    <w:p w14:paraId="05EA7FC5" w14:textId="77777777" w:rsidR="00CA4407" w:rsidRPr="00833CC5" w:rsidRDefault="00CA4407" w:rsidP="00CA4407">
      <w:pPr>
        <w:pStyle w:val="Cornernotation"/>
        <w:rPr>
          <w:lang w:val="fr-CA"/>
        </w:rPr>
      </w:pPr>
      <w:r w:rsidRPr="00FD641A">
        <w:rPr>
          <w:snapToGrid w:val="0"/>
          <w:kern w:val="22"/>
          <w:lang w:val="fr-CA"/>
        </w:rPr>
        <w:t xml:space="preserve">Point </w:t>
      </w:r>
      <w:r>
        <w:rPr>
          <w:snapToGrid w:val="0"/>
          <w:kern w:val="22"/>
          <w:lang w:val="fr-CA"/>
        </w:rPr>
        <w:t>7</w:t>
      </w:r>
      <w:r w:rsidRPr="00FD641A">
        <w:rPr>
          <w:snapToGrid w:val="0"/>
          <w:kern w:val="22"/>
          <w:lang w:val="fr-CA"/>
        </w:rPr>
        <w:t xml:space="preserve"> de l’ordre du jou</w:t>
      </w:r>
      <w:r>
        <w:rPr>
          <w:snapToGrid w:val="0"/>
          <w:kern w:val="22"/>
          <w:lang w:val="fr-CA"/>
        </w:rPr>
        <w:t>r</w:t>
      </w:r>
    </w:p>
    <w:p w14:paraId="10344FAF" w14:textId="23AF2A89" w:rsidR="00CA4407" w:rsidRPr="00C65035" w:rsidRDefault="00322A68" w:rsidP="00CA4407">
      <w:pPr>
        <w:pStyle w:val="HEADINGNOTFORTOC"/>
        <w:tabs>
          <w:tab w:val="clear" w:pos="720"/>
        </w:tabs>
        <w:rPr>
          <w:bCs/>
          <w:lang w:val="fr-FR"/>
        </w:rPr>
      </w:pPr>
      <w:r w:rsidRPr="00C65035">
        <w:rPr>
          <w:rFonts w:ascii="Times New Roman Bold" w:eastAsia="MS Mincho" w:hAnsi="Times New Roman Bold" w:cs="Times New Roman Bold"/>
          <w:bCs/>
          <w:lang w:val="fr-FR" w:eastAsia="ja-JP"/>
        </w:rPr>
        <w:t>recommandation adoptÉe par l’organe subsidiaire chargÉ de fournir des avis scientifiques, techniques et technologiques</w:t>
      </w:r>
      <w:r w:rsidRPr="00C65035">
        <w:rPr>
          <w:bCs/>
          <w:lang w:val="fr-FR"/>
        </w:rPr>
        <w:t xml:space="preserve"> </w:t>
      </w:r>
      <w:r w:rsidR="00CA4407" w:rsidRPr="00C65035">
        <w:rPr>
          <w:bCs/>
          <w:lang w:val="fr-FR"/>
        </w:rPr>
        <w:fldChar w:fldCharType="begin"/>
      </w:r>
      <w:r w:rsidR="00CA4407" w:rsidRPr="00C65035">
        <w:rPr>
          <w:bCs/>
          <w:lang w:val="fr-FR"/>
        </w:rPr>
        <w:instrText xml:space="preserve"> TITLE  \* MERGEFORMAT </w:instrText>
      </w:r>
      <w:r w:rsidR="00CA4407" w:rsidRPr="00C65035">
        <w:rPr>
          <w:bCs/>
          <w:lang w:val="fr-FR"/>
        </w:rPr>
        <w:fldChar w:fldCharType="end"/>
      </w:r>
    </w:p>
    <w:p w14:paraId="41E19902" w14:textId="3A61A542" w:rsidR="00CA4407" w:rsidRPr="00C65035" w:rsidRDefault="007B1F06" w:rsidP="00C907F6">
      <w:pPr>
        <w:pStyle w:val="recommendationheaderlong"/>
        <w:rPr>
          <w:i w:val="0"/>
          <w:lang w:val="fr-FR"/>
        </w:rPr>
      </w:pPr>
      <w:r w:rsidRPr="00C65035">
        <w:rPr>
          <w:i w:val="0"/>
          <w:kern w:val="22"/>
          <w:szCs w:val="22"/>
          <w:lang w:val="fr-FR"/>
        </w:rPr>
        <w:t>XXI/5.</w:t>
      </w:r>
      <w:r w:rsidRPr="00C65035">
        <w:rPr>
          <w:i w:val="0"/>
          <w:kern w:val="22"/>
          <w:szCs w:val="22"/>
          <w:lang w:val="fr-FR"/>
        </w:rPr>
        <w:tab/>
        <w:t>Cinquième édition des Perspectives mondiales de la diversité biologique : considérations relatives à son élaboration</w:t>
      </w:r>
    </w:p>
    <w:p w14:paraId="06B7B08E" w14:textId="77777777" w:rsidR="00CA4407" w:rsidRPr="00C65035" w:rsidRDefault="00CA4407" w:rsidP="00CA4407">
      <w:pPr>
        <w:pStyle w:val="Para1"/>
        <w:keepNext/>
        <w:numPr>
          <w:ilvl w:val="0"/>
          <w:numId w:val="0"/>
        </w:numPr>
        <w:tabs>
          <w:tab w:val="left" w:pos="720"/>
        </w:tabs>
        <w:ind w:left="720"/>
        <w:rPr>
          <w:iCs/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L’Organe subsidiaire chargé de fournir des avis scientifiques, techniques et technologiques</w:t>
      </w:r>
    </w:p>
    <w:p w14:paraId="4FFCEE5C" w14:textId="6A94B117" w:rsidR="00CA4407" w:rsidRPr="00C65035" w:rsidRDefault="00CA4407" w:rsidP="00CA4407">
      <w:pPr>
        <w:pStyle w:val="Para1"/>
        <w:ind w:firstLine="720"/>
        <w:rPr>
          <w:kern w:val="22"/>
          <w:szCs w:val="22"/>
          <w:lang w:val="fr-FR"/>
        </w:rPr>
      </w:pPr>
      <w:r w:rsidRPr="00C65035">
        <w:rPr>
          <w:i/>
          <w:iCs/>
          <w:kern w:val="22"/>
          <w:szCs w:val="22"/>
          <w:lang w:val="fr-FR"/>
        </w:rPr>
        <w:t>Prend note</w:t>
      </w:r>
      <w:r w:rsidR="00C907F6" w:rsidRPr="00C65035">
        <w:rPr>
          <w:kern w:val="22"/>
          <w:szCs w:val="22"/>
          <w:lang w:val="fr-FR"/>
        </w:rPr>
        <w:t xml:space="preserve"> du plan de travail pour</w:t>
      </w:r>
      <w:r w:rsidRPr="00C65035">
        <w:rPr>
          <w:kern w:val="22"/>
          <w:szCs w:val="22"/>
          <w:lang w:val="fr-FR"/>
        </w:rPr>
        <w:t xml:space="preserve"> l’élaboration de la cinquième édition des </w:t>
      </w:r>
      <w:r w:rsidRPr="00C65035">
        <w:rPr>
          <w:i/>
          <w:kern w:val="22"/>
          <w:szCs w:val="22"/>
          <w:lang w:val="fr-FR"/>
        </w:rPr>
        <w:t>Perspectives mondiales de la diversité biologique</w:t>
      </w:r>
      <w:r w:rsidR="00C907F6" w:rsidRPr="00C65035">
        <w:rPr>
          <w:kern w:val="22"/>
          <w:szCs w:val="22"/>
          <w:lang w:val="fr-FR"/>
        </w:rPr>
        <w:t xml:space="preserve"> qui figure</w:t>
      </w:r>
      <w:r w:rsidRPr="00C65035">
        <w:rPr>
          <w:kern w:val="22"/>
          <w:szCs w:val="22"/>
          <w:lang w:val="fr-FR"/>
        </w:rPr>
        <w:t xml:space="preserve"> dans la note de la Secrétaire exécutive</w:t>
      </w:r>
      <w:bookmarkStart w:id="0" w:name="_Ref503276226"/>
      <w:r w:rsidRPr="00C65035">
        <w:rPr>
          <w:rStyle w:val="FootnoteReference"/>
          <w:kern w:val="22"/>
          <w:sz w:val="22"/>
          <w:szCs w:val="22"/>
          <w:u w:val="none"/>
          <w:vertAlign w:val="superscript"/>
          <w:lang w:val="fr-FR"/>
        </w:rPr>
        <w:footnoteReference w:id="1"/>
      </w:r>
      <w:bookmarkEnd w:id="0"/>
      <w:r w:rsidRPr="00C65035">
        <w:rPr>
          <w:kern w:val="22"/>
          <w:szCs w:val="22"/>
          <w:lang w:val="fr-FR"/>
        </w:rPr>
        <w:t>, et du calendrier joint en anne</w:t>
      </w:r>
      <w:r w:rsidR="00C65035" w:rsidRPr="00C65035">
        <w:rPr>
          <w:kern w:val="22"/>
          <w:szCs w:val="22"/>
          <w:lang w:val="fr-FR"/>
        </w:rPr>
        <w:t>xe à la présente recommandation</w:t>
      </w:r>
      <w:r w:rsidR="00C65035">
        <w:rPr>
          <w:kern w:val="22"/>
          <w:szCs w:val="22"/>
          <w:lang w:val="fr-FR"/>
        </w:rPr>
        <w:t> ;</w:t>
      </w:r>
    </w:p>
    <w:p w14:paraId="355110CC" w14:textId="65595362" w:rsidR="00CA4407" w:rsidRPr="00C65035" w:rsidRDefault="00CA4407" w:rsidP="00CA4407">
      <w:pPr>
        <w:pStyle w:val="Para1"/>
        <w:ind w:firstLine="720"/>
        <w:rPr>
          <w:kern w:val="22"/>
          <w:szCs w:val="22"/>
          <w:lang w:val="fr-FR"/>
        </w:rPr>
      </w:pPr>
      <w:r w:rsidRPr="00C65035">
        <w:rPr>
          <w:i/>
          <w:iCs/>
          <w:kern w:val="22"/>
          <w:szCs w:val="22"/>
          <w:lang w:val="fr-FR"/>
        </w:rPr>
        <w:t xml:space="preserve">Prenant note </w:t>
      </w:r>
      <w:r w:rsidRPr="00C65035">
        <w:rPr>
          <w:iCs/>
          <w:kern w:val="22"/>
          <w:szCs w:val="22"/>
          <w:lang w:val="fr-FR"/>
        </w:rPr>
        <w:t xml:space="preserve">de l’importance des sixièmes rapports nationaux pour l’élaboration de la cinquième édition des </w:t>
      </w:r>
      <w:r w:rsidRPr="00C65035">
        <w:rPr>
          <w:i/>
          <w:iCs/>
          <w:kern w:val="22"/>
          <w:szCs w:val="22"/>
          <w:lang w:val="fr-FR"/>
        </w:rPr>
        <w:t>Perspectives mondiales de la diversité biologique</w:t>
      </w:r>
      <w:r w:rsidRPr="00C65035">
        <w:rPr>
          <w:iCs/>
          <w:kern w:val="22"/>
          <w:szCs w:val="22"/>
          <w:lang w:val="fr-FR"/>
        </w:rPr>
        <w:t xml:space="preserve"> et, </w:t>
      </w:r>
      <w:r w:rsidRPr="00C65035">
        <w:rPr>
          <w:i/>
          <w:iCs/>
          <w:kern w:val="22"/>
          <w:szCs w:val="22"/>
          <w:lang w:val="fr-FR"/>
        </w:rPr>
        <w:t>rappelant</w:t>
      </w:r>
      <w:r w:rsidRPr="00C65035">
        <w:rPr>
          <w:iCs/>
          <w:kern w:val="22"/>
          <w:szCs w:val="22"/>
          <w:lang w:val="fr-FR"/>
        </w:rPr>
        <w:t xml:space="preserve"> la </w:t>
      </w:r>
      <w:hyperlink r:id="rId13" w:history="1">
        <w:r w:rsidRPr="00C65035">
          <w:rPr>
            <w:rStyle w:val="Hyperlink"/>
            <w:iCs/>
            <w:kern w:val="22"/>
            <w:szCs w:val="22"/>
            <w:lang w:val="fr-FR"/>
          </w:rPr>
          <w:t>décision XIII/27</w:t>
        </w:r>
      </w:hyperlink>
      <w:r w:rsidRPr="00C65035">
        <w:rPr>
          <w:iCs/>
          <w:kern w:val="22"/>
          <w:szCs w:val="22"/>
          <w:lang w:val="fr-FR"/>
        </w:rPr>
        <w:t xml:space="preserve">, </w:t>
      </w:r>
      <w:r w:rsidRPr="00C65035">
        <w:rPr>
          <w:i/>
          <w:iCs/>
          <w:kern w:val="22"/>
          <w:szCs w:val="22"/>
          <w:lang w:val="fr-FR"/>
        </w:rPr>
        <w:t>exhorte</w:t>
      </w:r>
      <w:r w:rsidRPr="00C65035">
        <w:rPr>
          <w:iCs/>
          <w:kern w:val="22"/>
          <w:szCs w:val="22"/>
          <w:lang w:val="fr-FR"/>
        </w:rPr>
        <w:t xml:space="preserve"> le</w:t>
      </w:r>
      <w:r w:rsidR="00122915" w:rsidRPr="00C65035">
        <w:rPr>
          <w:iCs/>
          <w:kern w:val="22"/>
          <w:szCs w:val="22"/>
          <w:lang w:val="fr-FR"/>
        </w:rPr>
        <w:t xml:space="preserve">s Parties à </w:t>
      </w:r>
      <w:r w:rsidRPr="00C65035">
        <w:rPr>
          <w:iCs/>
          <w:kern w:val="22"/>
          <w:szCs w:val="22"/>
          <w:lang w:val="fr-FR"/>
        </w:rPr>
        <w:t>remettre leurs sixièmes rapports nationaux avant l</w:t>
      </w:r>
      <w:r w:rsidR="00C65035">
        <w:rPr>
          <w:iCs/>
          <w:kern w:val="22"/>
          <w:szCs w:val="22"/>
          <w:lang w:val="fr-FR"/>
        </w:rPr>
        <w:t>e 31 décembre 2018 au plus tard ;</w:t>
      </w:r>
    </w:p>
    <w:p w14:paraId="01FE1FA1" w14:textId="1E9FD65A" w:rsidR="00CA4407" w:rsidRPr="00C65035" w:rsidRDefault="00CA4407" w:rsidP="00CA4407">
      <w:pPr>
        <w:pStyle w:val="Para1"/>
        <w:ind w:firstLine="720"/>
        <w:rPr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Prie</w:t>
      </w:r>
      <w:r w:rsidR="00122915" w:rsidRPr="00C65035">
        <w:rPr>
          <w:kern w:val="22"/>
          <w:szCs w:val="22"/>
          <w:lang w:val="fr-FR"/>
        </w:rPr>
        <w:t xml:space="preserve"> la Secrétaire exécutive, </w:t>
      </w:r>
      <w:r w:rsidRPr="00C65035">
        <w:rPr>
          <w:kern w:val="22"/>
          <w:szCs w:val="22"/>
          <w:lang w:val="fr-FR"/>
        </w:rPr>
        <w:t>en collaboration avec le Programme des Nat</w:t>
      </w:r>
      <w:r w:rsidR="00122915" w:rsidRPr="00C65035">
        <w:rPr>
          <w:kern w:val="22"/>
          <w:szCs w:val="22"/>
          <w:lang w:val="fr-FR"/>
        </w:rPr>
        <w:t>ions Unies pour l’environnement et le Programme</w:t>
      </w:r>
      <w:r w:rsidRPr="00C65035">
        <w:rPr>
          <w:kern w:val="22"/>
          <w:szCs w:val="22"/>
          <w:lang w:val="fr-FR"/>
        </w:rPr>
        <w:t xml:space="preserve"> des Nations Un</w:t>
      </w:r>
      <w:r w:rsidR="00122915" w:rsidRPr="00C65035">
        <w:rPr>
          <w:kern w:val="22"/>
          <w:szCs w:val="22"/>
          <w:lang w:val="fr-FR"/>
        </w:rPr>
        <w:t xml:space="preserve">ies pour le développement, de continuer à soutenir les Parties dans l’élaboration de leurs sixièmes rapports nationaux, </w:t>
      </w:r>
      <w:r w:rsidR="00DB77E9" w:rsidRPr="00C65035">
        <w:rPr>
          <w:kern w:val="22"/>
          <w:szCs w:val="22"/>
          <w:lang w:val="fr-FR"/>
        </w:rPr>
        <w:t xml:space="preserve">et </w:t>
      </w:r>
      <w:r w:rsidR="00DB77E9" w:rsidRPr="00C65035">
        <w:rPr>
          <w:i/>
          <w:kern w:val="22"/>
          <w:szCs w:val="22"/>
          <w:lang w:val="fr-FR"/>
        </w:rPr>
        <w:t>invite</w:t>
      </w:r>
      <w:r w:rsidR="00DB77E9" w:rsidRPr="00C65035">
        <w:rPr>
          <w:kern w:val="22"/>
          <w:szCs w:val="22"/>
          <w:lang w:val="fr-FR"/>
        </w:rPr>
        <w:t xml:space="preserve"> </w:t>
      </w:r>
      <w:r w:rsidR="00C255EC" w:rsidRPr="00C65035">
        <w:rPr>
          <w:kern w:val="22"/>
          <w:szCs w:val="22"/>
          <w:lang w:val="fr-FR"/>
        </w:rPr>
        <w:t>l’Organ</w:t>
      </w:r>
      <w:r w:rsidR="00122915" w:rsidRPr="00C65035">
        <w:rPr>
          <w:kern w:val="22"/>
          <w:szCs w:val="22"/>
          <w:lang w:val="fr-FR"/>
        </w:rPr>
        <w:t>isation des Nations Unies pour l’alimentation et l’agriculture</w:t>
      </w:r>
      <w:r w:rsidRPr="00C65035">
        <w:rPr>
          <w:kern w:val="22"/>
          <w:szCs w:val="22"/>
          <w:lang w:val="fr-FR"/>
        </w:rPr>
        <w:t xml:space="preserve"> et </w:t>
      </w:r>
      <w:r w:rsidR="00DB77E9" w:rsidRPr="00C65035">
        <w:rPr>
          <w:kern w:val="22"/>
          <w:szCs w:val="22"/>
          <w:lang w:val="fr-FR"/>
        </w:rPr>
        <w:t>d’</w:t>
      </w:r>
      <w:r w:rsidRPr="00C65035">
        <w:rPr>
          <w:kern w:val="22"/>
          <w:szCs w:val="22"/>
          <w:lang w:val="fr-FR"/>
        </w:rPr>
        <w:t>autres partenaires concernés</w:t>
      </w:r>
      <w:r w:rsidR="00DB77E9" w:rsidRPr="00C65035">
        <w:rPr>
          <w:kern w:val="22"/>
          <w:szCs w:val="22"/>
          <w:lang w:val="fr-FR"/>
        </w:rPr>
        <w:t xml:space="preserve"> à fournir une contribution, selon qu’il convient</w:t>
      </w:r>
      <w:r w:rsidR="00C65035">
        <w:rPr>
          <w:kern w:val="22"/>
          <w:szCs w:val="22"/>
          <w:lang w:val="fr-FR"/>
        </w:rPr>
        <w:t> ;</w:t>
      </w:r>
    </w:p>
    <w:p w14:paraId="0D101BD6" w14:textId="7DC3F907" w:rsidR="00CA4407" w:rsidRPr="00C65035" w:rsidRDefault="00CA4407" w:rsidP="00CA4407">
      <w:pPr>
        <w:pStyle w:val="Para1"/>
        <w:ind w:firstLine="720"/>
        <w:rPr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Exhorte</w:t>
      </w:r>
      <w:r w:rsidRPr="00C65035">
        <w:rPr>
          <w:kern w:val="22"/>
          <w:szCs w:val="22"/>
          <w:lang w:val="fr-FR"/>
        </w:rPr>
        <w:t xml:space="preserve"> les Parties et </w:t>
      </w:r>
      <w:r w:rsidRPr="00C65035">
        <w:rPr>
          <w:i/>
          <w:iCs/>
          <w:kern w:val="22"/>
          <w:szCs w:val="22"/>
          <w:lang w:val="fr-FR"/>
        </w:rPr>
        <w:t>invite</w:t>
      </w:r>
      <w:r w:rsidRPr="00C65035">
        <w:rPr>
          <w:kern w:val="22"/>
          <w:szCs w:val="22"/>
          <w:lang w:val="fr-FR"/>
        </w:rPr>
        <w:t xml:space="preserve"> les autres gouvernements et les organisations</w:t>
      </w:r>
      <w:r w:rsidR="00DB77E9" w:rsidRPr="00C65035">
        <w:rPr>
          <w:kern w:val="22"/>
          <w:szCs w:val="22"/>
          <w:lang w:val="fr-FR"/>
        </w:rPr>
        <w:t xml:space="preserve"> compétentes à mettre </w:t>
      </w:r>
      <w:r w:rsidRPr="00C65035">
        <w:rPr>
          <w:kern w:val="22"/>
          <w:szCs w:val="22"/>
          <w:lang w:val="fr-FR"/>
        </w:rPr>
        <w:t xml:space="preserve">à disposition </w:t>
      </w:r>
      <w:r w:rsidR="00DB77E9" w:rsidRPr="00C65035">
        <w:rPr>
          <w:kern w:val="22"/>
          <w:szCs w:val="22"/>
          <w:lang w:val="fr-FR"/>
        </w:rPr>
        <w:t>d</w:t>
      </w:r>
      <w:r w:rsidR="00B5583F" w:rsidRPr="00C65035">
        <w:rPr>
          <w:kern w:val="22"/>
          <w:szCs w:val="22"/>
          <w:lang w:val="fr-FR"/>
        </w:rPr>
        <w:t>e façon ouverte</w:t>
      </w:r>
      <w:r w:rsidR="00727833" w:rsidRPr="00C65035">
        <w:rPr>
          <w:kern w:val="22"/>
          <w:szCs w:val="22"/>
          <w:lang w:val="fr-FR"/>
        </w:rPr>
        <w:t xml:space="preserve"> des données et d</w:t>
      </w:r>
      <w:r w:rsidRPr="00C65035">
        <w:rPr>
          <w:kern w:val="22"/>
          <w:szCs w:val="22"/>
          <w:lang w:val="fr-FR"/>
        </w:rPr>
        <w:t xml:space="preserve">es mises à jour </w:t>
      </w:r>
      <w:r w:rsidR="00DB77E9" w:rsidRPr="00C65035">
        <w:rPr>
          <w:kern w:val="22"/>
          <w:szCs w:val="22"/>
          <w:lang w:val="fr-FR"/>
        </w:rPr>
        <w:t xml:space="preserve">de données </w:t>
      </w:r>
      <w:r w:rsidR="00727833" w:rsidRPr="00C65035">
        <w:rPr>
          <w:kern w:val="22"/>
          <w:szCs w:val="22"/>
          <w:lang w:val="fr-FR"/>
        </w:rPr>
        <w:t xml:space="preserve">exactes et fiables </w:t>
      </w:r>
      <w:r w:rsidRPr="00C65035">
        <w:rPr>
          <w:kern w:val="22"/>
          <w:szCs w:val="22"/>
          <w:lang w:val="fr-FR"/>
        </w:rPr>
        <w:t>sur l’état des tendances</w:t>
      </w:r>
      <w:r w:rsidR="00AB558E" w:rsidRPr="00C65035">
        <w:rPr>
          <w:kern w:val="22"/>
          <w:szCs w:val="22"/>
          <w:lang w:val="fr-FR"/>
        </w:rPr>
        <w:t xml:space="preserve"> et des prévisions en matière</w:t>
      </w:r>
      <w:r w:rsidRPr="00C65035">
        <w:rPr>
          <w:kern w:val="22"/>
          <w:szCs w:val="22"/>
          <w:lang w:val="fr-FR"/>
        </w:rPr>
        <w:t xml:space="preserve"> biodiversité ainsi que des menaces qui pèsent sur celle-ci, </w:t>
      </w:r>
      <w:r w:rsidR="00DB77E9" w:rsidRPr="00C65035">
        <w:rPr>
          <w:kern w:val="22"/>
          <w:szCs w:val="22"/>
          <w:lang w:val="fr-FR"/>
        </w:rPr>
        <w:t xml:space="preserve">et sur </w:t>
      </w:r>
      <w:r w:rsidRPr="00C65035">
        <w:rPr>
          <w:kern w:val="22"/>
          <w:szCs w:val="22"/>
          <w:lang w:val="fr-FR"/>
        </w:rPr>
        <w:t>les progrès réalisés dans l’appli</w:t>
      </w:r>
      <w:r w:rsidR="00DB77E9" w:rsidRPr="00C65035">
        <w:rPr>
          <w:kern w:val="22"/>
          <w:szCs w:val="22"/>
          <w:lang w:val="fr-FR"/>
        </w:rPr>
        <w:t xml:space="preserve">cation de la Convention </w:t>
      </w:r>
      <w:r w:rsidRPr="00C65035">
        <w:rPr>
          <w:kern w:val="22"/>
          <w:szCs w:val="22"/>
          <w:lang w:val="fr-FR"/>
        </w:rPr>
        <w:t xml:space="preserve">et </w:t>
      </w:r>
      <w:r w:rsidR="00DB77E9" w:rsidRPr="00C65035">
        <w:rPr>
          <w:kern w:val="22"/>
          <w:szCs w:val="22"/>
          <w:lang w:val="fr-FR"/>
        </w:rPr>
        <w:t>la mise en œuvre du</w:t>
      </w:r>
      <w:r w:rsidR="00AB558E" w:rsidRPr="00C65035">
        <w:rPr>
          <w:kern w:val="22"/>
          <w:szCs w:val="22"/>
          <w:lang w:val="fr-FR"/>
        </w:rPr>
        <w:t xml:space="preserve"> Plan stratégique</w:t>
      </w:r>
      <w:r w:rsidRPr="00C65035">
        <w:rPr>
          <w:kern w:val="22"/>
          <w:szCs w:val="22"/>
          <w:lang w:val="fr-FR"/>
        </w:rPr>
        <w:t xml:space="preserve"> pour la diversité biologique</w:t>
      </w:r>
      <w:r w:rsidR="00AB558E" w:rsidRPr="00C65035">
        <w:rPr>
          <w:kern w:val="22"/>
          <w:szCs w:val="22"/>
          <w:lang w:val="fr-FR"/>
        </w:rPr>
        <w:t xml:space="preserve"> </w:t>
      </w:r>
      <w:r w:rsidR="00AB558E" w:rsidRPr="00C65035">
        <w:rPr>
          <w:kern w:val="22"/>
          <w:szCs w:val="22"/>
          <w:lang w:val="fr-FR"/>
        </w:rPr>
        <w:t>2011-2020</w:t>
      </w:r>
      <w:r w:rsidR="00DB77E9" w:rsidRPr="00C65035">
        <w:rPr>
          <w:rStyle w:val="FootnoteReference"/>
          <w:kern w:val="22"/>
          <w:sz w:val="22"/>
          <w:szCs w:val="22"/>
          <w:u w:val="none"/>
          <w:vertAlign w:val="superscript"/>
          <w:lang w:val="fr-FR"/>
        </w:rPr>
        <w:footnoteReference w:id="2"/>
      </w:r>
      <w:r w:rsidR="00DB77E9" w:rsidRPr="00C65035">
        <w:rPr>
          <w:kern w:val="22"/>
          <w:szCs w:val="22"/>
          <w:lang w:val="fr-FR"/>
        </w:rPr>
        <w:t>, y compris</w:t>
      </w:r>
      <w:r w:rsidR="00AB558E" w:rsidRPr="00C65035">
        <w:rPr>
          <w:kern w:val="22"/>
          <w:szCs w:val="22"/>
          <w:lang w:val="fr-FR"/>
        </w:rPr>
        <w:t xml:space="preserve"> sur le plan des </w:t>
      </w:r>
      <w:r w:rsidR="00DB77E9" w:rsidRPr="00C65035">
        <w:rPr>
          <w:kern w:val="22"/>
          <w:szCs w:val="22"/>
          <w:lang w:val="fr-FR"/>
        </w:rPr>
        <w:t>activités d’intégration</w:t>
      </w:r>
      <w:r w:rsidR="00C65035">
        <w:rPr>
          <w:kern w:val="22"/>
          <w:szCs w:val="22"/>
          <w:lang w:val="fr-FR"/>
        </w:rPr>
        <w:t> ;</w:t>
      </w:r>
      <w:r w:rsidRPr="00C65035">
        <w:rPr>
          <w:kern w:val="22"/>
          <w:szCs w:val="22"/>
          <w:lang w:val="fr-FR"/>
        </w:rPr>
        <w:t xml:space="preserve"> </w:t>
      </w:r>
    </w:p>
    <w:p w14:paraId="3E08AB00" w14:textId="5AD70272" w:rsidR="00CA4407" w:rsidRPr="00C65035" w:rsidRDefault="00CA4407" w:rsidP="00CA4407">
      <w:pPr>
        <w:pStyle w:val="Para1"/>
        <w:tabs>
          <w:tab w:val="left" w:pos="720"/>
        </w:tabs>
        <w:spacing w:before="0"/>
        <w:ind w:firstLine="720"/>
        <w:rPr>
          <w:i/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Recommande</w:t>
      </w:r>
      <w:r w:rsidRPr="00C65035">
        <w:rPr>
          <w:kern w:val="22"/>
          <w:szCs w:val="22"/>
          <w:lang w:val="fr-FR"/>
        </w:rPr>
        <w:t xml:space="preserve"> à la Conférence des Parties d’adopter u</w:t>
      </w:r>
      <w:r w:rsidR="003F161C" w:rsidRPr="00C65035">
        <w:rPr>
          <w:kern w:val="22"/>
          <w:szCs w:val="22"/>
          <w:lang w:val="fr-FR"/>
        </w:rPr>
        <w:t>ne décision dans ce sens</w:t>
      </w:r>
      <w:r w:rsidRPr="00C65035">
        <w:rPr>
          <w:kern w:val="22"/>
          <w:szCs w:val="22"/>
          <w:lang w:val="fr-FR"/>
        </w:rPr>
        <w:t xml:space="preserve"> : </w:t>
      </w:r>
    </w:p>
    <w:p w14:paraId="6D94E9B1" w14:textId="77777777" w:rsidR="00CA4407" w:rsidRPr="00C65035" w:rsidRDefault="00CA4407" w:rsidP="00CA4407">
      <w:pPr>
        <w:pStyle w:val="Para1"/>
        <w:numPr>
          <w:ilvl w:val="0"/>
          <w:numId w:val="0"/>
        </w:numPr>
        <w:spacing w:before="0"/>
        <w:ind w:left="1440"/>
        <w:rPr>
          <w:i/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La Conférence des Parties</w:t>
      </w:r>
    </w:p>
    <w:p w14:paraId="04D61FE5" w14:textId="3870C941" w:rsidR="00CA4407" w:rsidRPr="00C65035" w:rsidRDefault="00CA4407" w:rsidP="00CA440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kern w:val="22"/>
          <w:szCs w:val="22"/>
          <w:lang w:val="fr-FR"/>
        </w:rPr>
      </w:pPr>
      <w:r w:rsidRPr="00C65035">
        <w:rPr>
          <w:i/>
          <w:iCs/>
          <w:kern w:val="22"/>
          <w:szCs w:val="22"/>
          <w:lang w:val="fr-FR"/>
        </w:rPr>
        <w:t>Rappelle</w:t>
      </w:r>
      <w:r w:rsidRPr="00C65035">
        <w:rPr>
          <w:kern w:val="22"/>
          <w:szCs w:val="22"/>
          <w:lang w:val="fr-FR"/>
        </w:rPr>
        <w:t xml:space="preserve"> la </w:t>
      </w:r>
      <w:hyperlink r:id="rId14" w:history="1">
        <w:r w:rsidRPr="00C65035">
          <w:rPr>
            <w:rStyle w:val="Hyperlink"/>
            <w:kern w:val="22"/>
            <w:szCs w:val="22"/>
            <w:lang w:val="fr-FR"/>
          </w:rPr>
          <w:t>décision XIII/29</w:t>
        </w:r>
      </w:hyperlink>
      <w:r w:rsidRPr="00C65035">
        <w:rPr>
          <w:kern w:val="22"/>
          <w:szCs w:val="22"/>
          <w:lang w:val="fr-FR"/>
        </w:rPr>
        <w:t xml:space="preserve">, dans laquelle il a été décidé que la cinquième éditions des </w:t>
      </w:r>
      <w:r w:rsidRPr="00C65035">
        <w:rPr>
          <w:i/>
          <w:kern w:val="22"/>
          <w:szCs w:val="22"/>
          <w:lang w:val="fr-FR"/>
        </w:rPr>
        <w:t>Perspectives mondiales de la diversité biologique</w:t>
      </w:r>
      <w:r w:rsidRPr="00C65035">
        <w:rPr>
          <w:kern w:val="22"/>
          <w:szCs w:val="22"/>
          <w:lang w:val="fr-FR"/>
        </w:rPr>
        <w:t xml:space="preserve"> devrait servir de base au suivi du </w:t>
      </w:r>
      <w:r w:rsidRPr="00C65035">
        <w:rPr>
          <w:kern w:val="22"/>
          <w:szCs w:val="22"/>
          <w:lang w:val="fr-FR"/>
        </w:rPr>
        <w:lastRenderedPageBreak/>
        <w:t>Plan stratégique  pour la diversité biologique</w:t>
      </w:r>
      <w:r w:rsidR="003F161C" w:rsidRPr="00C65035">
        <w:rPr>
          <w:kern w:val="22"/>
          <w:szCs w:val="22"/>
          <w:lang w:val="fr-FR"/>
        </w:rPr>
        <w:t xml:space="preserve"> </w:t>
      </w:r>
      <w:r w:rsidR="003F161C" w:rsidRPr="00C65035">
        <w:rPr>
          <w:kern w:val="22"/>
          <w:szCs w:val="22"/>
          <w:lang w:val="fr-FR"/>
        </w:rPr>
        <w:t>2011-2020</w:t>
      </w:r>
      <w:r w:rsidRPr="00C65035">
        <w:rPr>
          <w:rStyle w:val="FootnoteReference"/>
          <w:kern w:val="22"/>
          <w:sz w:val="22"/>
          <w:szCs w:val="22"/>
          <w:u w:val="none"/>
          <w:vertAlign w:val="superscript"/>
          <w:lang w:val="fr-FR"/>
        </w:rPr>
        <w:footnoteReference w:id="3"/>
      </w:r>
      <w:r w:rsidRPr="00C65035">
        <w:rPr>
          <w:kern w:val="22"/>
          <w:szCs w:val="22"/>
          <w:lang w:val="fr-FR"/>
        </w:rPr>
        <w:t>, qui sera examiné par la Conférence des Parties à sa q</w:t>
      </w:r>
      <w:r w:rsidR="00C65035">
        <w:rPr>
          <w:kern w:val="22"/>
          <w:szCs w:val="22"/>
          <w:lang w:val="fr-FR"/>
        </w:rPr>
        <w:t>uinzième réunion ;</w:t>
      </w:r>
    </w:p>
    <w:p w14:paraId="04F92A49" w14:textId="2B923795" w:rsidR="007E1FEE" w:rsidRPr="00C65035" w:rsidRDefault="007E1FEE" w:rsidP="00CA440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kern w:val="22"/>
          <w:szCs w:val="22"/>
          <w:lang w:val="fr-FR"/>
        </w:rPr>
      </w:pPr>
      <w:r w:rsidRPr="00C65035">
        <w:rPr>
          <w:i/>
          <w:iCs/>
          <w:kern w:val="22"/>
          <w:szCs w:val="22"/>
          <w:lang w:val="fr-FR"/>
        </w:rPr>
        <w:t xml:space="preserve">Prenant note </w:t>
      </w:r>
      <w:r w:rsidRPr="00C65035">
        <w:rPr>
          <w:iCs/>
          <w:kern w:val="22"/>
          <w:szCs w:val="22"/>
          <w:lang w:val="fr-FR"/>
        </w:rPr>
        <w:t xml:space="preserve">de l’importance des sixièmes rapports nationaux pour l’élaboration de la cinquième édition des </w:t>
      </w:r>
      <w:r w:rsidRPr="00C65035">
        <w:rPr>
          <w:i/>
          <w:iCs/>
          <w:kern w:val="22"/>
          <w:szCs w:val="22"/>
          <w:lang w:val="fr-FR"/>
        </w:rPr>
        <w:t>Perspectives mondiales de la diversité biologique</w:t>
      </w:r>
      <w:r w:rsidRPr="00C65035">
        <w:rPr>
          <w:iCs/>
          <w:kern w:val="22"/>
          <w:szCs w:val="22"/>
          <w:lang w:val="fr-FR"/>
        </w:rPr>
        <w:t xml:space="preserve"> et, </w:t>
      </w:r>
      <w:r w:rsidRPr="00C65035">
        <w:rPr>
          <w:i/>
          <w:iCs/>
          <w:kern w:val="22"/>
          <w:szCs w:val="22"/>
          <w:lang w:val="fr-FR"/>
        </w:rPr>
        <w:t>rappelant</w:t>
      </w:r>
      <w:r w:rsidRPr="00C65035">
        <w:rPr>
          <w:iCs/>
          <w:kern w:val="22"/>
          <w:szCs w:val="22"/>
          <w:lang w:val="fr-FR"/>
        </w:rPr>
        <w:t xml:space="preserve"> la </w:t>
      </w:r>
      <w:hyperlink r:id="rId15" w:history="1">
        <w:r w:rsidRPr="00C65035">
          <w:rPr>
            <w:rStyle w:val="Hyperlink"/>
            <w:iCs/>
            <w:kern w:val="22"/>
            <w:szCs w:val="22"/>
            <w:lang w:val="fr-FR"/>
          </w:rPr>
          <w:t>décision XIII/27</w:t>
        </w:r>
      </w:hyperlink>
      <w:r w:rsidRPr="00C65035">
        <w:rPr>
          <w:iCs/>
          <w:kern w:val="22"/>
          <w:szCs w:val="22"/>
          <w:lang w:val="fr-FR"/>
        </w:rPr>
        <w:t xml:space="preserve">, </w:t>
      </w:r>
      <w:r w:rsidRPr="00C65035">
        <w:rPr>
          <w:i/>
          <w:iCs/>
          <w:kern w:val="22"/>
          <w:szCs w:val="22"/>
          <w:lang w:val="fr-FR"/>
        </w:rPr>
        <w:t>exhorte</w:t>
      </w:r>
      <w:r w:rsidRPr="00C65035">
        <w:rPr>
          <w:iCs/>
          <w:kern w:val="22"/>
          <w:szCs w:val="22"/>
          <w:lang w:val="fr-FR"/>
        </w:rPr>
        <w:t xml:space="preserve"> les Parties à remettre leurs sixièmes</w:t>
      </w:r>
      <w:r w:rsidR="00FB131E" w:rsidRPr="00C65035">
        <w:rPr>
          <w:iCs/>
          <w:kern w:val="22"/>
          <w:szCs w:val="22"/>
          <w:lang w:val="fr-FR"/>
        </w:rPr>
        <w:t xml:space="preserve"> rapports nationaux avant le 31 </w:t>
      </w:r>
      <w:r w:rsidR="00C65035">
        <w:rPr>
          <w:iCs/>
          <w:kern w:val="22"/>
          <w:szCs w:val="22"/>
          <w:lang w:val="fr-FR"/>
        </w:rPr>
        <w:t>décembre 2018 au plus tard ;</w:t>
      </w:r>
    </w:p>
    <w:p w14:paraId="25923995" w14:textId="7E876944" w:rsidR="00CA4407" w:rsidRPr="00C65035" w:rsidRDefault="00CA4407" w:rsidP="00CA440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iCs/>
          <w:kern w:val="22"/>
          <w:szCs w:val="22"/>
          <w:lang w:val="fr-FR"/>
        </w:rPr>
      </w:pPr>
      <w:r w:rsidRPr="00C65035">
        <w:rPr>
          <w:i/>
          <w:iCs/>
          <w:kern w:val="22"/>
          <w:szCs w:val="22"/>
          <w:lang w:val="fr-FR"/>
        </w:rPr>
        <w:t xml:space="preserve">Rappelle également </w:t>
      </w:r>
      <w:r w:rsidRPr="00C65035">
        <w:rPr>
          <w:iCs/>
          <w:kern w:val="22"/>
          <w:szCs w:val="22"/>
          <w:lang w:val="fr-FR"/>
        </w:rPr>
        <w:t xml:space="preserve">la </w:t>
      </w:r>
      <w:hyperlink r:id="rId16" w:history="1">
        <w:r w:rsidRPr="00C65035">
          <w:rPr>
            <w:rStyle w:val="Hyperlink"/>
            <w:iCs/>
            <w:kern w:val="22"/>
            <w:szCs w:val="22"/>
            <w:lang w:val="fr-FR"/>
          </w:rPr>
          <w:t>décision XI/2</w:t>
        </w:r>
      </w:hyperlink>
      <w:r w:rsidRPr="00C65035">
        <w:rPr>
          <w:iCs/>
          <w:kern w:val="22"/>
          <w:szCs w:val="22"/>
          <w:lang w:val="fr-FR"/>
        </w:rPr>
        <w:t xml:space="preserve"> et </w:t>
      </w:r>
      <w:r w:rsidRPr="00C65035">
        <w:rPr>
          <w:i/>
          <w:iCs/>
          <w:kern w:val="22"/>
          <w:szCs w:val="22"/>
          <w:lang w:val="fr-FR"/>
        </w:rPr>
        <w:t>souligne</w:t>
      </w:r>
      <w:r w:rsidRPr="00C65035">
        <w:rPr>
          <w:iCs/>
          <w:kern w:val="22"/>
          <w:szCs w:val="22"/>
          <w:lang w:val="fr-FR"/>
        </w:rPr>
        <w:t xml:space="preserve"> le fait que l’évaluation mondiale </w:t>
      </w:r>
      <w:r w:rsidR="007E1FEE" w:rsidRPr="00C65035">
        <w:rPr>
          <w:iCs/>
          <w:kern w:val="22"/>
          <w:szCs w:val="22"/>
          <w:lang w:val="fr-FR"/>
        </w:rPr>
        <w:t xml:space="preserve">et régionale </w:t>
      </w:r>
      <w:r w:rsidRPr="00C65035">
        <w:rPr>
          <w:iCs/>
          <w:kern w:val="22"/>
          <w:szCs w:val="22"/>
          <w:lang w:val="fr-FR"/>
        </w:rPr>
        <w:t>de la diversité biologique</w:t>
      </w:r>
      <w:r w:rsidR="007E1FEE" w:rsidRPr="00C65035">
        <w:rPr>
          <w:iCs/>
          <w:kern w:val="22"/>
          <w:szCs w:val="22"/>
          <w:lang w:val="fr-FR"/>
        </w:rPr>
        <w:t xml:space="preserve"> et des services écosystémiques et les évaluations thématiques effectuées</w:t>
      </w:r>
      <w:r w:rsidRPr="00C65035">
        <w:rPr>
          <w:iCs/>
          <w:kern w:val="22"/>
          <w:szCs w:val="22"/>
          <w:lang w:val="fr-FR"/>
        </w:rPr>
        <w:t xml:space="preserve"> par la Plateforme intergouvernementale scientifique et politique sur la biodiversité et les services écosystémiques</w:t>
      </w:r>
      <w:r w:rsidR="007E1FEE" w:rsidRPr="00C65035">
        <w:rPr>
          <w:iCs/>
          <w:kern w:val="22"/>
          <w:szCs w:val="22"/>
          <w:lang w:val="fr-FR"/>
        </w:rPr>
        <w:t>, ainsi que d’autres évaluations nationales et infrarégionales pertinentes,</w:t>
      </w:r>
      <w:r w:rsidRPr="00C65035">
        <w:rPr>
          <w:iCs/>
          <w:kern w:val="22"/>
          <w:szCs w:val="22"/>
          <w:lang w:val="fr-FR"/>
        </w:rPr>
        <w:t xml:space="preserve"> constitue</w:t>
      </w:r>
      <w:r w:rsidR="007E1FEE" w:rsidRPr="00C65035">
        <w:rPr>
          <w:iCs/>
          <w:kern w:val="22"/>
          <w:szCs w:val="22"/>
          <w:lang w:val="fr-FR"/>
        </w:rPr>
        <w:t>nt</w:t>
      </w:r>
      <w:r w:rsidRPr="00C65035">
        <w:rPr>
          <w:iCs/>
          <w:kern w:val="22"/>
          <w:szCs w:val="22"/>
          <w:lang w:val="fr-FR"/>
        </w:rPr>
        <w:t xml:space="preserve"> une base importante pour l’évaluation des progrès accomplis </w:t>
      </w:r>
      <w:r w:rsidR="007E1FEE" w:rsidRPr="00C65035">
        <w:rPr>
          <w:iCs/>
          <w:kern w:val="22"/>
          <w:szCs w:val="22"/>
          <w:lang w:val="fr-FR"/>
        </w:rPr>
        <w:t>dans</w:t>
      </w:r>
      <w:r w:rsidRPr="00C65035">
        <w:rPr>
          <w:iCs/>
          <w:kern w:val="22"/>
          <w:szCs w:val="22"/>
          <w:lang w:val="fr-FR"/>
        </w:rPr>
        <w:t xml:space="preserve"> la réal</w:t>
      </w:r>
      <w:r w:rsidR="007E1FEE" w:rsidRPr="00C65035">
        <w:rPr>
          <w:iCs/>
          <w:kern w:val="22"/>
          <w:szCs w:val="22"/>
          <w:lang w:val="fr-FR"/>
        </w:rPr>
        <w:t xml:space="preserve">isation des Objectifs d’Aichi pour la biodiversité </w:t>
      </w:r>
      <w:r w:rsidRPr="00C65035">
        <w:rPr>
          <w:iCs/>
          <w:kern w:val="22"/>
          <w:szCs w:val="22"/>
          <w:lang w:val="fr-FR"/>
        </w:rPr>
        <w:t xml:space="preserve">dans la cinquième édition des </w:t>
      </w:r>
      <w:r w:rsidRPr="00C65035">
        <w:rPr>
          <w:i/>
          <w:iCs/>
          <w:kern w:val="22"/>
          <w:szCs w:val="22"/>
          <w:lang w:val="fr-FR"/>
        </w:rPr>
        <w:t>Perspectives mondiales de la diversité biologique</w:t>
      </w:r>
      <w:r w:rsidR="00C65035">
        <w:rPr>
          <w:i/>
          <w:iCs/>
          <w:kern w:val="22"/>
          <w:szCs w:val="22"/>
          <w:lang w:val="fr-FR"/>
        </w:rPr>
        <w:t> </w:t>
      </w:r>
      <w:r w:rsidR="00C65035">
        <w:rPr>
          <w:iCs/>
          <w:kern w:val="22"/>
          <w:szCs w:val="22"/>
          <w:lang w:val="fr-FR"/>
        </w:rPr>
        <w:t>;</w:t>
      </w:r>
    </w:p>
    <w:p w14:paraId="75B7D51A" w14:textId="4A7E0D33" w:rsidR="00CA4407" w:rsidRPr="00C65035" w:rsidRDefault="00CA4407" w:rsidP="00CA4407">
      <w:pPr>
        <w:pStyle w:val="Para1"/>
        <w:numPr>
          <w:ilvl w:val="0"/>
          <w:numId w:val="33"/>
        </w:numPr>
        <w:tabs>
          <w:tab w:val="clear" w:pos="360"/>
        </w:tabs>
        <w:ind w:left="720" w:firstLine="720"/>
        <w:rPr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Prend note</w:t>
      </w:r>
      <w:r w:rsidRPr="00C65035">
        <w:rPr>
          <w:iCs/>
          <w:kern w:val="22"/>
          <w:szCs w:val="22"/>
          <w:lang w:val="fr-FR"/>
        </w:rPr>
        <w:t xml:space="preserve"> du plan de travail</w:t>
      </w:r>
      <w:r w:rsidRPr="00C65035">
        <w:rPr>
          <w:kern w:val="22"/>
          <w:szCs w:val="22"/>
          <w:lang w:val="fr-FR"/>
        </w:rPr>
        <w:t xml:space="preserve"> et des estimations des coûts de l’élaboration de la cinquième édition des </w:t>
      </w:r>
      <w:r w:rsidRPr="00C65035">
        <w:rPr>
          <w:i/>
          <w:kern w:val="22"/>
          <w:szCs w:val="22"/>
          <w:lang w:val="fr-FR"/>
        </w:rPr>
        <w:t>Perspectives mondiales de la diversité biologique</w:t>
      </w:r>
      <w:r w:rsidR="00D32EC1" w:rsidRPr="00C65035">
        <w:rPr>
          <w:kern w:val="22"/>
          <w:szCs w:val="22"/>
          <w:vertAlign w:val="superscript"/>
          <w:lang w:val="fr-FR"/>
        </w:rPr>
        <w:fldChar w:fldCharType="begin"/>
      </w:r>
      <w:r w:rsidR="00D32EC1" w:rsidRPr="00C65035">
        <w:rPr>
          <w:kern w:val="22"/>
          <w:szCs w:val="22"/>
          <w:vertAlign w:val="superscript"/>
          <w:lang w:val="fr-FR"/>
        </w:rPr>
        <w:instrText xml:space="preserve"> NOTEREF _Ref503276226 \h </w:instrText>
      </w:r>
      <w:r w:rsidR="00D32EC1" w:rsidRPr="00C65035">
        <w:rPr>
          <w:kern w:val="22"/>
          <w:szCs w:val="22"/>
          <w:vertAlign w:val="superscript"/>
          <w:lang w:val="fr-FR"/>
        </w:rPr>
      </w:r>
      <w:r w:rsidR="00D32EC1" w:rsidRPr="00C65035">
        <w:rPr>
          <w:kern w:val="22"/>
          <w:szCs w:val="22"/>
          <w:vertAlign w:val="superscript"/>
          <w:lang w:val="fr-FR"/>
        </w:rPr>
        <w:instrText xml:space="preserve"> \* MERGEFORMAT </w:instrText>
      </w:r>
      <w:r w:rsidR="00D32EC1" w:rsidRPr="00C65035">
        <w:rPr>
          <w:kern w:val="22"/>
          <w:szCs w:val="22"/>
          <w:vertAlign w:val="superscript"/>
          <w:lang w:val="fr-FR"/>
        </w:rPr>
        <w:fldChar w:fldCharType="separate"/>
      </w:r>
      <w:r w:rsidR="00D32EC1" w:rsidRPr="00C65035">
        <w:rPr>
          <w:kern w:val="22"/>
          <w:szCs w:val="22"/>
          <w:vertAlign w:val="superscript"/>
          <w:lang w:val="fr-FR"/>
        </w:rPr>
        <w:t>1</w:t>
      </w:r>
      <w:r w:rsidR="00D32EC1" w:rsidRPr="00C65035">
        <w:rPr>
          <w:kern w:val="22"/>
          <w:szCs w:val="22"/>
          <w:vertAlign w:val="superscript"/>
          <w:lang w:val="fr-FR"/>
        </w:rPr>
        <w:fldChar w:fldCharType="end"/>
      </w:r>
      <w:r w:rsidRPr="00C65035">
        <w:rPr>
          <w:rStyle w:val="FootnoteReference"/>
          <w:iCs/>
          <w:kern w:val="22"/>
          <w:sz w:val="22"/>
          <w:szCs w:val="22"/>
          <w:u w:val="none"/>
          <w:lang w:val="fr-FR"/>
        </w:rPr>
        <w:t xml:space="preserve">, y compris le calendrier indicatif joint en annexe à la présente décision, </w:t>
      </w:r>
      <w:r w:rsidRPr="00C65035">
        <w:rPr>
          <w:kern w:val="22"/>
          <w:szCs w:val="22"/>
          <w:lang w:val="fr-FR"/>
        </w:rPr>
        <w:t xml:space="preserve">et </w:t>
      </w:r>
      <w:r w:rsidRPr="00C65035">
        <w:rPr>
          <w:i/>
          <w:kern w:val="22"/>
          <w:szCs w:val="22"/>
          <w:lang w:val="fr-FR"/>
        </w:rPr>
        <w:t>prie</w:t>
      </w:r>
      <w:r w:rsidRPr="00C65035">
        <w:rPr>
          <w:kern w:val="22"/>
          <w:szCs w:val="22"/>
          <w:lang w:val="fr-FR"/>
        </w:rPr>
        <w:t xml:space="preserve"> la Secrétaire exécutive de :</w:t>
      </w:r>
    </w:p>
    <w:p w14:paraId="28774DB1" w14:textId="067458E5" w:rsidR="00CA4407" w:rsidRPr="00C65035" w:rsidRDefault="00CA4407" w:rsidP="00CA4407">
      <w:pPr>
        <w:pStyle w:val="BodyText"/>
        <w:numPr>
          <w:ilvl w:val="0"/>
          <w:numId w:val="31"/>
        </w:numPr>
        <w:ind w:left="720" w:firstLine="720"/>
        <w:rPr>
          <w:bCs/>
          <w:snapToGrid w:val="0"/>
          <w:kern w:val="22"/>
          <w:szCs w:val="22"/>
          <w:lang w:val="fr-FR"/>
        </w:rPr>
      </w:pPr>
      <w:r w:rsidRPr="00C65035">
        <w:rPr>
          <w:bCs/>
          <w:snapToGrid w:val="0"/>
          <w:kern w:val="22"/>
          <w:szCs w:val="22"/>
          <w:lang w:val="fr-FR"/>
        </w:rPr>
        <w:t xml:space="preserve">Élaborer la cinquième édition des </w:t>
      </w:r>
      <w:r w:rsidRPr="00C65035">
        <w:rPr>
          <w:i/>
          <w:kern w:val="22"/>
          <w:szCs w:val="22"/>
          <w:lang w:val="fr-FR"/>
        </w:rPr>
        <w:t>Perspectives mondiales de la diversité biologique</w:t>
      </w:r>
      <w:r w:rsidR="007E1FEE" w:rsidRPr="00C65035">
        <w:rPr>
          <w:i/>
          <w:kern w:val="22"/>
          <w:szCs w:val="22"/>
          <w:lang w:val="fr-FR"/>
        </w:rPr>
        <w:t>,</w:t>
      </w:r>
      <w:r w:rsidRPr="00C65035">
        <w:rPr>
          <w:bCs/>
          <w:snapToGrid w:val="0"/>
          <w:kern w:val="22"/>
          <w:szCs w:val="22"/>
          <w:lang w:val="fr-FR"/>
        </w:rPr>
        <w:t xml:space="preserve"> </w:t>
      </w:r>
      <w:r w:rsidR="007E1FEE" w:rsidRPr="00C65035">
        <w:rPr>
          <w:bCs/>
          <w:snapToGrid w:val="0"/>
          <w:kern w:val="22"/>
          <w:szCs w:val="22"/>
          <w:lang w:val="fr-FR"/>
        </w:rPr>
        <w:t xml:space="preserve">y compris un résumé à l’intention des décideurs, </w:t>
      </w:r>
      <w:r w:rsidRPr="00C65035">
        <w:rPr>
          <w:bCs/>
          <w:snapToGrid w:val="0"/>
          <w:kern w:val="22"/>
          <w:szCs w:val="22"/>
          <w:lang w:val="fr-FR"/>
        </w:rPr>
        <w:t>su</w:t>
      </w:r>
      <w:r w:rsidR="00C65035">
        <w:rPr>
          <w:bCs/>
          <w:snapToGrid w:val="0"/>
          <w:kern w:val="22"/>
          <w:szCs w:val="22"/>
          <w:lang w:val="fr-FR"/>
        </w:rPr>
        <w:t>r la base de ce plan de travail ;</w:t>
      </w:r>
      <w:r w:rsidRPr="00C65035">
        <w:rPr>
          <w:bCs/>
          <w:snapToGrid w:val="0"/>
          <w:kern w:val="22"/>
          <w:szCs w:val="22"/>
          <w:lang w:val="fr-FR"/>
        </w:rPr>
        <w:t xml:space="preserve"> </w:t>
      </w:r>
    </w:p>
    <w:p w14:paraId="03EC53E6" w14:textId="0CF36AAB" w:rsidR="00CA4407" w:rsidRPr="00C65035" w:rsidRDefault="00CA4407" w:rsidP="00CA4407">
      <w:pPr>
        <w:pStyle w:val="BodyText"/>
        <w:numPr>
          <w:ilvl w:val="0"/>
          <w:numId w:val="31"/>
        </w:numPr>
        <w:ind w:left="720" w:firstLine="720"/>
        <w:rPr>
          <w:bCs/>
          <w:snapToGrid w:val="0"/>
          <w:kern w:val="22"/>
          <w:szCs w:val="22"/>
          <w:lang w:val="fr-FR"/>
        </w:rPr>
      </w:pPr>
      <w:r w:rsidRPr="00C65035">
        <w:rPr>
          <w:bCs/>
          <w:snapToGrid w:val="0"/>
          <w:kern w:val="22"/>
          <w:szCs w:val="22"/>
          <w:lang w:val="fr-FR"/>
        </w:rPr>
        <w:t xml:space="preserve">Informer les partenaires concernés et les contributeurs potentiels </w:t>
      </w:r>
      <w:r w:rsidR="007E1FEE" w:rsidRPr="00C65035">
        <w:rPr>
          <w:bCs/>
          <w:snapToGrid w:val="0"/>
          <w:kern w:val="22"/>
          <w:szCs w:val="22"/>
          <w:lang w:val="fr-FR"/>
        </w:rPr>
        <w:t xml:space="preserve">au sujet </w:t>
      </w:r>
      <w:r w:rsidRPr="00C65035">
        <w:rPr>
          <w:bCs/>
          <w:snapToGrid w:val="0"/>
          <w:kern w:val="22"/>
          <w:szCs w:val="22"/>
          <w:lang w:val="fr-FR"/>
        </w:rPr>
        <w:t xml:space="preserve">du calendrier d’élaboration de la cinquième édition des </w:t>
      </w:r>
      <w:r w:rsidRPr="00C65035">
        <w:rPr>
          <w:i/>
          <w:kern w:val="22"/>
          <w:szCs w:val="22"/>
          <w:lang w:val="fr-FR"/>
        </w:rPr>
        <w:t>Perspectives mondiales de la diversité biologique</w:t>
      </w:r>
      <w:r w:rsidR="00C65035">
        <w:rPr>
          <w:bCs/>
          <w:snapToGrid w:val="0"/>
          <w:kern w:val="22"/>
          <w:szCs w:val="22"/>
          <w:lang w:val="fr-FR"/>
        </w:rPr>
        <w:t xml:space="preserve"> et ses produits connexes ;</w:t>
      </w:r>
    </w:p>
    <w:p w14:paraId="1C5B54CE" w14:textId="6F54944E" w:rsidR="00CA4407" w:rsidRPr="00C65035" w:rsidRDefault="00CA4407" w:rsidP="00CA4407">
      <w:pPr>
        <w:pStyle w:val="Para1"/>
        <w:numPr>
          <w:ilvl w:val="0"/>
          <w:numId w:val="31"/>
        </w:numPr>
        <w:ind w:left="720" w:firstLine="720"/>
        <w:rPr>
          <w:kern w:val="22"/>
          <w:szCs w:val="22"/>
          <w:lang w:val="fr-FR"/>
        </w:rPr>
      </w:pPr>
      <w:r w:rsidRPr="00C65035">
        <w:rPr>
          <w:bCs/>
          <w:kern w:val="22"/>
          <w:szCs w:val="22"/>
          <w:lang w:val="fr-FR"/>
        </w:rPr>
        <w:t xml:space="preserve">Poursuivre la collaboration avec les autres conventions relatives à la biodiversité et </w:t>
      </w:r>
      <w:r w:rsidR="007E1FEE" w:rsidRPr="00C65035">
        <w:rPr>
          <w:bCs/>
          <w:kern w:val="22"/>
          <w:szCs w:val="22"/>
          <w:lang w:val="fr-FR"/>
        </w:rPr>
        <w:t>d’</w:t>
      </w:r>
      <w:r w:rsidRPr="00C65035">
        <w:rPr>
          <w:bCs/>
          <w:kern w:val="22"/>
          <w:szCs w:val="22"/>
          <w:lang w:val="fr-FR"/>
        </w:rPr>
        <w:t xml:space="preserve">autres processus et organisations compétents dans l’élaboration </w:t>
      </w:r>
      <w:r w:rsidR="007E1FEE" w:rsidRPr="00C65035">
        <w:rPr>
          <w:bCs/>
          <w:kern w:val="22"/>
          <w:szCs w:val="22"/>
          <w:lang w:val="fr-FR"/>
        </w:rPr>
        <w:t xml:space="preserve">et l’examen </w:t>
      </w:r>
      <w:r w:rsidRPr="00C65035">
        <w:rPr>
          <w:bCs/>
          <w:kern w:val="22"/>
          <w:szCs w:val="22"/>
          <w:lang w:val="fr-FR"/>
        </w:rPr>
        <w:t xml:space="preserve">de la cinquième édition des </w:t>
      </w:r>
      <w:r w:rsidRPr="00C65035">
        <w:rPr>
          <w:i/>
          <w:kern w:val="22"/>
          <w:szCs w:val="22"/>
          <w:lang w:val="fr-FR"/>
        </w:rPr>
        <w:t>Perspectives mondiales de la diversité biologique</w:t>
      </w:r>
      <w:r w:rsidRPr="00C65035">
        <w:rPr>
          <w:bCs/>
          <w:kern w:val="22"/>
          <w:szCs w:val="22"/>
          <w:lang w:val="fr-FR"/>
        </w:rPr>
        <w:t>, s’il y a lieu et conformément à leurs mandats respectifs, y compris la Plateforme intergouvernementale scientifique et politique sur la biodiversité et les services écosystémiques et l’Organisation des Nations Unies pour l’alimentation</w:t>
      </w:r>
      <w:r w:rsidR="00C65035">
        <w:rPr>
          <w:bCs/>
          <w:kern w:val="22"/>
          <w:szCs w:val="22"/>
          <w:lang w:val="fr-FR"/>
        </w:rPr>
        <w:t xml:space="preserve"> et l’agriculture, entre autres ;</w:t>
      </w:r>
    </w:p>
    <w:p w14:paraId="76D129CA" w14:textId="13D6A2EF" w:rsidR="00CA4407" w:rsidRPr="00C65035" w:rsidRDefault="00CA4407" w:rsidP="00CA4407">
      <w:pPr>
        <w:pStyle w:val="Para1"/>
        <w:numPr>
          <w:ilvl w:val="0"/>
          <w:numId w:val="31"/>
        </w:numPr>
        <w:ind w:left="720" w:firstLine="720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Prendre en considérat</w:t>
      </w:r>
      <w:r w:rsidR="007E1FEE" w:rsidRPr="00C65035">
        <w:rPr>
          <w:kern w:val="22"/>
          <w:szCs w:val="22"/>
          <w:lang w:val="fr-FR"/>
        </w:rPr>
        <w:t>ion les conclusions de la vingt-et-</w:t>
      </w:r>
      <w:r w:rsidRPr="00C65035">
        <w:rPr>
          <w:kern w:val="22"/>
          <w:szCs w:val="22"/>
          <w:lang w:val="fr-FR"/>
        </w:rPr>
        <w:t xml:space="preserve">unième réunion de l’Organe subsidiaire chargé de fournir des avis scientifiques, techniques et technologiques </w:t>
      </w:r>
      <w:r w:rsidR="007E1FEE" w:rsidRPr="00C65035">
        <w:rPr>
          <w:kern w:val="22"/>
          <w:szCs w:val="22"/>
          <w:lang w:val="fr-FR"/>
        </w:rPr>
        <w:t>concernant différents s</w:t>
      </w:r>
      <w:r w:rsidRPr="00C65035">
        <w:rPr>
          <w:kern w:val="22"/>
          <w:szCs w:val="22"/>
          <w:lang w:val="fr-FR"/>
        </w:rPr>
        <w:t xml:space="preserve">cénarios pour la </w:t>
      </w:r>
      <w:r w:rsidR="005C6DEE" w:rsidRPr="00C65035">
        <w:rPr>
          <w:kern w:val="22"/>
          <w:szCs w:val="22"/>
          <w:lang w:val="fr-FR"/>
        </w:rPr>
        <w:t>V</w:t>
      </w:r>
      <w:r w:rsidRPr="00C65035">
        <w:rPr>
          <w:kern w:val="22"/>
          <w:szCs w:val="22"/>
          <w:lang w:val="fr-FR"/>
        </w:rPr>
        <w:t>ision 2050 pour la biodiversité</w:t>
      </w:r>
      <w:r w:rsidR="005C6DEE" w:rsidRPr="00C65035">
        <w:rPr>
          <w:kern w:val="22"/>
          <w:szCs w:val="22"/>
          <w:lang w:val="fr-FR"/>
        </w:rPr>
        <w:t>, qui figurent</w:t>
      </w:r>
      <w:r w:rsidR="007B1F06" w:rsidRPr="00C65035">
        <w:rPr>
          <w:kern w:val="22"/>
          <w:szCs w:val="22"/>
          <w:lang w:val="fr-FR"/>
        </w:rPr>
        <w:t xml:space="preserve"> dans l’annexe de</w:t>
      </w:r>
      <w:r w:rsidR="00FB131E" w:rsidRPr="00C65035">
        <w:rPr>
          <w:kern w:val="22"/>
          <w:szCs w:val="22"/>
          <w:lang w:val="fr-FR"/>
        </w:rPr>
        <w:t xml:space="preserve"> la décision COP</w:t>
      </w:r>
      <w:r w:rsidR="007B1F06" w:rsidRPr="00C65035">
        <w:rPr>
          <w:kern w:val="22"/>
          <w:szCs w:val="22"/>
          <w:lang w:val="fr-FR"/>
        </w:rPr>
        <w:t>-XIV</w:t>
      </w:r>
      <w:r w:rsidR="00FB131E" w:rsidRPr="00C65035">
        <w:rPr>
          <w:kern w:val="22"/>
          <w:szCs w:val="22"/>
          <w:lang w:val="fr-FR"/>
        </w:rPr>
        <w:t>/--</w:t>
      </w:r>
      <w:r w:rsidR="00171D9B" w:rsidRPr="00C65035">
        <w:rPr>
          <w:rStyle w:val="FootnoteReference"/>
          <w:snapToGrid/>
          <w:kern w:val="22"/>
          <w:sz w:val="22"/>
          <w:szCs w:val="22"/>
          <w:u w:val="none"/>
          <w:vertAlign w:val="superscript"/>
          <w:lang w:val="fr-FR"/>
        </w:rPr>
        <w:footnoteReference w:id="4"/>
      </w:r>
      <w:r w:rsidR="00C65035">
        <w:rPr>
          <w:kern w:val="22"/>
          <w:szCs w:val="22"/>
          <w:lang w:val="fr-FR"/>
        </w:rPr>
        <w:t> ;</w:t>
      </w:r>
    </w:p>
    <w:p w14:paraId="513D2B1C" w14:textId="77B70E86" w:rsidR="00CA4407" w:rsidRPr="00C65035" w:rsidRDefault="00CA4407" w:rsidP="00CA4407">
      <w:pPr>
        <w:pStyle w:val="Para1"/>
        <w:numPr>
          <w:ilvl w:val="0"/>
          <w:numId w:val="33"/>
        </w:numPr>
        <w:ind w:left="720" w:firstLine="720"/>
        <w:rPr>
          <w:iCs/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Exhorte</w:t>
      </w:r>
      <w:r w:rsidRPr="00C65035">
        <w:rPr>
          <w:kern w:val="22"/>
          <w:szCs w:val="22"/>
          <w:lang w:val="fr-FR"/>
        </w:rPr>
        <w:t xml:space="preserve"> les Parties et </w:t>
      </w:r>
      <w:r w:rsidRPr="00C65035">
        <w:rPr>
          <w:i/>
          <w:iCs/>
          <w:kern w:val="22"/>
          <w:szCs w:val="22"/>
          <w:lang w:val="fr-FR"/>
        </w:rPr>
        <w:t>invite</w:t>
      </w:r>
      <w:r w:rsidRPr="00C65035">
        <w:rPr>
          <w:kern w:val="22"/>
          <w:szCs w:val="22"/>
          <w:lang w:val="fr-FR"/>
        </w:rPr>
        <w:t xml:space="preserve"> les autres gouvernements et les organisations</w:t>
      </w:r>
      <w:r w:rsidR="007E1FEE" w:rsidRPr="00C65035">
        <w:rPr>
          <w:kern w:val="22"/>
          <w:szCs w:val="22"/>
          <w:lang w:val="fr-FR"/>
        </w:rPr>
        <w:t xml:space="preserve"> compétentes à mettre </w:t>
      </w:r>
      <w:r w:rsidRPr="00C65035">
        <w:rPr>
          <w:kern w:val="22"/>
          <w:szCs w:val="22"/>
          <w:lang w:val="fr-FR"/>
        </w:rPr>
        <w:t>à disposition</w:t>
      </w:r>
      <w:r w:rsidR="00FB131E" w:rsidRPr="00C65035">
        <w:rPr>
          <w:kern w:val="22"/>
          <w:szCs w:val="22"/>
          <w:lang w:val="fr-FR"/>
        </w:rPr>
        <w:t xml:space="preserve"> de façon ouverte</w:t>
      </w:r>
      <w:r w:rsidRPr="00C65035">
        <w:rPr>
          <w:kern w:val="22"/>
          <w:szCs w:val="22"/>
          <w:lang w:val="fr-FR"/>
        </w:rPr>
        <w:t xml:space="preserve"> des données et des mises à jour </w:t>
      </w:r>
      <w:r w:rsidR="007E1FEE" w:rsidRPr="00C65035">
        <w:rPr>
          <w:kern w:val="22"/>
          <w:szCs w:val="22"/>
          <w:lang w:val="fr-FR"/>
        </w:rPr>
        <w:t xml:space="preserve">de données exactes et fiables </w:t>
      </w:r>
      <w:r w:rsidRPr="00C65035">
        <w:rPr>
          <w:kern w:val="22"/>
          <w:szCs w:val="22"/>
          <w:lang w:val="fr-FR"/>
        </w:rPr>
        <w:t xml:space="preserve">sur l’état des tendances </w:t>
      </w:r>
      <w:r w:rsidR="007E1FEE" w:rsidRPr="00C65035">
        <w:rPr>
          <w:kern w:val="22"/>
          <w:szCs w:val="22"/>
          <w:lang w:val="fr-FR"/>
        </w:rPr>
        <w:t xml:space="preserve">et des prévisions </w:t>
      </w:r>
      <w:r w:rsidRPr="00C65035">
        <w:rPr>
          <w:kern w:val="22"/>
          <w:szCs w:val="22"/>
          <w:lang w:val="fr-FR"/>
        </w:rPr>
        <w:t xml:space="preserve">de la biodiversité ainsi que des menaces qui pèsent sur celle-ci, </w:t>
      </w:r>
      <w:r w:rsidR="007E1FEE" w:rsidRPr="00C65035">
        <w:rPr>
          <w:kern w:val="22"/>
          <w:szCs w:val="22"/>
          <w:lang w:val="fr-FR"/>
        </w:rPr>
        <w:t xml:space="preserve">et sur </w:t>
      </w:r>
      <w:r w:rsidRPr="00C65035">
        <w:rPr>
          <w:kern w:val="22"/>
          <w:szCs w:val="22"/>
          <w:lang w:val="fr-FR"/>
        </w:rPr>
        <w:t>les progrès réalisés dans l’application d</w:t>
      </w:r>
      <w:r w:rsidR="007E1FEE" w:rsidRPr="00C65035">
        <w:rPr>
          <w:kern w:val="22"/>
          <w:szCs w:val="22"/>
          <w:lang w:val="fr-FR"/>
        </w:rPr>
        <w:t xml:space="preserve">e la Convention </w:t>
      </w:r>
      <w:r w:rsidRPr="00C65035">
        <w:rPr>
          <w:kern w:val="22"/>
          <w:szCs w:val="22"/>
          <w:lang w:val="fr-FR"/>
        </w:rPr>
        <w:t xml:space="preserve">et </w:t>
      </w:r>
      <w:r w:rsidR="00727833" w:rsidRPr="00C65035">
        <w:rPr>
          <w:kern w:val="22"/>
          <w:szCs w:val="22"/>
          <w:lang w:val="fr-FR"/>
        </w:rPr>
        <w:t>la mise en œuvre</w:t>
      </w:r>
      <w:r w:rsidR="007E1FEE" w:rsidRPr="00C65035">
        <w:rPr>
          <w:kern w:val="22"/>
          <w:szCs w:val="22"/>
          <w:lang w:val="fr-FR"/>
        </w:rPr>
        <w:t xml:space="preserve"> du</w:t>
      </w:r>
      <w:r w:rsidR="005C6DEE" w:rsidRPr="00C65035">
        <w:rPr>
          <w:kern w:val="22"/>
          <w:szCs w:val="22"/>
          <w:lang w:val="fr-FR"/>
        </w:rPr>
        <w:t xml:space="preserve"> Plan stratégique</w:t>
      </w:r>
      <w:r w:rsidRPr="00C65035">
        <w:rPr>
          <w:kern w:val="22"/>
          <w:szCs w:val="22"/>
          <w:lang w:val="fr-FR"/>
        </w:rPr>
        <w:t xml:space="preserve"> pour la diversité biologique</w:t>
      </w:r>
      <w:r w:rsidR="005C6DEE" w:rsidRPr="00C65035">
        <w:rPr>
          <w:kern w:val="22"/>
          <w:szCs w:val="22"/>
          <w:lang w:val="fr-FR"/>
        </w:rPr>
        <w:t xml:space="preserve"> </w:t>
      </w:r>
      <w:r w:rsidR="005C6DEE" w:rsidRPr="00C65035">
        <w:rPr>
          <w:kern w:val="22"/>
          <w:szCs w:val="22"/>
          <w:lang w:val="fr-FR"/>
        </w:rPr>
        <w:t>2011-2020</w:t>
      </w:r>
      <w:r w:rsidR="007E1FEE" w:rsidRPr="00C65035">
        <w:rPr>
          <w:kern w:val="22"/>
          <w:szCs w:val="22"/>
          <w:lang w:val="fr-FR"/>
        </w:rPr>
        <w:t>, y compris les activités d’intégration</w:t>
      </w:r>
      <w:r w:rsidR="00C65035">
        <w:rPr>
          <w:kern w:val="22"/>
          <w:szCs w:val="22"/>
          <w:lang w:val="fr-FR"/>
        </w:rPr>
        <w:t> ;</w:t>
      </w:r>
      <w:bookmarkStart w:id="1" w:name="_GoBack"/>
      <w:bookmarkEnd w:id="1"/>
    </w:p>
    <w:p w14:paraId="32ABAD69" w14:textId="72326A9C" w:rsidR="00CA4407" w:rsidRPr="00C65035" w:rsidRDefault="00CA4407" w:rsidP="00CA4407">
      <w:pPr>
        <w:pStyle w:val="Para1"/>
        <w:numPr>
          <w:ilvl w:val="0"/>
          <w:numId w:val="33"/>
        </w:numPr>
        <w:ind w:left="720" w:firstLine="720"/>
        <w:rPr>
          <w:iCs/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Invite</w:t>
      </w:r>
      <w:r w:rsidRPr="00C65035">
        <w:rPr>
          <w:iCs/>
          <w:kern w:val="22"/>
          <w:szCs w:val="22"/>
          <w:lang w:val="fr-FR"/>
        </w:rPr>
        <w:t xml:space="preserve"> les Parties, les autres gouvernemen</w:t>
      </w:r>
      <w:r w:rsidR="00727833" w:rsidRPr="00C65035">
        <w:rPr>
          <w:iCs/>
          <w:kern w:val="22"/>
          <w:szCs w:val="22"/>
          <w:lang w:val="fr-FR"/>
        </w:rPr>
        <w:t>ts et les organisations compéten</w:t>
      </w:r>
      <w:r w:rsidRPr="00C65035">
        <w:rPr>
          <w:iCs/>
          <w:kern w:val="22"/>
          <w:szCs w:val="22"/>
          <w:lang w:val="fr-FR"/>
        </w:rPr>
        <w:t>tes</w:t>
      </w:r>
      <w:r w:rsidR="00727833" w:rsidRPr="00C65035">
        <w:rPr>
          <w:iCs/>
          <w:kern w:val="22"/>
          <w:szCs w:val="22"/>
          <w:lang w:val="fr-FR"/>
        </w:rPr>
        <w:t>, lorsque cela est possible, à verser</w:t>
      </w:r>
      <w:r w:rsidRPr="00C65035">
        <w:rPr>
          <w:iCs/>
          <w:kern w:val="22"/>
          <w:szCs w:val="22"/>
          <w:lang w:val="fr-FR"/>
        </w:rPr>
        <w:t xml:space="preserve"> des contributions financières en temps opportun pour l’élaboration et la production de la cinquième édition des </w:t>
      </w:r>
      <w:r w:rsidRPr="00C65035">
        <w:rPr>
          <w:i/>
          <w:kern w:val="22"/>
          <w:szCs w:val="22"/>
          <w:lang w:val="fr-FR"/>
        </w:rPr>
        <w:t>Perspectives mondiales de la diversité biologique</w:t>
      </w:r>
      <w:r w:rsidRPr="00C65035">
        <w:rPr>
          <w:iCs/>
          <w:kern w:val="22"/>
          <w:szCs w:val="22"/>
          <w:lang w:val="fr-FR"/>
        </w:rPr>
        <w:t xml:space="preserve"> et ses produits connexes, y compris la deuxième édition des </w:t>
      </w:r>
      <w:r w:rsidRPr="00C65035">
        <w:rPr>
          <w:i/>
          <w:iCs/>
          <w:kern w:val="22"/>
          <w:szCs w:val="22"/>
          <w:lang w:val="fr-FR"/>
        </w:rPr>
        <w:t>Perspectives locales de la diversité biologique</w:t>
      </w:r>
      <w:r w:rsidRPr="00C65035">
        <w:rPr>
          <w:szCs w:val="22"/>
          <w:lang w:val="fr-FR"/>
        </w:rPr>
        <w:t>.</w:t>
      </w:r>
    </w:p>
    <w:p w14:paraId="7F285F9F" w14:textId="77777777" w:rsidR="00CA4407" w:rsidRPr="00C65035" w:rsidRDefault="00CA4407" w:rsidP="00CA4407">
      <w:pPr>
        <w:pStyle w:val="Para1"/>
        <w:numPr>
          <w:ilvl w:val="0"/>
          <w:numId w:val="0"/>
        </w:numPr>
        <w:snapToGrid w:val="0"/>
        <w:spacing w:before="0" w:after="0"/>
        <w:ind w:left="720"/>
        <w:jc w:val="left"/>
        <w:rPr>
          <w:iCs/>
          <w:kern w:val="22"/>
          <w:szCs w:val="22"/>
          <w:lang w:val="fr-FR"/>
        </w:rPr>
      </w:pPr>
    </w:p>
    <w:p w14:paraId="1330C49B" w14:textId="77777777" w:rsidR="00727833" w:rsidRPr="00C65035" w:rsidRDefault="00727833" w:rsidP="00CA4407">
      <w:pPr>
        <w:pStyle w:val="Para1"/>
        <w:numPr>
          <w:ilvl w:val="0"/>
          <w:numId w:val="0"/>
        </w:numPr>
        <w:snapToGrid w:val="0"/>
        <w:spacing w:before="0" w:after="0"/>
        <w:ind w:left="720"/>
        <w:jc w:val="left"/>
        <w:rPr>
          <w:iCs/>
          <w:kern w:val="22"/>
          <w:szCs w:val="22"/>
          <w:lang w:val="fr-FR"/>
        </w:rPr>
      </w:pPr>
    </w:p>
    <w:p w14:paraId="7224F138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spacing w:before="0" w:after="0"/>
        <w:rPr>
          <w:bCs/>
          <w:kern w:val="22"/>
          <w:szCs w:val="22"/>
          <w:lang w:val="fr-FR"/>
        </w:rPr>
      </w:pPr>
    </w:p>
    <w:p w14:paraId="33B1B337" w14:textId="5AD6020B" w:rsidR="00727833" w:rsidRPr="00C65035" w:rsidRDefault="00727833" w:rsidP="00FB131E">
      <w:pPr>
        <w:pStyle w:val="Para1"/>
        <w:keepNext/>
        <w:keepLines/>
        <w:numPr>
          <w:ilvl w:val="0"/>
          <w:numId w:val="0"/>
        </w:numPr>
        <w:spacing w:before="40" w:after="240"/>
        <w:ind w:left="90"/>
        <w:jc w:val="center"/>
        <w:rPr>
          <w:i/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Annexe</w:t>
      </w:r>
    </w:p>
    <w:p w14:paraId="0E46ECD4" w14:textId="6656E232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spacing w:before="40" w:after="40"/>
        <w:ind w:left="90"/>
        <w:rPr>
          <w:b/>
          <w:i/>
          <w:kern w:val="22"/>
          <w:szCs w:val="22"/>
          <w:lang w:val="fr-FR"/>
        </w:rPr>
      </w:pPr>
      <w:r w:rsidRPr="00C65035">
        <w:rPr>
          <w:b/>
          <w:kern w:val="22"/>
          <w:szCs w:val="22"/>
          <w:lang w:val="fr-FR"/>
        </w:rPr>
        <w:t>Calendrier indicatif</w:t>
      </w:r>
      <w:r w:rsidR="00727833" w:rsidRPr="00C65035">
        <w:rPr>
          <w:b/>
          <w:kern w:val="22"/>
          <w:szCs w:val="22"/>
          <w:lang w:val="fr-FR"/>
        </w:rPr>
        <w:t xml:space="preserve"> pour </w:t>
      </w:r>
      <w:r w:rsidRPr="00C65035">
        <w:rPr>
          <w:b/>
          <w:kern w:val="22"/>
          <w:szCs w:val="22"/>
          <w:lang w:val="fr-FR"/>
        </w:rPr>
        <w:t xml:space="preserve">l’élaboration de la cinquième édition des </w:t>
      </w:r>
      <w:r w:rsidRPr="00C65035">
        <w:rPr>
          <w:b/>
          <w:i/>
          <w:kern w:val="22"/>
          <w:szCs w:val="22"/>
          <w:lang w:val="fr-FR"/>
        </w:rPr>
        <w:t>Perspectives mondiales de la diversité biologique</w:t>
      </w:r>
    </w:p>
    <w:p w14:paraId="51F841AE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pBdr>
          <w:top w:val="single" w:sz="4" w:space="1" w:color="auto"/>
          <w:bottom w:val="single" w:sz="4" w:space="1" w:color="auto"/>
        </w:pBdr>
        <w:tabs>
          <w:tab w:val="left" w:pos="5400"/>
          <w:tab w:val="left" w:pos="7938"/>
        </w:tabs>
        <w:spacing w:before="40" w:after="40"/>
        <w:ind w:left="91" w:right="1422"/>
        <w:rPr>
          <w:i/>
          <w:kern w:val="22"/>
          <w:szCs w:val="22"/>
          <w:lang w:val="fr-FR"/>
        </w:rPr>
      </w:pPr>
      <w:r w:rsidRPr="00C65035">
        <w:rPr>
          <w:i/>
          <w:kern w:val="22"/>
          <w:szCs w:val="22"/>
          <w:lang w:val="fr-FR"/>
        </w:rPr>
        <w:t>Produit/élément</w:t>
      </w:r>
      <w:r w:rsidRPr="00C65035">
        <w:rPr>
          <w:i/>
          <w:kern w:val="22"/>
          <w:szCs w:val="22"/>
          <w:lang w:val="fr-FR"/>
        </w:rPr>
        <w:tab/>
        <w:t>Date</w:t>
      </w:r>
    </w:p>
    <w:p w14:paraId="3BFC80AF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b/>
          <w:kern w:val="22"/>
          <w:szCs w:val="22"/>
          <w:lang w:val="fr-FR"/>
        </w:rPr>
      </w:pPr>
      <w:r w:rsidRPr="00C65035">
        <w:rPr>
          <w:b/>
          <w:kern w:val="22"/>
          <w:szCs w:val="22"/>
          <w:lang w:val="fr-FR"/>
        </w:rPr>
        <w:t>Évaluations régionales de l’IPBES</w:t>
      </w:r>
      <w:r w:rsidRPr="00C65035">
        <w:rPr>
          <w:b/>
          <w:kern w:val="22"/>
          <w:szCs w:val="22"/>
          <w:lang w:val="fr-FR"/>
        </w:rPr>
        <w:tab/>
        <w:t>Mars 2018</w:t>
      </w:r>
    </w:p>
    <w:p w14:paraId="60E1968F" w14:textId="752C4479" w:rsidR="00CA4407" w:rsidRPr="00C65035" w:rsidRDefault="00727833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i/>
          <w:kern w:val="22"/>
          <w:szCs w:val="22"/>
          <w:lang w:val="fr-FR"/>
        </w:rPr>
      </w:pPr>
      <w:r w:rsidRPr="00C65035">
        <w:rPr>
          <w:b/>
          <w:kern w:val="22"/>
          <w:szCs w:val="22"/>
          <w:lang w:val="fr-FR"/>
        </w:rPr>
        <w:t>Échéance pour les</w:t>
      </w:r>
      <w:r w:rsidR="00CA4407" w:rsidRPr="00C65035">
        <w:rPr>
          <w:b/>
          <w:kern w:val="22"/>
          <w:szCs w:val="22"/>
          <w:lang w:val="fr-FR"/>
        </w:rPr>
        <w:t xml:space="preserve"> rapport</w:t>
      </w:r>
      <w:r w:rsidRPr="00C65035">
        <w:rPr>
          <w:b/>
          <w:kern w:val="22"/>
          <w:szCs w:val="22"/>
          <w:lang w:val="fr-FR"/>
        </w:rPr>
        <w:t>s nationaux</w:t>
      </w:r>
      <w:r w:rsidR="00CA4407" w:rsidRPr="00C65035">
        <w:rPr>
          <w:b/>
          <w:kern w:val="22"/>
          <w:szCs w:val="22"/>
          <w:lang w:val="fr-FR"/>
        </w:rPr>
        <w:tab/>
        <w:t>31 décembre 2018</w:t>
      </w:r>
    </w:p>
    <w:p w14:paraId="4959D5BF" w14:textId="1B5F88DE" w:rsidR="00CA4407" w:rsidRPr="00C65035" w:rsidRDefault="00727833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Projet de grandes lignes du</w:t>
      </w:r>
      <w:r w:rsidR="00CA4407" w:rsidRPr="00C65035">
        <w:rPr>
          <w:kern w:val="22"/>
          <w:szCs w:val="22"/>
          <w:lang w:val="fr-FR"/>
        </w:rPr>
        <w:t xml:space="preserve"> rapport</w:t>
      </w:r>
      <w:r w:rsidR="00CA4407" w:rsidRPr="00C65035">
        <w:rPr>
          <w:kern w:val="22"/>
          <w:szCs w:val="22"/>
          <w:lang w:val="fr-FR"/>
        </w:rPr>
        <w:tab/>
        <w:t>Décembre 2018</w:t>
      </w:r>
    </w:p>
    <w:p w14:paraId="1669EC83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Élaboration des premiers éléments de texte</w:t>
      </w:r>
      <w:r w:rsidRPr="00C65035">
        <w:rPr>
          <w:kern w:val="22"/>
          <w:szCs w:val="22"/>
          <w:lang w:val="fr-FR"/>
        </w:rPr>
        <w:tab/>
        <w:t>Janvier 2019</w:t>
      </w:r>
    </w:p>
    <w:p w14:paraId="78A3152F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b/>
          <w:kern w:val="22"/>
          <w:szCs w:val="22"/>
          <w:lang w:val="fr-FR"/>
        </w:rPr>
      </w:pPr>
      <w:r w:rsidRPr="00C65035">
        <w:rPr>
          <w:b/>
          <w:kern w:val="22"/>
          <w:szCs w:val="22"/>
          <w:lang w:val="fr-FR"/>
        </w:rPr>
        <w:t>Évaluation mondiale de l’IPBES</w:t>
      </w:r>
      <w:r w:rsidRPr="00C65035">
        <w:rPr>
          <w:b/>
          <w:kern w:val="22"/>
          <w:szCs w:val="22"/>
          <w:lang w:val="fr-FR"/>
        </w:rPr>
        <w:tab/>
        <w:t>Mai 2019</w:t>
      </w:r>
    </w:p>
    <w:p w14:paraId="2370A3BD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Élaboration d’un avant-projet du rapport</w:t>
      </w:r>
      <w:r w:rsidRPr="00C65035">
        <w:rPr>
          <w:kern w:val="22"/>
          <w:szCs w:val="22"/>
          <w:lang w:val="fr-FR"/>
        </w:rPr>
        <w:tab/>
        <w:t>Mai-août 2019</w:t>
      </w:r>
    </w:p>
    <w:p w14:paraId="33464049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Examen par les experts invités</w:t>
      </w:r>
      <w:r w:rsidRPr="00C65035">
        <w:rPr>
          <w:kern w:val="22"/>
          <w:szCs w:val="22"/>
          <w:lang w:val="fr-FR"/>
        </w:rPr>
        <w:tab/>
        <w:t>Août-septembre 2019</w:t>
      </w:r>
    </w:p>
    <w:p w14:paraId="291CF3F5" w14:textId="1BCF6972" w:rsidR="00CA4407" w:rsidRPr="00C65035" w:rsidRDefault="00727833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Révision du projet de rapport</w:t>
      </w:r>
      <w:r w:rsidR="00CA4407" w:rsidRPr="00C65035">
        <w:rPr>
          <w:kern w:val="22"/>
          <w:szCs w:val="22"/>
          <w:lang w:val="fr-FR"/>
        </w:rPr>
        <w:tab/>
        <w:t>Août-septembre 2019</w:t>
      </w:r>
    </w:p>
    <w:p w14:paraId="56C7C3C3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Examen par les Parties et le public</w:t>
      </w:r>
      <w:r w:rsidRPr="00C65035">
        <w:rPr>
          <w:kern w:val="22"/>
          <w:szCs w:val="22"/>
          <w:lang w:val="fr-FR"/>
        </w:rPr>
        <w:tab/>
        <w:t>Octobre-décembre 2019</w:t>
      </w:r>
    </w:p>
    <w:p w14:paraId="48ADEDCD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Élaboration des éléments graphiques</w:t>
      </w:r>
      <w:r w:rsidRPr="00C65035">
        <w:rPr>
          <w:kern w:val="22"/>
          <w:szCs w:val="22"/>
          <w:lang w:val="fr-FR"/>
        </w:rPr>
        <w:tab/>
        <w:t>Novembre 2019</w:t>
      </w:r>
    </w:p>
    <w:p w14:paraId="5388A2C5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b/>
          <w:bCs/>
          <w:kern w:val="22"/>
          <w:szCs w:val="22"/>
          <w:lang w:val="fr-FR"/>
        </w:rPr>
      </w:pPr>
      <w:r w:rsidRPr="00C65035">
        <w:rPr>
          <w:b/>
          <w:bCs/>
          <w:kern w:val="22"/>
          <w:szCs w:val="22"/>
          <w:lang w:val="fr-FR"/>
        </w:rPr>
        <w:t>SBSTTA-23</w:t>
      </w:r>
      <w:r w:rsidRPr="00C65035">
        <w:rPr>
          <w:b/>
          <w:bCs/>
          <w:kern w:val="22"/>
          <w:szCs w:val="22"/>
          <w:lang w:val="fr-FR"/>
        </w:rPr>
        <w:tab/>
        <w:t>Novembre 2019</w:t>
      </w:r>
    </w:p>
    <w:p w14:paraId="3BD93C7A" w14:textId="48594ABE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Révisio</w:t>
      </w:r>
      <w:r w:rsidR="00727833" w:rsidRPr="00C65035">
        <w:rPr>
          <w:kern w:val="22"/>
          <w:szCs w:val="22"/>
          <w:lang w:val="fr-FR"/>
        </w:rPr>
        <w:t>n du projet de rapport</w:t>
      </w:r>
      <w:r w:rsidR="00727833" w:rsidRPr="00C65035">
        <w:rPr>
          <w:kern w:val="22"/>
          <w:szCs w:val="22"/>
          <w:lang w:val="fr-FR"/>
        </w:rPr>
        <w:tab/>
        <w:t>Janvier-m</w:t>
      </w:r>
      <w:r w:rsidRPr="00C65035">
        <w:rPr>
          <w:kern w:val="22"/>
          <w:szCs w:val="22"/>
          <w:lang w:val="fr-FR"/>
        </w:rPr>
        <w:t>ars 2020</w:t>
      </w:r>
    </w:p>
    <w:p w14:paraId="17F1F727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Traduction dans les langues officielles de l’ONU</w:t>
      </w:r>
      <w:r w:rsidRPr="00C65035">
        <w:rPr>
          <w:kern w:val="22"/>
          <w:szCs w:val="22"/>
          <w:lang w:val="fr-FR"/>
        </w:rPr>
        <w:tab/>
        <w:t>Mars 2020</w:t>
      </w:r>
    </w:p>
    <w:p w14:paraId="38A35D0C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Mise en page</w:t>
      </w:r>
      <w:r w:rsidRPr="00C65035">
        <w:rPr>
          <w:kern w:val="22"/>
          <w:szCs w:val="22"/>
          <w:lang w:val="fr-FR"/>
        </w:rPr>
        <w:tab/>
        <w:t>Mars-avril 2020</w:t>
      </w:r>
    </w:p>
    <w:p w14:paraId="6E3572F1" w14:textId="7CD78188" w:rsidR="00CA4407" w:rsidRPr="00C65035" w:rsidRDefault="00727833" w:rsidP="00CA4407">
      <w:pPr>
        <w:pStyle w:val="Para1"/>
        <w:keepNext/>
        <w:keepLines/>
        <w:numPr>
          <w:ilvl w:val="0"/>
          <w:numId w:val="0"/>
        </w:numPr>
        <w:tabs>
          <w:tab w:val="left" w:pos="5400"/>
        </w:tabs>
        <w:spacing w:before="40" w:after="40"/>
        <w:ind w:left="91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Impressio</w:t>
      </w:r>
      <w:r w:rsidR="00FB131E" w:rsidRPr="00C65035">
        <w:rPr>
          <w:kern w:val="22"/>
          <w:szCs w:val="22"/>
          <w:lang w:val="fr-FR"/>
        </w:rPr>
        <w:t>n et distribution aux manifestations</w:t>
      </w:r>
      <w:r w:rsidR="00CA4407" w:rsidRPr="00C65035">
        <w:rPr>
          <w:kern w:val="22"/>
          <w:szCs w:val="22"/>
          <w:lang w:val="fr-FR"/>
        </w:rPr>
        <w:t xml:space="preserve"> de lancement</w:t>
      </w:r>
      <w:r w:rsidR="00CA4407" w:rsidRPr="00C65035">
        <w:rPr>
          <w:kern w:val="22"/>
          <w:szCs w:val="22"/>
          <w:lang w:val="fr-FR"/>
        </w:rPr>
        <w:tab/>
        <w:t>Mai 2020</w:t>
      </w:r>
    </w:p>
    <w:p w14:paraId="138782BC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400"/>
        </w:tabs>
        <w:spacing w:before="40" w:after="40"/>
        <w:ind w:left="91" w:right="1422"/>
        <w:rPr>
          <w:b/>
          <w:bCs/>
          <w:kern w:val="22"/>
          <w:szCs w:val="22"/>
          <w:lang w:val="fr-FR"/>
        </w:rPr>
      </w:pPr>
      <w:r w:rsidRPr="00C65035">
        <w:rPr>
          <w:b/>
          <w:bCs/>
          <w:kern w:val="22"/>
          <w:szCs w:val="22"/>
          <w:lang w:val="fr-FR"/>
        </w:rPr>
        <w:t>SBSTTA-24/SBI-3</w:t>
      </w:r>
      <w:r w:rsidRPr="00C65035">
        <w:rPr>
          <w:b/>
          <w:bCs/>
          <w:kern w:val="22"/>
          <w:szCs w:val="22"/>
          <w:lang w:val="fr-FR"/>
        </w:rPr>
        <w:tab/>
        <w:t>Mai 2020</w:t>
      </w:r>
    </w:p>
    <w:p w14:paraId="50AF3173" w14:textId="77777777" w:rsidR="00CA4407" w:rsidRPr="00C65035" w:rsidRDefault="00CA4407" w:rsidP="00CA4407">
      <w:pPr>
        <w:pStyle w:val="Para1"/>
        <w:keepNext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400"/>
        </w:tabs>
        <w:spacing w:before="40" w:after="40"/>
        <w:ind w:left="91" w:right="1422"/>
        <w:rPr>
          <w:kern w:val="22"/>
          <w:szCs w:val="22"/>
          <w:lang w:val="fr-FR"/>
        </w:rPr>
      </w:pPr>
      <w:r w:rsidRPr="00C65035">
        <w:rPr>
          <w:kern w:val="22"/>
          <w:szCs w:val="22"/>
          <w:lang w:val="fr-FR"/>
        </w:rPr>
        <w:t>Lancement du rapport principal</w:t>
      </w:r>
      <w:r w:rsidRPr="00C65035">
        <w:rPr>
          <w:kern w:val="22"/>
          <w:szCs w:val="22"/>
          <w:lang w:val="fr-FR"/>
        </w:rPr>
        <w:tab/>
        <w:t>Mai 2020</w:t>
      </w:r>
    </w:p>
    <w:p w14:paraId="6C08E9BB" w14:textId="4A9CE717" w:rsidR="00CA4407" w:rsidRPr="00C65035" w:rsidRDefault="00FB131E" w:rsidP="00CA4407">
      <w:pPr>
        <w:pStyle w:val="Para1"/>
        <w:keepLines/>
        <w:numPr>
          <w:ilvl w:val="0"/>
          <w:numId w:val="0"/>
        </w:numPr>
        <w:pBdr>
          <w:bottom w:val="single" w:sz="4" w:space="1" w:color="auto"/>
        </w:pBdr>
        <w:tabs>
          <w:tab w:val="left" w:pos="5400"/>
        </w:tabs>
        <w:spacing w:before="40" w:after="40"/>
        <w:ind w:left="91" w:right="1422"/>
        <w:rPr>
          <w:b/>
          <w:kern w:val="22"/>
          <w:szCs w:val="22"/>
          <w:lang w:val="fr-FR"/>
        </w:rPr>
      </w:pPr>
      <w:r w:rsidRPr="00C65035">
        <w:rPr>
          <w:b/>
          <w:kern w:val="22"/>
          <w:szCs w:val="22"/>
          <w:lang w:val="fr-FR"/>
        </w:rPr>
        <w:t>COP-15;</w:t>
      </w:r>
      <w:r w:rsidR="00CA4407" w:rsidRPr="00C65035">
        <w:rPr>
          <w:b/>
          <w:kern w:val="22"/>
          <w:szCs w:val="22"/>
          <w:lang w:val="fr-FR"/>
        </w:rPr>
        <w:t xml:space="preserve"> CP/MOP-10; NP/MOP-4</w:t>
      </w:r>
      <w:r w:rsidR="00CA4407" w:rsidRPr="00C65035">
        <w:rPr>
          <w:b/>
          <w:kern w:val="22"/>
          <w:szCs w:val="22"/>
          <w:lang w:val="fr-FR"/>
        </w:rPr>
        <w:tab/>
        <w:t>Octobre 2020</w:t>
      </w:r>
    </w:p>
    <w:p w14:paraId="2CFBACC9" w14:textId="77777777" w:rsidR="00CA4407" w:rsidRPr="00C65035" w:rsidRDefault="00CA4407" w:rsidP="00CA4407">
      <w:pPr>
        <w:pStyle w:val="BodyText"/>
        <w:spacing w:before="40" w:after="40"/>
        <w:ind w:firstLine="0"/>
        <w:rPr>
          <w:kern w:val="22"/>
          <w:szCs w:val="22"/>
          <w:lang w:val="fr-FR"/>
        </w:rPr>
      </w:pPr>
    </w:p>
    <w:p w14:paraId="4E206C9E" w14:textId="77777777" w:rsidR="00CA4407" w:rsidRPr="00C65035" w:rsidRDefault="00CA4407" w:rsidP="00CA4407">
      <w:pPr>
        <w:pStyle w:val="ListParagraph"/>
        <w:suppressLineNumbers/>
        <w:suppressAutoHyphens/>
        <w:spacing w:after="120"/>
        <w:ind w:left="90"/>
        <w:jc w:val="center"/>
        <w:rPr>
          <w:snapToGrid w:val="0"/>
          <w:kern w:val="22"/>
          <w:szCs w:val="22"/>
          <w:lang w:val="fr-FR"/>
        </w:rPr>
      </w:pPr>
      <w:r w:rsidRPr="00C65035">
        <w:rPr>
          <w:snapToGrid w:val="0"/>
          <w:kern w:val="22"/>
          <w:szCs w:val="22"/>
          <w:lang w:val="fr-FR"/>
        </w:rPr>
        <w:t>__________</w:t>
      </w:r>
    </w:p>
    <w:p w14:paraId="1582E66D" w14:textId="77777777" w:rsidR="00CA4407" w:rsidRPr="00C65035" w:rsidRDefault="00CA4407" w:rsidP="005975FD">
      <w:pPr>
        <w:pStyle w:val="Cornernotation"/>
        <w:rPr>
          <w:szCs w:val="22"/>
          <w:lang w:val="fr-FR"/>
        </w:rPr>
      </w:pPr>
    </w:p>
    <w:p w14:paraId="2E8B7A54" w14:textId="77777777" w:rsidR="005975FD" w:rsidRPr="00861B6F" w:rsidRDefault="005975FD" w:rsidP="001C0E64">
      <w:pPr>
        <w:pStyle w:val="ListParagraph"/>
        <w:suppressLineNumbers/>
        <w:suppressAutoHyphens/>
        <w:spacing w:after="120"/>
        <w:ind w:left="90"/>
        <w:jc w:val="center"/>
        <w:rPr>
          <w:snapToGrid w:val="0"/>
          <w:kern w:val="22"/>
          <w:szCs w:val="22"/>
        </w:rPr>
      </w:pPr>
    </w:p>
    <w:sectPr w:rsidR="005975FD" w:rsidRPr="00861B6F" w:rsidSect="00686C64">
      <w:headerReference w:type="even" r:id="rId17"/>
      <w:headerReference w:type="default" r:id="rId18"/>
      <w:pgSz w:w="12240" w:h="15840" w:code="1"/>
      <w:pgMar w:top="1021" w:right="1440" w:bottom="1134" w:left="1440" w:header="45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97C2" w14:textId="77777777" w:rsidR="00A953C9" w:rsidRDefault="00A953C9">
      <w:r>
        <w:separator/>
      </w:r>
    </w:p>
  </w:endnote>
  <w:endnote w:type="continuationSeparator" w:id="0">
    <w:p w14:paraId="2D291BF6" w14:textId="77777777" w:rsidR="00A953C9" w:rsidRDefault="00A9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A7234" w14:textId="77777777" w:rsidR="00A953C9" w:rsidRDefault="00A953C9">
      <w:r>
        <w:separator/>
      </w:r>
    </w:p>
  </w:footnote>
  <w:footnote w:type="continuationSeparator" w:id="0">
    <w:p w14:paraId="0053C40E" w14:textId="77777777" w:rsidR="00A953C9" w:rsidRDefault="00A953C9">
      <w:r>
        <w:continuationSeparator/>
      </w:r>
    </w:p>
  </w:footnote>
  <w:footnote w:id="1">
    <w:p w14:paraId="4CF3BBD2" w14:textId="35D27249" w:rsidR="00CA4407" w:rsidRPr="00464AFD" w:rsidRDefault="00CA4407" w:rsidP="00CA4407">
      <w:pPr>
        <w:suppressLineNumbers/>
        <w:tabs>
          <w:tab w:val="left" w:pos="0"/>
        </w:tabs>
        <w:suppressAutoHyphens/>
        <w:spacing w:after="60"/>
        <w:jc w:val="left"/>
        <w:rPr>
          <w:sz w:val="18"/>
          <w:szCs w:val="18"/>
          <w:lang w:val="fr-CA"/>
        </w:rPr>
      </w:pPr>
      <w:r w:rsidRPr="00731AB7">
        <w:rPr>
          <w:rStyle w:val="FootnoteReference"/>
          <w:szCs w:val="18"/>
          <w:u w:val="none"/>
          <w:vertAlign w:val="superscript"/>
        </w:rPr>
        <w:footnoteRef/>
      </w:r>
      <w:r w:rsidRPr="00464AFD">
        <w:rPr>
          <w:sz w:val="18"/>
          <w:szCs w:val="18"/>
          <w:lang w:val="fr-CA"/>
        </w:rPr>
        <w:t xml:space="preserve"> </w:t>
      </w:r>
      <w:hyperlink r:id="rId1" w:history="1">
        <w:r w:rsidRPr="00FB131E">
          <w:rPr>
            <w:rStyle w:val="Hyperlink"/>
            <w:kern w:val="22"/>
            <w:sz w:val="18"/>
            <w:szCs w:val="18"/>
            <w:lang w:val="fr-CA"/>
          </w:rPr>
          <w:t>CBD/SBSTTA/21/6</w:t>
        </w:r>
      </w:hyperlink>
      <w:r w:rsidRPr="00464AFD">
        <w:rPr>
          <w:kern w:val="22"/>
          <w:sz w:val="18"/>
          <w:szCs w:val="18"/>
          <w:lang w:val="fr-CA"/>
        </w:rPr>
        <w:t>.</w:t>
      </w:r>
    </w:p>
  </w:footnote>
  <w:footnote w:id="2">
    <w:p w14:paraId="5AEA58C3" w14:textId="6EC2837B" w:rsidR="00DB77E9" w:rsidRPr="00DB77E9" w:rsidRDefault="00DB77E9" w:rsidP="00DB77E9">
      <w:pPr>
        <w:pStyle w:val="FootnoteText"/>
        <w:ind w:firstLine="0"/>
        <w:rPr>
          <w:lang w:val="fr-FR"/>
        </w:rPr>
      </w:pPr>
      <w:r w:rsidRPr="00DB77E9">
        <w:rPr>
          <w:rStyle w:val="FootnoteReference"/>
          <w:u w:val="none"/>
          <w:vertAlign w:val="superscript"/>
        </w:rPr>
        <w:footnoteRef/>
      </w:r>
      <w:r w:rsidRPr="00DB77E9">
        <w:rPr>
          <w:vertAlign w:val="superscript"/>
          <w:lang w:val="fr-FR"/>
        </w:rPr>
        <w:t xml:space="preserve"> </w:t>
      </w:r>
      <w:r w:rsidR="007B1F06">
        <w:rPr>
          <w:lang w:val="fr-FR"/>
        </w:rPr>
        <w:t>Annexe de</w:t>
      </w:r>
      <w:r>
        <w:rPr>
          <w:lang w:val="fr-FR"/>
        </w:rPr>
        <w:t xml:space="preserve"> la </w:t>
      </w:r>
      <w:hyperlink r:id="rId2" w:history="1">
        <w:r>
          <w:rPr>
            <w:rStyle w:val="Hyperlink"/>
            <w:lang w:val="fr-CA"/>
          </w:rPr>
          <w:t>dé</w:t>
        </w:r>
        <w:r w:rsidRPr="00294B1B">
          <w:rPr>
            <w:rStyle w:val="Hyperlink"/>
            <w:lang w:val="fr-CA"/>
          </w:rPr>
          <w:t>cision X/2</w:t>
        </w:r>
      </w:hyperlink>
      <w:r>
        <w:rPr>
          <w:lang w:val="fr-FR"/>
        </w:rPr>
        <w:t>.</w:t>
      </w:r>
    </w:p>
  </w:footnote>
  <w:footnote w:id="3">
    <w:p w14:paraId="3D7939A3" w14:textId="3AE6DEC0" w:rsidR="00CA4407" w:rsidRPr="00294B1B" w:rsidRDefault="00CA4407" w:rsidP="00CA4407">
      <w:pPr>
        <w:pStyle w:val="FootnoteText"/>
        <w:ind w:firstLine="0"/>
        <w:rPr>
          <w:lang w:val="fr-CA"/>
        </w:rPr>
      </w:pPr>
      <w:r w:rsidRPr="00731AB7">
        <w:rPr>
          <w:rStyle w:val="FootnoteReference"/>
          <w:u w:val="none"/>
          <w:vertAlign w:val="superscript"/>
        </w:rPr>
        <w:footnoteRef/>
      </w:r>
      <w:r w:rsidR="00171D9B">
        <w:rPr>
          <w:lang w:val="fr-CA"/>
        </w:rPr>
        <w:t xml:space="preserve"> Annexe de</w:t>
      </w:r>
      <w:r w:rsidRPr="00294B1B">
        <w:rPr>
          <w:lang w:val="fr-CA"/>
        </w:rPr>
        <w:t xml:space="preserve"> la </w:t>
      </w:r>
      <w:hyperlink r:id="rId3" w:history="1">
        <w:r>
          <w:rPr>
            <w:rStyle w:val="Hyperlink"/>
            <w:lang w:val="fr-CA"/>
          </w:rPr>
          <w:t>dé</w:t>
        </w:r>
        <w:r w:rsidRPr="00294B1B">
          <w:rPr>
            <w:rStyle w:val="Hyperlink"/>
            <w:lang w:val="fr-CA"/>
          </w:rPr>
          <w:t>cision X/2</w:t>
        </w:r>
      </w:hyperlink>
      <w:r w:rsidRPr="00294B1B">
        <w:rPr>
          <w:lang w:val="fr-CA"/>
        </w:rPr>
        <w:t>.</w:t>
      </w:r>
    </w:p>
  </w:footnote>
  <w:footnote w:id="4">
    <w:p w14:paraId="0228B78A" w14:textId="4DFC26C7" w:rsidR="00171D9B" w:rsidRPr="00171D9B" w:rsidRDefault="00171D9B" w:rsidP="00171D9B">
      <w:pPr>
        <w:pStyle w:val="FootnoteText"/>
        <w:keepLines w:val="0"/>
        <w:suppressLineNumbers/>
        <w:suppressAutoHyphens/>
        <w:ind w:firstLine="0"/>
        <w:jc w:val="left"/>
        <w:rPr>
          <w:kern w:val="18"/>
          <w:szCs w:val="18"/>
          <w:lang w:val="fr-FR"/>
        </w:rPr>
      </w:pPr>
      <w:r w:rsidRPr="00171D9B">
        <w:rPr>
          <w:rStyle w:val="FootnoteReference"/>
          <w:kern w:val="18"/>
          <w:szCs w:val="18"/>
          <w:u w:val="none"/>
          <w:vertAlign w:val="superscript"/>
          <w:lang w:val="fr-FR"/>
        </w:rPr>
        <w:footnoteRef/>
      </w:r>
      <w:r w:rsidRPr="00171D9B">
        <w:rPr>
          <w:kern w:val="18"/>
          <w:szCs w:val="18"/>
          <w:lang w:val="fr-FR"/>
        </w:rPr>
        <w:t xml:space="preserve"> Voir le projet de décision de la Conférence des Parties qui figure dans la </w:t>
      </w:r>
      <w:r>
        <w:rPr>
          <w:kern w:val="18"/>
          <w:szCs w:val="18"/>
          <w:lang w:val="fr-FR"/>
        </w:rPr>
        <w:t>recomma</w:t>
      </w:r>
      <w:r w:rsidRPr="00171D9B">
        <w:rPr>
          <w:kern w:val="18"/>
          <w:szCs w:val="18"/>
          <w:lang w:val="fr-FR"/>
        </w:rPr>
        <w:t>ndation XXI/1 de l’Organe subsidiaire.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46ABB" w14:textId="419CAD90" w:rsidR="00686C64" w:rsidRDefault="00686C64" w:rsidP="00686C64">
    <w:pPr>
      <w:pStyle w:val="Header"/>
      <w:tabs>
        <w:tab w:val="clear" w:pos="4320"/>
        <w:tab w:val="clear" w:pos="8640"/>
      </w:tabs>
      <w:jc w:val="left"/>
    </w:pPr>
    <w:r>
      <w:t>C</w:t>
    </w:r>
    <w:r w:rsidR="007B1F06">
      <w:t>BD/SBSTTA/REC/XXI/5</w:t>
    </w:r>
  </w:p>
  <w:p w14:paraId="17DF52A4" w14:textId="2EC6729B" w:rsidR="00686C64" w:rsidRDefault="00686C64" w:rsidP="00686C64">
    <w:pPr>
      <w:pStyle w:val="Header"/>
      <w:tabs>
        <w:tab w:val="clear" w:pos="4320"/>
        <w:tab w:val="clear" w:pos="8640"/>
      </w:tabs>
      <w:jc w:val="lef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19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5AC497" w14:textId="77777777" w:rsidR="00686C64" w:rsidRPr="00686C64" w:rsidRDefault="00686C64" w:rsidP="00686C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5C99AE" w14:textId="395539E8" w:rsidR="003C0AFA" w:rsidRDefault="007B1F06" w:rsidP="00861B6F">
    <w:pPr>
      <w:pStyle w:val="Header"/>
      <w:tabs>
        <w:tab w:val="clear" w:pos="4320"/>
        <w:tab w:val="clear" w:pos="8640"/>
      </w:tabs>
      <w:jc w:val="right"/>
    </w:pPr>
    <w:r>
      <w:t>CBD/SBSTTA/REC/XXI/5</w:t>
    </w:r>
  </w:p>
  <w:p w14:paraId="0E8070F8" w14:textId="30B89F67" w:rsidR="003C0AFA" w:rsidRDefault="003C0AFA" w:rsidP="00861B6F">
    <w:pPr>
      <w:pStyle w:val="Header"/>
      <w:tabs>
        <w:tab w:val="clear" w:pos="4320"/>
        <w:tab w:val="clear" w:pos="8640"/>
      </w:tabs>
      <w:jc w:val="right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190F">
      <w:rPr>
        <w:rStyle w:val="PageNumber"/>
        <w:noProof/>
      </w:rPr>
      <w:t>3</w:t>
    </w:r>
    <w:r>
      <w:rPr>
        <w:rStyle w:val="PageNumber"/>
      </w:rPr>
      <w:fldChar w:fldCharType="end"/>
    </w:r>
  </w:p>
  <w:p w14:paraId="1A176D8E" w14:textId="77777777" w:rsidR="003C0AFA" w:rsidRDefault="003C0AFA" w:rsidP="00861B6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63F"/>
    <w:multiLevelType w:val="hybridMultilevel"/>
    <w:tmpl w:val="FF5C2D9C"/>
    <w:lvl w:ilvl="0" w:tplc="402C42D2">
      <w:start w:val="15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B1AE3"/>
    <w:multiLevelType w:val="hybridMultilevel"/>
    <w:tmpl w:val="FE22EEF0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CAB40D4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8D42DBC"/>
    <w:multiLevelType w:val="hybridMultilevel"/>
    <w:tmpl w:val="364080C6"/>
    <w:lvl w:ilvl="0" w:tplc="E07A4D8A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741BB"/>
    <w:multiLevelType w:val="hybridMultilevel"/>
    <w:tmpl w:val="ADDE8B76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CAB40D4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F4A02634">
      <w:start w:val="1"/>
      <w:numFmt w:val="lowerRoman"/>
      <w:lvlText w:val="(%3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F6E7FAB"/>
    <w:multiLevelType w:val="hybridMultilevel"/>
    <w:tmpl w:val="DE90C014"/>
    <w:lvl w:ilvl="0" w:tplc="877AD062">
      <w:start w:val="1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AD61DF"/>
    <w:multiLevelType w:val="hybridMultilevel"/>
    <w:tmpl w:val="C692452C"/>
    <w:lvl w:ilvl="0" w:tplc="599897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74565"/>
    <w:multiLevelType w:val="hybridMultilevel"/>
    <w:tmpl w:val="E38CF422"/>
    <w:lvl w:ilvl="0" w:tplc="65026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018A3"/>
    <w:multiLevelType w:val="hybridMultilevel"/>
    <w:tmpl w:val="98D0F8D6"/>
    <w:lvl w:ilvl="0" w:tplc="FFFFFFFF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BA21BE5"/>
    <w:multiLevelType w:val="hybridMultilevel"/>
    <w:tmpl w:val="F09043A8"/>
    <w:lvl w:ilvl="0" w:tplc="04E8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250A"/>
    <w:multiLevelType w:val="hybridMultilevel"/>
    <w:tmpl w:val="FCECA4E6"/>
    <w:lvl w:ilvl="0" w:tplc="B136D1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D2F11A0"/>
    <w:multiLevelType w:val="hybridMultilevel"/>
    <w:tmpl w:val="8368943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DB318A"/>
    <w:multiLevelType w:val="hybridMultilevel"/>
    <w:tmpl w:val="940E8760"/>
    <w:lvl w:ilvl="0" w:tplc="E266F2B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>
    <w:nsid w:val="3A602B77"/>
    <w:multiLevelType w:val="hybridMultilevel"/>
    <w:tmpl w:val="573E5A98"/>
    <w:lvl w:ilvl="0" w:tplc="CFB62B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iCs/>
      </w:rPr>
    </w:lvl>
    <w:lvl w:ilvl="1" w:tplc="CAB40D4C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F4A02634">
      <w:start w:val="1"/>
      <w:numFmt w:val="lowerRoman"/>
      <w:lvlText w:val="(%3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AEB0B1E"/>
    <w:multiLevelType w:val="multilevel"/>
    <w:tmpl w:val="151C49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2016"/>
        </w:tabs>
        <w:ind w:left="2016" w:hanging="432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CE43C91"/>
    <w:multiLevelType w:val="singleLevel"/>
    <w:tmpl w:val="7174E9C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6">
    <w:nsid w:val="41453F5C"/>
    <w:multiLevelType w:val="hybridMultilevel"/>
    <w:tmpl w:val="03181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CC7FBB"/>
    <w:multiLevelType w:val="hybridMultilevel"/>
    <w:tmpl w:val="45E4BE68"/>
    <w:lvl w:ilvl="0" w:tplc="F89AE9DE">
      <w:start w:val="1"/>
      <w:numFmt w:val="lowerLetter"/>
      <w:pStyle w:val="Para2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69C0FCD"/>
    <w:multiLevelType w:val="hybridMultilevel"/>
    <w:tmpl w:val="839ED9B2"/>
    <w:lvl w:ilvl="0" w:tplc="FFFFFFFF">
      <w:start w:val="2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4762318C"/>
    <w:multiLevelType w:val="multilevel"/>
    <w:tmpl w:val="F9AC0092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8E4287B"/>
    <w:multiLevelType w:val="multilevel"/>
    <w:tmpl w:val="2E6A1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</w:lvl>
    <w:lvl w:ilvl="3">
      <w:start w:val="1"/>
      <w:numFmt w:val="bullet"/>
      <w:pStyle w:val="para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C8D7B03"/>
    <w:multiLevelType w:val="hybridMultilevel"/>
    <w:tmpl w:val="F01889C4"/>
    <w:lvl w:ilvl="0" w:tplc="F4A02634">
      <w:start w:val="1"/>
      <w:numFmt w:val="lowerRoman"/>
      <w:lvlText w:val="(%1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442B4"/>
    <w:multiLevelType w:val="multilevel"/>
    <w:tmpl w:val="4FF01174"/>
    <w:lvl w:ilvl="0">
      <w:start w:val="1"/>
      <w:numFmt w:val="decimal"/>
      <w:pStyle w:val="Para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pStyle w:val="Para3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2FA0D9A"/>
    <w:multiLevelType w:val="multilevel"/>
    <w:tmpl w:val="187822A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color w:val="auto"/>
        <w:sz w:val="2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6553BCE"/>
    <w:multiLevelType w:val="hybridMultilevel"/>
    <w:tmpl w:val="2A4AAB7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551F0"/>
    <w:multiLevelType w:val="hybridMultilevel"/>
    <w:tmpl w:val="6A06D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DA15C7"/>
    <w:multiLevelType w:val="hybridMultilevel"/>
    <w:tmpl w:val="0A9A1A24"/>
    <w:lvl w:ilvl="0" w:tplc="7CC8A896">
      <w:start w:val="10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C009D4"/>
    <w:multiLevelType w:val="multilevel"/>
    <w:tmpl w:val="66CADF4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614608C6"/>
    <w:multiLevelType w:val="hybridMultilevel"/>
    <w:tmpl w:val="BC6CFBDC"/>
    <w:lvl w:ilvl="0" w:tplc="81F04CD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14BD9"/>
    <w:multiLevelType w:val="hybridMultilevel"/>
    <w:tmpl w:val="4A5E6682"/>
    <w:lvl w:ilvl="0" w:tplc="3808F944">
      <w:start w:val="6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8E6131C"/>
    <w:multiLevelType w:val="hybridMultilevel"/>
    <w:tmpl w:val="BB146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CEA5D6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7E32"/>
    <w:multiLevelType w:val="hybridMultilevel"/>
    <w:tmpl w:val="D558533C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A2A3B"/>
    <w:multiLevelType w:val="hybridMultilevel"/>
    <w:tmpl w:val="541C3456"/>
    <w:lvl w:ilvl="0" w:tplc="AC5CB2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E7C89700">
      <w:start w:val="1"/>
      <w:numFmt w:val="lowerLetter"/>
      <w:lvlText w:val="(%2)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EC168E4E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13A3A"/>
    <w:multiLevelType w:val="hybridMultilevel"/>
    <w:tmpl w:val="C692452C"/>
    <w:lvl w:ilvl="0" w:tplc="5998972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637CE"/>
    <w:multiLevelType w:val="hybridMultilevel"/>
    <w:tmpl w:val="E28240F6"/>
    <w:lvl w:ilvl="0" w:tplc="E90E797A">
      <w:start w:val="18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32"/>
  </w:num>
  <w:num w:numId="5">
    <w:abstractNumId w:val="12"/>
  </w:num>
  <w:num w:numId="6">
    <w:abstractNumId w:val="22"/>
  </w:num>
  <w:num w:numId="7">
    <w:abstractNumId w:val="17"/>
  </w:num>
  <w:num w:numId="8">
    <w:abstractNumId w:val="14"/>
  </w:num>
  <w:num w:numId="9">
    <w:abstractNumId w:val="22"/>
  </w:num>
  <w:num w:numId="10">
    <w:abstractNumId w:val="20"/>
  </w:num>
  <w:num w:numId="11">
    <w:abstractNumId w:val="15"/>
  </w:num>
  <w:num w:numId="12">
    <w:abstractNumId w:val="6"/>
  </w:num>
  <w:num w:numId="13">
    <w:abstractNumId w:val="19"/>
  </w:num>
  <w:num w:numId="14">
    <w:abstractNumId w:val="0"/>
  </w:num>
  <w:num w:numId="15">
    <w:abstractNumId w:val="34"/>
  </w:num>
  <w:num w:numId="16">
    <w:abstractNumId w:val="26"/>
  </w:num>
  <w:num w:numId="17">
    <w:abstractNumId w:val="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20">
    <w:abstractNumId w:val="2"/>
  </w:num>
  <w:num w:numId="21">
    <w:abstractNumId w:val="27"/>
  </w:num>
  <w:num w:numId="22">
    <w:abstractNumId w:val="23"/>
  </w:num>
  <w:num w:numId="23">
    <w:abstractNumId w:val="7"/>
  </w:num>
  <w:num w:numId="24">
    <w:abstractNumId w:val="28"/>
  </w:num>
  <w:num w:numId="25">
    <w:abstractNumId w:val="29"/>
  </w:num>
  <w:num w:numId="26">
    <w:abstractNumId w:val="18"/>
  </w:num>
  <w:num w:numId="27">
    <w:abstractNumId w:val="22"/>
  </w:num>
  <w:num w:numId="28">
    <w:abstractNumId w:val="22"/>
  </w:num>
  <w:num w:numId="29">
    <w:abstractNumId w:val="22"/>
  </w:num>
  <w:num w:numId="30">
    <w:abstractNumId w:val="22"/>
  </w:num>
  <w:num w:numId="31">
    <w:abstractNumId w:val="31"/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</w:num>
  <w:num w:numId="36">
    <w:abstractNumId w:val="25"/>
  </w:num>
  <w:num w:numId="37">
    <w:abstractNumId w:val="24"/>
  </w:num>
  <w:num w:numId="38">
    <w:abstractNumId w:val="16"/>
  </w:num>
  <w:num w:numId="39">
    <w:abstractNumId w:val="22"/>
  </w:num>
  <w:num w:numId="40">
    <w:abstractNumId w:val="1"/>
  </w:num>
  <w:num w:numId="41">
    <w:abstractNumId w:val="33"/>
  </w:num>
  <w:num w:numId="42">
    <w:abstractNumId w:val="8"/>
  </w:num>
  <w:num w:numId="43">
    <w:abstractNumId w:val="30"/>
  </w:num>
  <w:num w:numId="44">
    <w:abstractNumId w:val="5"/>
  </w:num>
  <w:num w:numId="45">
    <w:abstractNumId w:val="13"/>
  </w:num>
  <w:num w:numId="46">
    <w:abstractNumId w:val="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hyphenationZone w:val="425"/>
  <w:evenAndOddHeaders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BD"/>
    <w:rsid w:val="000126B9"/>
    <w:rsid w:val="000221B7"/>
    <w:rsid w:val="0004209F"/>
    <w:rsid w:val="00064A79"/>
    <w:rsid w:val="000711E1"/>
    <w:rsid w:val="000A5550"/>
    <w:rsid w:val="000B6666"/>
    <w:rsid w:val="000D2067"/>
    <w:rsid w:val="000D2CED"/>
    <w:rsid w:val="000F63AB"/>
    <w:rsid w:val="000F7582"/>
    <w:rsid w:val="00115251"/>
    <w:rsid w:val="00120C05"/>
    <w:rsid w:val="00122915"/>
    <w:rsid w:val="0012633E"/>
    <w:rsid w:val="001430F1"/>
    <w:rsid w:val="001437D7"/>
    <w:rsid w:val="00166273"/>
    <w:rsid w:val="001665B1"/>
    <w:rsid w:val="00167591"/>
    <w:rsid w:val="00171D9B"/>
    <w:rsid w:val="00197815"/>
    <w:rsid w:val="001C0E64"/>
    <w:rsid w:val="001E0C9F"/>
    <w:rsid w:val="001F7651"/>
    <w:rsid w:val="0021283D"/>
    <w:rsid w:val="00241C94"/>
    <w:rsid w:val="00253318"/>
    <w:rsid w:val="00263397"/>
    <w:rsid w:val="00270BD7"/>
    <w:rsid w:val="00285D65"/>
    <w:rsid w:val="00293EBD"/>
    <w:rsid w:val="002A353F"/>
    <w:rsid w:val="002C67AF"/>
    <w:rsid w:val="002D7C9C"/>
    <w:rsid w:val="003146C7"/>
    <w:rsid w:val="00322A68"/>
    <w:rsid w:val="003307A1"/>
    <w:rsid w:val="00334E31"/>
    <w:rsid w:val="00381BBE"/>
    <w:rsid w:val="00390D6A"/>
    <w:rsid w:val="003C0AFA"/>
    <w:rsid w:val="003C7C0C"/>
    <w:rsid w:val="003F161C"/>
    <w:rsid w:val="003F2D5A"/>
    <w:rsid w:val="003F738D"/>
    <w:rsid w:val="0045572E"/>
    <w:rsid w:val="004730BD"/>
    <w:rsid w:val="00487C37"/>
    <w:rsid w:val="004A4369"/>
    <w:rsid w:val="004C053D"/>
    <w:rsid w:val="004D104B"/>
    <w:rsid w:val="004E5707"/>
    <w:rsid w:val="00505692"/>
    <w:rsid w:val="00507EC3"/>
    <w:rsid w:val="00515890"/>
    <w:rsid w:val="0055067E"/>
    <w:rsid w:val="00572AB8"/>
    <w:rsid w:val="00590085"/>
    <w:rsid w:val="005902A9"/>
    <w:rsid w:val="005930CD"/>
    <w:rsid w:val="005975F1"/>
    <w:rsid w:val="005975FD"/>
    <w:rsid w:val="0059775D"/>
    <w:rsid w:val="005A0524"/>
    <w:rsid w:val="005C190F"/>
    <w:rsid w:val="005C58CE"/>
    <w:rsid w:val="005C6DEE"/>
    <w:rsid w:val="005D5CE7"/>
    <w:rsid w:val="005D7EC5"/>
    <w:rsid w:val="005E77AA"/>
    <w:rsid w:val="005F4BA7"/>
    <w:rsid w:val="0060135B"/>
    <w:rsid w:val="0061595A"/>
    <w:rsid w:val="00643DA1"/>
    <w:rsid w:val="006507F2"/>
    <w:rsid w:val="00657701"/>
    <w:rsid w:val="00661E8B"/>
    <w:rsid w:val="00670A70"/>
    <w:rsid w:val="00686C64"/>
    <w:rsid w:val="006A4D9B"/>
    <w:rsid w:val="006C6009"/>
    <w:rsid w:val="006E2432"/>
    <w:rsid w:val="006F3F7F"/>
    <w:rsid w:val="0071461E"/>
    <w:rsid w:val="00727833"/>
    <w:rsid w:val="00727994"/>
    <w:rsid w:val="00730AE3"/>
    <w:rsid w:val="00731AB7"/>
    <w:rsid w:val="00736BC2"/>
    <w:rsid w:val="00762AFE"/>
    <w:rsid w:val="00765F48"/>
    <w:rsid w:val="007758D2"/>
    <w:rsid w:val="0079325E"/>
    <w:rsid w:val="007B1F06"/>
    <w:rsid w:val="007B74F8"/>
    <w:rsid w:val="007D7464"/>
    <w:rsid w:val="007E0852"/>
    <w:rsid w:val="007E1FEE"/>
    <w:rsid w:val="007E6F89"/>
    <w:rsid w:val="008033E6"/>
    <w:rsid w:val="00841BD3"/>
    <w:rsid w:val="008466F8"/>
    <w:rsid w:val="00861B6F"/>
    <w:rsid w:val="00862D66"/>
    <w:rsid w:val="00862EF0"/>
    <w:rsid w:val="0086462E"/>
    <w:rsid w:val="008747C1"/>
    <w:rsid w:val="00930A07"/>
    <w:rsid w:val="00964D96"/>
    <w:rsid w:val="009B5348"/>
    <w:rsid w:val="009C3913"/>
    <w:rsid w:val="009D1C2E"/>
    <w:rsid w:val="00A20858"/>
    <w:rsid w:val="00A50E33"/>
    <w:rsid w:val="00A63C12"/>
    <w:rsid w:val="00A953C9"/>
    <w:rsid w:val="00AB40F9"/>
    <w:rsid w:val="00AB558E"/>
    <w:rsid w:val="00AD4B6C"/>
    <w:rsid w:val="00AD7B81"/>
    <w:rsid w:val="00AE2F44"/>
    <w:rsid w:val="00AF1A3B"/>
    <w:rsid w:val="00B227B6"/>
    <w:rsid w:val="00B41D46"/>
    <w:rsid w:val="00B44FFB"/>
    <w:rsid w:val="00B5583F"/>
    <w:rsid w:val="00B6429F"/>
    <w:rsid w:val="00BA1498"/>
    <w:rsid w:val="00BD4880"/>
    <w:rsid w:val="00BE2587"/>
    <w:rsid w:val="00C07BCB"/>
    <w:rsid w:val="00C255EC"/>
    <w:rsid w:val="00C31FC0"/>
    <w:rsid w:val="00C374F5"/>
    <w:rsid w:val="00C63402"/>
    <w:rsid w:val="00C65035"/>
    <w:rsid w:val="00C8695C"/>
    <w:rsid w:val="00C907F6"/>
    <w:rsid w:val="00CA4407"/>
    <w:rsid w:val="00CE0CD6"/>
    <w:rsid w:val="00D1164C"/>
    <w:rsid w:val="00D32EC1"/>
    <w:rsid w:val="00D33E45"/>
    <w:rsid w:val="00D9301D"/>
    <w:rsid w:val="00D93064"/>
    <w:rsid w:val="00DB2B9F"/>
    <w:rsid w:val="00DB77E9"/>
    <w:rsid w:val="00DE4710"/>
    <w:rsid w:val="00DE74BD"/>
    <w:rsid w:val="00DF4834"/>
    <w:rsid w:val="00E165C6"/>
    <w:rsid w:val="00E21A76"/>
    <w:rsid w:val="00E3741B"/>
    <w:rsid w:val="00E50DD7"/>
    <w:rsid w:val="00E67B5D"/>
    <w:rsid w:val="00E96374"/>
    <w:rsid w:val="00EA7525"/>
    <w:rsid w:val="00EC1948"/>
    <w:rsid w:val="00EC198F"/>
    <w:rsid w:val="00EE51DB"/>
    <w:rsid w:val="00F15384"/>
    <w:rsid w:val="00F370A6"/>
    <w:rsid w:val="00F44C86"/>
    <w:rsid w:val="00F52126"/>
    <w:rsid w:val="00F85EF5"/>
    <w:rsid w:val="00F966A5"/>
    <w:rsid w:val="00FB131E"/>
    <w:rsid w:val="00FB7C32"/>
    <w:rsid w:val="00FE4291"/>
    <w:rsid w:val="00FE5C55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91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uiPriority w:val="99"/>
    <w:pPr>
      <w:numPr>
        <w:numId w:val="6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qFormat/>
    <w:pPr>
      <w:keepLines/>
      <w:spacing w:after="60"/>
      <w:ind w:firstLine="720"/>
    </w:pPr>
    <w:rPr>
      <w:sz w:val="18"/>
    </w:rPr>
  </w:style>
  <w:style w:type="paragraph" w:styleId="BodyText">
    <w:name w:val="Body Text"/>
    <w:aliases w:val=" Car"/>
    <w:basedOn w:val="Normal"/>
    <w:link w:val="BodyTextChar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styleId="PlaceholderText">
    <w:name w:val="Placeholder Text"/>
    <w:basedOn w:val="DefaultParagraphFont"/>
    <w:uiPriority w:val="99"/>
    <w:semiHidden/>
    <w:rsid w:val="005A0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24"/>
    <w:rPr>
      <w:rFonts w:ascii="Tahoma" w:hAnsi="Tahoma" w:cs="Tahoma"/>
      <w:sz w:val="16"/>
      <w:szCs w:val="16"/>
      <w:lang w:val="en-GB"/>
    </w:rPr>
  </w:style>
  <w:style w:type="paragraph" w:customStyle="1" w:styleId="Para2rev">
    <w:name w:val="Para 2 (rev)"/>
    <w:basedOn w:val="Normal"/>
    <w:rsid w:val="005975FD"/>
    <w:pPr>
      <w:tabs>
        <w:tab w:val="num" w:pos="720"/>
      </w:tabs>
      <w:spacing w:after="120"/>
      <w:ind w:firstLine="720"/>
    </w:pPr>
  </w:style>
  <w:style w:type="character" w:customStyle="1" w:styleId="BodyTextChar">
    <w:name w:val="Body Text Char"/>
    <w:aliases w:val=" Car Char"/>
    <w:link w:val="BodyText"/>
    <w:rsid w:val="005975FD"/>
    <w:rPr>
      <w:i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975F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643DA1"/>
    <w:rPr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9F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9F"/>
    <w:rPr>
      <w:b/>
      <w:bCs/>
      <w:sz w:val="22"/>
      <w:szCs w:val="24"/>
      <w:lang w:val="en-GB"/>
    </w:rPr>
  </w:style>
  <w:style w:type="character" w:styleId="Hyperlink">
    <w:name w:val="Hyperlink"/>
    <w:rsid w:val="007D7464"/>
    <w:rPr>
      <w:color w:val="0000FF"/>
      <w:u w:val="single"/>
    </w:rPr>
  </w:style>
  <w:style w:type="character" w:customStyle="1" w:styleId="Heading2Char">
    <w:name w:val="Heading 2 Char"/>
    <w:link w:val="Heading2"/>
    <w:rsid w:val="007D7464"/>
    <w:rPr>
      <w:b/>
      <w:bCs/>
      <w:i/>
      <w:iCs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3C0AFA"/>
    <w:rPr>
      <w:rFonts w:asciiTheme="minorHAnsi" w:eastAsiaTheme="minorEastAsia" w:hAnsiTheme="minorHAnsi" w:cstheme="minorBidi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/>
    <w:lsdException w:name="heading 8" w:semiHidden="0" w:uiPriority="9" w:unhideWhenUsed="0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semiHidden="0" w:uiPriority="35" w:unhideWhenUsed="0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Simple 2" w:locked="1"/>
    <w:lsdException w:name="Table Simple 3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3D"/>
    <w:pPr>
      <w:jc w:val="both"/>
    </w:pPr>
    <w:rPr>
      <w:sz w:val="22"/>
      <w:szCs w:val="24"/>
      <w:lang w:val="en-GB"/>
    </w:rPr>
  </w:style>
  <w:style w:type="paragraph" w:styleId="Heading1">
    <w:name w:val="heading 1"/>
    <w:basedOn w:val="Normal"/>
    <w:next w:val="Heading2"/>
    <w:qFormat/>
    <w:pPr>
      <w:keepNext/>
      <w:tabs>
        <w:tab w:val="left" w:pos="720"/>
      </w:tabs>
      <w:spacing w:before="240" w:after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pos="567"/>
      </w:tabs>
      <w:spacing w:before="120" w:after="120"/>
      <w:jc w:val="center"/>
      <w:outlineLvl w:val="2"/>
    </w:pPr>
    <w:rPr>
      <w:i/>
      <w:iCs/>
    </w:rPr>
  </w:style>
  <w:style w:type="paragraph" w:styleId="Heading4">
    <w:name w:val="heading 4"/>
    <w:basedOn w:val="Normal"/>
    <w:qFormat/>
    <w:pPr>
      <w:keepNext/>
      <w:spacing w:before="120" w:after="120"/>
      <w:outlineLvl w:val="3"/>
    </w:pPr>
    <w:rPr>
      <w:rFonts w:ascii="Times New Roman Bold" w:eastAsia="Arial Unicode MS" w:hAnsi="Times New Roman Bold" w:cs="Arial"/>
      <w:b/>
      <w:bCs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5"/>
      </w:numPr>
      <w:spacing w:before="120" w:after="120"/>
      <w:jc w:val="left"/>
      <w:outlineLvl w:val="4"/>
    </w:pPr>
    <w:rPr>
      <w:bCs/>
      <w:i/>
      <w:szCs w:val="26"/>
      <w:lang w:val="en-CA"/>
    </w:rPr>
  </w:style>
  <w:style w:type="paragraph" w:styleId="Heading6">
    <w:name w:val="heading 6"/>
    <w:basedOn w:val="Normal"/>
    <w:next w:val="Normal"/>
    <w:qFormat/>
    <w:pPr>
      <w:keepNext/>
      <w:spacing w:after="240" w:line="240" w:lineRule="exact"/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pPr>
      <w:keepNext/>
      <w:jc w:val="right"/>
      <w:outlineLvl w:val="6"/>
    </w:pPr>
    <w:rPr>
      <w:rFonts w:ascii="Univers" w:hAnsi="Univers"/>
      <w:b/>
      <w:sz w:val="28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Univers" w:hAnsi="Univers"/>
      <w:b/>
      <w:sz w:val="32"/>
    </w:rPr>
  </w:style>
  <w:style w:type="paragraph" w:styleId="Heading9">
    <w:name w:val="heading 9"/>
    <w:basedOn w:val="Normal"/>
    <w:next w:val="Normal"/>
    <w:pPr>
      <w:keepNext/>
      <w:spacing w:before="100" w:beforeAutospacing="1" w:after="1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ind w:firstLine="720"/>
      <w:jc w:val="right"/>
    </w:pPr>
  </w:style>
  <w:style w:type="paragraph" w:customStyle="1" w:styleId="Para1">
    <w:name w:val="Para1"/>
    <w:basedOn w:val="Normal"/>
    <w:uiPriority w:val="99"/>
    <w:pPr>
      <w:numPr>
        <w:numId w:val="6"/>
      </w:numPr>
      <w:spacing w:before="120" w:after="120"/>
    </w:pPr>
    <w:rPr>
      <w:snapToGrid w:val="0"/>
      <w:szCs w:val="18"/>
    </w:rPr>
  </w:style>
  <w:style w:type="paragraph" w:styleId="FootnoteText">
    <w:name w:val="footnote text"/>
    <w:aliases w:val="fn,Geneva 9,Font: Geneva 9,Boston 10,f,ft,Fotnotstext Char,ft Char,single space,footnote text,FOOTNOTES,ADB,single space1,footnote text1,FOOTNOTES1,fn1,ADB1,single space2,footnote text2,FOOTNOTES2,fn2,ADB2,single space3,footnote text3,fn3"/>
    <w:basedOn w:val="Normal"/>
    <w:qFormat/>
    <w:pPr>
      <w:keepLines/>
      <w:spacing w:after="60"/>
      <w:ind w:firstLine="720"/>
    </w:pPr>
    <w:rPr>
      <w:sz w:val="18"/>
    </w:rPr>
  </w:style>
  <w:style w:type="paragraph" w:styleId="BodyText">
    <w:name w:val="Body Text"/>
    <w:aliases w:val=" Car"/>
    <w:basedOn w:val="Normal"/>
    <w:link w:val="BodyTextChar"/>
    <w:pPr>
      <w:spacing w:before="120" w:after="120"/>
      <w:ind w:firstLine="720"/>
    </w:pPr>
    <w:rPr>
      <w:iCs/>
    </w:rPr>
  </w:style>
  <w:style w:type="character" w:customStyle="1" w:styleId="StyleFootnoteReferenceNounderline">
    <w:name w:val="Style Footnote Reference + No underline"/>
    <w:rsid w:val="006507F2"/>
    <w:rPr>
      <w:sz w:val="18"/>
      <w:u w:val="none"/>
      <w:vertAlign w:val="baseline"/>
    </w:rPr>
  </w:style>
  <w:style w:type="paragraph" w:customStyle="1" w:styleId="Quotationtextindented">
    <w:name w:val="Quotation text (indented)"/>
    <w:basedOn w:val="Normal"/>
    <w:qFormat/>
    <w:rsid w:val="006507F2"/>
    <w:pPr>
      <w:spacing w:before="120" w:after="120"/>
      <w:ind w:left="720" w:right="720"/>
    </w:pPr>
    <w:rPr>
      <w:bCs/>
    </w:rPr>
  </w:style>
  <w:style w:type="paragraph" w:customStyle="1" w:styleId="recommendationheader">
    <w:name w:val="recommendation header"/>
    <w:basedOn w:val="Heading2"/>
    <w:qFormat/>
    <w:rsid w:val="006507F2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uiPriority w:val="99"/>
    <w:pPr>
      <w:spacing w:after="120" w:line="240" w:lineRule="exact"/>
    </w:pPr>
  </w:style>
  <w:style w:type="character" w:styleId="FootnoteReference">
    <w:name w:val="footnote reference"/>
    <w:aliases w:val="number,Footnote Reference Superscript,-E Fußnotenzeichen,(Diplomarbeit FZ),(Diplomarbeit FZ)1,(Diplomarbeit FZ)2,(Diplomarbeit FZ)3,(Diplomarbeit FZ)4,(Diplomarbeit FZ)5,(Diplomarbeit FZ)6,(Diplomarbeit FZ)7,(Diplomarbeit FZ)8,16 Poin"/>
    <w:uiPriority w:val="99"/>
    <w:qFormat/>
    <w:rPr>
      <w:sz w:val="18"/>
      <w:u w:val="single"/>
      <w:vertAlign w:val="baseline"/>
    </w:rPr>
  </w:style>
  <w:style w:type="paragraph" w:styleId="BodyTextIndent">
    <w:name w:val="Body Text Indent"/>
    <w:basedOn w:val="Normal"/>
    <w:pPr>
      <w:spacing w:before="120" w:after="120"/>
      <w:ind w:left="1440" w:hanging="720"/>
      <w:jc w:val="left"/>
    </w:pPr>
  </w:style>
  <w:style w:type="character" w:styleId="PageNumber">
    <w:name w:val="page number"/>
    <w:rPr>
      <w:rFonts w:ascii="Times New Roman" w:hAnsi="Times New Roman"/>
      <w:sz w:val="22"/>
    </w:rPr>
  </w:style>
  <w:style w:type="paragraph" w:customStyle="1" w:styleId="HEADING">
    <w:name w:val="HEADING"/>
    <w:basedOn w:val="Normal"/>
    <w:pPr>
      <w:keepNext/>
      <w:spacing w:before="240" w:after="120"/>
      <w:jc w:val="center"/>
    </w:pPr>
    <w:rPr>
      <w:b/>
      <w:bCs/>
      <w:caps/>
    </w:rPr>
  </w:style>
  <w:style w:type="paragraph" w:customStyle="1" w:styleId="para4">
    <w:name w:val="para4"/>
    <w:basedOn w:val="Normal"/>
    <w:pPr>
      <w:numPr>
        <w:ilvl w:val="3"/>
        <w:numId w:val="10"/>
      </w:numPr>
      <w:overflowPunct w:val="0"/>
      <w:autoSpaceDE w:val="0"/>
      <w:autoSpaceDN w:val="0"/>
      <w:adjustRightInd w:val="0"/>
      <w:spacing w:after="120" w:line="240" w:lineRule="atLeast"/>
      <w:textAlignment w:val="baseline"/>
    </w:pPr>
    <w:rPr>
      <w:rFonts w:ascii="Courier" w:hAnsi="Courier"/>
      <w:color w:val="000000"/>
      <w:sz w:val="20"/>
      <w:szCs w:val="20"/>
    </w:rPr>
  </w:style>
  <w:style w:type="paragraph" w:customStyle="1" w:styleId="Heading4indent">
    <w:name w:val="Heading 4 indent"/>
    <w:basedOn w:val="Heading4"/>
    <w:rsid w:val="000F63AB"/>
    <w:pPr>
      <w:ind w:left="720"/>
      <w:outlineLvl w:val="9"/>
    </w:pPr>
    <w:rPr>
      <w:rFonts w:ascii="Times New Roman" w:hAnsi="Times New Roman"/>
    </w:rPr>
  </w:style>
  <w:style w:type="paragraph" w:customStyle="1" w:styleId="Cornernotation">
    <w:name w:val="Corner notation"/>
    <w:basedOn w:val="Normal"/>
    <w:rsid w:val="0012633E"/>
    <w:pPr>
      <w:ind w:left="170" w:right="4540" w:hanging="170"/>
      <w:jc w:val="left"/>
    </w:pPr>
  </w:style>
  <w:style w:type="paragraph" w:customStyle="1" w:styleId="Para3">
    <w:name w:val="Para3"/>
    <w:basedOn w:val="Normal"/>
    <w:pPr>
      <w:numPr>
        <w:ilvl w:val="2"/>
        <w:numId w:val="9"/>
      </w:numPr>
      <w:tabs>
        <w:tab w:val="left" w:pos="1980"/>
      </w:tabs>
      <w:spacing w:before="80" w:after="80"/>
    </w:pPr>
    <w:rPr>
      <w:szCs w:val="20"/>
    </w:rPr>
  </w:style>
  <w:style w:type="paragraph" w:customStyle="1" w:styleId="recommendationheaderlong">
    <w:name w:val="recommendation header long"/>
    <w:basedOn w:val="Heading2longmultiline"/>
    <w:qFormat/>
    <w:rsid w:val="000F63AB"/>
  </w:style>
  <w:style w:type="paragraph" w:customStyle="1" w:styleId="tabletitle">
    <w:name w:val="table title"/>
    <w:basedOn w:val="Heading2"/>
    <w:qFormat/>
    <w:rsid w:val="000F63AB"/>
    <w:pPr>
      <w:jc w:val="left"/>
      <w:outlineLvl w:val="9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9">
    <w:name w:val="toc 9"/>
    <w:basedOn w:val="Normal"/>
    <w:next w:val="Normal"/>
    <w:autoRedefine/>
    <w:semiHidden/>
    <w:pPr>
      <w:spacing w:before="120" w:after="120"/>
      <w:ind w:left="1760"/>
      <w:jc w:val="left"/>
    </w:pPr>
  </w:style>
  <w:style w:type="paragraph" w:styleId="TOC1">
    <w:name w:val="toc 1"/>
    <w:basedOn w:val="Normal"/>
    <w:next w:val="Normal"/>
    <w:autoRedefine/>
    <w:semiHidden/>
    <w:pPr>
      <w:ind w:left="720" w:hanging="720"/>
    </w:pPr>
    <w:rPr>
      <w:caps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56"/>
      </w:tabs>
      <w:ind w:left="1440" w:hanging="720"/>
    </w:pPr>
    <w:rPr>
      <w:noProof/>
      <w:szCs w:val="22"/>
    </w:rPr>
  </w:style>
  <w:style w:type="paragraph" w:styleId="TOC3">
    <w:name w:val="toc 3"/>
    <w:basedOn w:val="Normal"/>
    <w:next w:val="Normal"/>
    <w:autoRedefine/>
    <w:semiHidden/>
    <w:pPr>
      <w:ind w:left="2160" w:hanging="720"/>
    </w:pPr>
  </w:style>
  <w:style w:type="paragraph" w:styleId="TOC4">
    <w:name w:val="toc 4"/>
    <w:basedOn w:val="Normal"/>
    <w:next w:val="Normal"/>
    <w:autoRedefine/>
    <w:semiHidden/>
    <w:pPr>
      <w:spacing w:before="120" w:after="120"/>
      <w:ind w:left="660"/>
      <w:jc w:val="left"/>
    </w:pPr>
  </w:style>
  <w:style w:type="paragraph" w:styleId="TOC5">
    <w:name w:val="toc 5"/>
    <w:basedOn w:val="Normal"/>
    <w:next w:val="Normal"/>
    <w:autoRedefine/>
    <w:semiHidden/>
    <w:pPr>
      <w:spacing w:before="120" w:after="120"/>
      <w:ind w:left="880"/>
      <w:jc w:val="left"/>
    </w:pPr>
  </w:style>
  <w:style w:type="paragraph" w:styleId="TOC6">
    <w:name w:val="toc 6"/>
    <w:basedOn w:val="Normal"/>
    <w:next w:val="Normal"/>
    <w:autoRedefine/>
    <w:semiHidden/>
    <w:pPr>
      <w:spacing w:before="120" w:after="120"/>
      <w:ind w:left="1100"/>
      <w:jc w:val="left"/>
    </w:pPr>
  </w:style>
  <w:style w:type="paragraph" w:styleId="TOC7">
    <w:name w:val="toc 7"/>
    <w:basedOn w:val="Normal"/>
    <w:next w:val="Normal"/>
    <w:autoRedefine/>
    <w:semiHidden/>
    <w:pPr>
      <w:spacing w:before="120" w:after="120"/>
      <w:ind w:left="1320"/>
      <w:jc w:val="left"/>
    </w:pPr>
  </w:style>
  <w:style w:type="paragraph" w:styleId="TOC8">
    <w:name w:val="toc 8"/>
    <w:basedOn w:val="Normal"/>
    <w:next w:val="Normal"/>
    <w:autoRedefine/>
    <w:semiHidden/>
    <w:pPr>
      <w:spacing w:before="120" w:after="120"/>
      <w:ind w:left="1540"/>
      <w:jc w:val="left"/>
    </w:pPr>
  </w:style>
  <w:style w:type="paragraph" w:customStyle="1" w:styleId="reference">
    <w:name w:val="reference"/>
    <w:basedOn w:val="Heading9"/>
    <w:qFormat/>
    <w:rsid w:val="000F63AB"/>
    <w:rPr>
      <w:i w:val="0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62D66"/>
    <w:pPr>
      <w:spacing w:after="120" w:line="480" w:lineRule="auto"/>
    </w:pPr>
  </w:style>
  <w:style w:type="paragraph" w:customStyle="1" w:styleId="Para2">
    <w:name w:val="Para2"/>
    <w:basedOn w:val="Para1"/>
    <w:pPr>
      <w:numPr>
        <w:numId w:val="7"/>
      </w:numPr>
      <w:tabs>
        <w:tab w:val="clear" w:pos="1080"/>
      </w:tabs>
      <w:autoSpaceDE w:val="0"/>
      <w:autoSpaceDN w:val="0"/>
      <w:ind w:left="0" w:firstLine="720"/>
    </w:pPr>
  </w:style>
  <w:style w:type="paragraph" w:customStyle="1" w:styleId="Para-decision">
    <w:name w:val="Para-decision"/>
    <w:basedOn w:val="Normal"/>
    <w:rsid w:val="007E6F89"/>
    <w:pPr>
      <w:tabs>
        <w:tab w:val="left" w:pos="-1440"/>
        <w:tab w:val="left" w:pos="-720"/>
        <w:tab w:val="left" w:pos="0"/>
        <w:tab w:val="left" w:pos="720"/>
        <w:tab w:val="left" w:pos="1440"/>
      </w:tabs>
      <w:suppressAutoHyphens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color w:val="000000"/>
    </w:rPr>
  </w:style>
  <w:style w:type="character" w:customStyle="1" w:styleId="BodyText2Char">
    <w:name w:val="Body Text 2 Char"/>
    <w:link w:val="BodyText2"/>
    <w:uiPriority w:val="99"/>
    <w:semiHidden/>
    <w:rsid w:val="00862D66"/>
    <w:rPr>
      <w:sz w:val="22"/>
      <w:szCs w:val="24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</w:rPr>
  </w:style>
  <w:style w:type="paragraph" w:customStyle="1" w:styleId="Heading1longmultiline">
    <w:name w:val="Heading 1 (long multiline)"/>
    <w:basedOn w:val="Heading1"/>
    <w:pPr>
      <w:ind w:left="1843" w:hanging="1134"/>
      <w:jc w:val="left"/>
    </w:pPr>
  </w:style>
  <w:style w:type="paragraph" w:customStyle="1" w:styleId="Heading1multiline">
    <w:name w:val="Heading 1 (multiline)"/>
    <w:basedOn w:val="Heading1"/>
    <w:pPr>
      <w:ind w:left="1843" w:right="996" w:hanging="567"/>
      <w:jc w:val="left"/>
    </w:pPr>
  </w:style>
  <w:style w:type="paragraph" w:customStyle="1" w:styleId="Heading2multiline">
    <w:name w:val="Heading 2 (multiline)"/>
    <w:basedOn w:val="Heading1"/>
    <w:next w:val="Para1"/>
    <w:pPr>
      <w:spacing w:before="120"/>
      <w:ind w:left="1843" w:right="998" w:hanging="567"/>
      <w:jc w:val="left"/>
    </w:pPr>
    <w:rPr>
      <w:i/>
      <w:iCs/>
      <w:caps w:val="0"/>
    </w:rPr>
  </w:style>
  <w:style w:type="paragraph" w:customStyle="1" w:styleId="Heading2longmultiline">
    <w:name w:val="Heading 2 (long multiline)"/>
    <w:basedOn w:val="Heading2multiline"/>
    <w:pPr>
      <w:ind w:left="2127" w:hanging="1276"/>
    </w:pPr>
  </w:style>
  <w:style w:type="paragraph" w:customStyle="1" w:styleId="Heading3multiline">
    <w:name w:val="Heading 3 (multiline)"/>
    <w:basedOn w:val="Heading3"/>
    <w:next w:val="Para1"/>
    <w:pPr>
      <w:ind w:left="1418" w:hanging="425"/>
      <w:jc w:val="left"/>
    </w:pPr>
  </w:style>
  <w:style w:type="paragraph" w:customStyle="1" w:styleId="heading2notforTOC">
    <w:name w:val="heading 2 not for TOC"/>
    <w:basedOn w:val="Heading3"/>
    <w:rsid w:val="00A71706"/>
  </w:style>
  <w:style w:type="paragraph" w:customStyle="1" w:styleId="HEADINGNOTFORTOC">
    <w:name w:val="HEADING (NOT FOR TOC)"/>
    <w:basedOn w:val="Heading1"/>
    <w:next w:val="Heading2"/>
    <w:rsid w:val="00BB5903"/>
  </w:style>
  <w:style w:type="character" w:styleId="PlaceholderText">
    <w:name w:val="Placeholder Text"/>
    <w:basedOn w:val="DefaultParagraphFont"/>
    <w:uiPriority w:val="99"/>
    <w:semiHidden/>
    <w:rsid w:val="005A0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24"/>
    <w:rPr>
      <w:rFonts w:ascii="Tahoma" w:hAnsi="Tahoma" w:cs="Tahoma"/>
      <w:sz w:val="16"/>
      <w:szCs w:val="16"/>
      <w:lang w:val="en-GB"/>
    </w:rPr>
  </w:style>
  <w:style w:type="paragraph" w:customStyle="1" w:styleId="Para2rev">
    <w:name w:val="Para 2 (rev)"/>
    <w:basedOn w:val="Normal"/>
    <w:rsid w:val="005975FD"/>
    <w:pPr>
      <w:tabs>
        <w:tab w:val="num" w:pos="720"/>
      </w:tabs>
      <w:spacing w:after="120"/>
      <w:ind w:firstLine="720"/>
    </w:pPr>
  </w:style>
  <w:style w:type="character" w:customStyle="1" w:styleId="BodyTextChar">
    <w:name w:val="Body Text Char"/>
    <w:aliases w:val=" Car Char"/>
    <w:link w:val="BodyText"/>
    <w:rsid w:val="005975FD"/>
    <w:rPr>
      <w:iCs/>
      <w:sz w:val="22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975FD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rsid w:val="00643DA1"/>
    <w:rPr>
      <w:sz w:val="22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29F"/>
    <w:pPr>
      <w:spacing w:after="0"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29F"/>
    <w:rPr>
      <w:b/>
      <w:bCs/>
      <w:sz w:val="22"/>
      <w:szCs w:val="24"/>
      <w:lang w:val="en-GB"/>
    </w:rPr>
  </w:style>
  <w:style w:type="character" w:styleId="Hyperlink">
    <w:name w:val="Hyperlink"/>
    <w:rsid w:val="007D7464"/>
    <w:rPr>
      <w:color w:val="0000FF"/>
      <w:u w:val="single"/>
    </w:rPr>
  </w:style>
  <w:style w:type="character" w:customStyle="1" w:styleId="Heading2Char">
    <w:name w:val="Heading 2 Char"/>
    <w:link w:val="Heading2"/>
    <w:rsid w:val="007D7464"/>
    <w:rPr>
      <w:b/>
      <w:bCs/>
      <w:i/>
      <w:iCs/>
      <w:sz w:val="22"/>
      <w:szCs w:val="24"/>
      <w:lang w:val="en-GB"/>
    </w:rPr>
  </w:style>
  <w:style w:type="table" w:styleId="TableGrid">
    <w:name w:val="Table Grid"/>
    <w:basedOn w:val="TableNormal"/>
    <w:uiPriority w:val="59"/>
    <w:rsid w:val="003C0AFA"/>
    <w:rPr>
      <w:rFonts w:asciiTheme="minorHAnsi" w:eastAsiaTheme="minorEastAsia" w:hAnsiTheme="minorHAnsi" w:cstheme="minorBidi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bd.int/doc/decisions/cop-13/cop-13-dec-27-fr.doc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d.int/doc/decisions/cop-11/cop-11-dec-02-fr.doc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5" Type="http://schemas.openxmlformats.org/officeDocument/2006/relationships/hyperlink" Target="https://www.cbd.int/doc/decisions/cop-13/cop-13-dec-27-fr.doc" TargetMode="Externa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www.cbd.int/doc/decisions/cop-13/cop-13-dec-29-fr.do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bd.int/doc/decisions/cop-10/cop-10-dec-02-fr.pdf" TargetMode="External"/><Relationship Id="rId2" Type="http://schemas.openxmlformats.org/officeDocument/2006/relationships/hyperlink" Target="http://www.cbd.int/doc/decisions/cop-10/cop-10-dec-02-fr.pdf" TargetMode="External"/><Relationship Id="rId1" Type="http://schemas.openxmlformats.org/officeDocument/2006/relationships/hyperlink" Target="https://www.cbd.int/meetings/SBSTTA-2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orking%20Folders\Conference%20&amp;%20Editorial%20Services\NEW%20U\Documents\2014\SBSTTA-18\template-sbstta-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727BDD9A02490FA54B79B5E519F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511FE-11D5-4B03-99DD-F5E142FE9B1E}"/>
      </w:docPartPr>
      <w:docPartBody>
        <w:p w:rsidR="00284D29" w:rsidRDefault="008A7114" w:rsidP="008A7114">
          <w:pPr>
            <w:pStyle w:val="86727BDD9A02490FA54B79B5E519FD24"/>
          </w:pPr>
          <w:r w:rsidRPr="007E02EB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90"/>
    <w:rsid w:val="00091C7D"/>
    <w:rsid w:val="001D5F66"/>
    <w:rsid w:val="00284D29"/>
    <w:rsid w:val="0029681D"/>
    <w:rsid w:val="00445638"/>
    <w:rsid w:val="00692345"/>
    <w:rsid w:val="00715690"/>
    <w:rsid w:val="00772E55"/>
    <w:rsid w:val="008A7114"/>
    <w:rsid w:val="00A504AA"/>
    <w:rsid w:val="00B56E9D"/>
    <w:rsid w:val="00B7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114"/>
    <w:rPr>
      <w:color w:val="808080"/>
    </w:rPr>
  </w:style>
  <w:style w:type="paragraph" w:customStyle="1" w:styleId="2591C8399F7F4F1BBE42C6F65EAFFA94">
    <w:name w:val="2591C8399F7F4F1BBE42C6F65EAFFA94"/>
    <w:rsid w:val="0029681D"/>
    <w:rPr>
      <w:lang w:val="en-CA" w:eastAsia="en-CA"/>
    </w:rPr>
  </w:style>
  <w:style w:type="paragraph" w:customStyle="1" w:styleId="E737B0E3A5294810ACE891281EC626D8">
    <w:name w:val="E737B0E3A5294810ACE891281EC626D8"/>
    <w:rsid w:val="008A7114"/>
    <w:pPr>
      <w:spacing w:after="160" w:line="259" w:lineRule="auto"/>
    </w:pPr>
  </w:style>
  <w:style w:type="paragraph" w:customStyle="1" w:styleId="86727BDD9A02490FA54B79B5E519FD24">
    <w:name w:val="86727BDD9A02490FA54B79B5E519FD24"/>
    <w:rsid w:val="008A7114"/>
    <w:pPr>
      <w:spacing w:after="160" w:line="259" w:lineRule="auto"/>
    </w:pPr>
  </w:style>
  <w:style w:type="paragraph" w:customStyle="1" w:styleId="BAF719C7665B41C5B1668BAC3A8BBC77">
    <w:name w:val="BAF719C7665B41C5B1668BAC3A8BBC77"/>
    <w:rsid w:val="008A7114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114"/>
    <w:rPr>
      <w:color w:val="808080"/>
    </w:rPr>
  </w:style>
  <w:style w:type="paragraph" w:customStyle="1" w:styleId="2591C8399F7F4F1BBE42C6F65EAFFA94">
    <w:name w:val="2591C8399F7F4F1BBE42C6F65EAFFA94"/>
    <w:rsid w:val="0029681D"/>
    <w:rPr>
      <w:lang w:val="en-CA" w:eastAsia="en-CA"/>
    </w:rPr>
  </w:style>
  <w:style w:type="paragraph" w:customStyle="1" w:styleId="E737B0E3A5294810ACE891281EC626D8">
    <w:name w:val="E737B0E3A5294810ACE891281EC626D8"/>
    <w:rsid w:val="008A7114"/>
    <w:pPr>
      <w:spacing w:after="160" w:line="259" w:lineRule="auto"/>
    </w:pPr>
  </w:style>
  <w:style w:type="paragraph" w:customStyle="1" w:styleId="86727BDD9A02490FA54B79B5E519FD24">
    <w:name w:val="86727BDD9A02490FA54B79B5E519FD24"/>
    <w:rsid w:val="008A7114"/>
    <w:pPr>
      <w:spacing w:after="160" w:line="259" w:lineRule="auto"/>
    </w:pPr>
  </w:style>
  <w:style w:type="paragraph" w:customStyle="1" w:styleId="BAF719C7665B41C5B1668BAC3A8BBC77">
    <w:name w:val="BAF719C7665B41C5B1668BAC3A8BBC77"/>
    <w:rsid w:val="008A71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2017-12-13T00:00:00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DC7762-AE40-4F54-986D-76CFC6F11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template-sbstta-18</Template>
  <TotalTime>50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Fifth edition of the Global Biodiversity Outlook: considerations for its preparation</vt:lpstr>
    </vt:vector>
  </TitlesOfParts>
  <Company>Secretariat of the Convention on Biological Diversity (SCBD)</Company>
  <LinksUpToDate>false</LinksUpToDate>
  <CharactersWithSpaces>7088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edition of the Global Biodiversity Outlook: considerations for its preparation</dc:title>
  <dc:subject>CBD/SBSTTA/REC/XXI/5</dc:subject>
  <dc:creator>scbd</dc:creator>
  <cp:lastModifiedBy>--</cp:lastModifiedBy>
  <cp:revision>11</cp:revision>
  <cp:lastPrinted>2007-06-04T13:35:00Z</cp:lastPrinted>
  <dcterms:created xsi:type="dcterms:W3CDTF">2018-01-05T19:14:00Z</dcterms:created>
  <dcterms:modified xsi:type="dcterms:W3CDTF">2018-01-09T16:00:00Z</dcterms:modified>
  <cp:contentStatus>LIMITEE</cp:contentStatus>
</cp:coreProperties>
</file>