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563FC" w14:paraId="009C9D5C" w14:textId="77777777" w:rsidTr="00E4556C">
        <w:trPr>
          <w:trHeight w:val="851"/>
        </w:trPr>
        <w:tc>
          <w:tcPr>
            <w:tcW w:w="976" w:type="dxa"/>
            <w:tcBorders>
              <w:bottom w:val="single" w:sz="12" w:space="0" w:color="auto"/>
            </w:tcBorders>
          </w:tcPr>
          <w:p w14:paraId="159FC4CE" w14:textId="77777777" w:rsidR="00B563FC" w:rsidRPr="00321985" w:rsidRDefault="00B563FC" w:rsidP="00E4556C">
            <w:r>
              <w:rPr>
                <w:noProof/>
                <w:lang w:val="en-US"/>
              </w:rPr>
              <w:drawing>
                <wp:inline distT="0" distB="0" distL="0" distR="0" wp14:anchorId="449954F6" wp14:editId="495D27C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D4DBCF2" w14:textId="77777777" w:rsidR="00B563FC" w:rsidRPr="00321985" w:rsidRDefault="00B563FC" w:rsidP="00E4556C">
            <w:r w:rsidRPr="000925A9">
              <w:rPr>
                <w:noProof/>
              </w:rPr>
              <w:drawing>
                <wp:inline distT="0" distB="0" distL="0" distR="0" wp14:anchorId="15CCB36D" wp14:editId="690C08CE">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1A566CE7" w14:textId="77777777" w:rsidR="00B563FC" w:rsidRPr="00C9161D" w:rsidRDefault="00B563FC" w:rsidP="00E4556C">
            <w:pPr>
              <w:jc w:val="right"/>
              <w:rPr>
                <w:rFonts w:ascii="Arial" w:hAnsi="Arial" w:cs="Arial"/>
                <w:b/>
                <w:sz w:val="32"/>
                <w:szCs w:val="32"/>
              </w:rPr>
            </w:pPr>
            <w:r w:rsidRPr="00C9161D">
              <w:rPr>
                <w:rFonts w:ascii="Arial" w:hAnsi="Arial" w:cs="Arial"/>
                <w:b/>
                <w:sz w:val="32"/>
                <w:szCs w:val="32"/>
              </w:rPr>
              <w:t>CBD</w:t>
            </w:r>
          </w:p>
        </w:tc>
      </w:tr>
      <w:tr w:rsidR="00B563FC" w14:paraId="7F253F23" w14:textId="77777777" w:rsidTr="00E4556C">
        <w:tc>
          <w:tcPr>
            <w:tcW w:w="6117" w:type="dxa"/>
            <w:gridSpan w:val="2"/>
            <w:tcBorders>
              <w:top w:val="single" w:sz="12" w:space="0" w:color="auto"/>
              <w:bottom w:val="single" w:sz="36" w:space="0" w:color="auto"/>
            </w:tcBorders>
            <w:vAlign w:val="center"/>
          </w:tcPr>
          <w:p w14:paraId="134D71D2" w14:textId="77777777" w:rsidR="00B563FC" w:rsidRDefault="00B563FC" w:rsidP="00E4556C">
            <w:r>
              <w:rPr>
                <w:noProof/>
                <w:lang w:val="en-US"/>
              </w:rPr>
              <w:drawing>
                <wp:inline distT="0" distB="0" distL="0" distR="0" wp14:anchorId="0DBAA71F" wp14:editId="4CAA1366">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D143CE4" w14:textId="77777777" w:rsidR="00B563FC" w:rsidRPr="00C9161D" w:rsidRDefault="00B563FC" w:rsidP="00E4556C">
            <w:pPr>
              <w:ind w:left="1215"/>
              <w:rPr>
                <w:szCs w:val="22"/>
              </w:rPr>
            </w:pPr>
            <w:r w:rsidRPr="00C9161D">
              <w:rPr>
                <w:szCs w:val="22"/>
              </w:rPr>
              <w:t>Distr.</w:t>
            </w:r>
          </w:p>
          <w:p w14:paraId="2C70AD44" w14:textId="26AE281D" w:rsidR="00B563FC" w:rsidRPr="00C9161D" w:rsidRDefault="00FB1D7A" w:rsidP="00E4556C">
            <w:pPr>
              <w:ind w:left="1215"/>
              <w:rPr>
                <w:szCs w:val="22"/>
              </w:rPr>
            </w:pPr>
            <w:r>
              <w:rPr>
                <w:caps/>
                <w:szCs w:val="22"/>
              </w:rPr>
              <w:t>GENERAL</w:t>
            </w:r>
          </w:p>
          <w:p w14:paraId="79B3CEE5" w14:textId="77777777" w:rsidR="00B563FC" w:rsidRPr="00C9161D" w:rsidRDefault="00B563FC" w:rsidP="00E4556C">
            <w:pPr>
              <w:ind w:left="1215"/>
              <w:rPr>
                <w:szCs w:val="22"/>
              </w:rPr>
            </w:pPr>
          </w:p>
          <w:p w14:paraId="021530CD" w14:textId="0245967D" w:rsidR="00B563FC" w:rsidRPr="00535CCD" w:rsidRDefault="0044153F" w:rsidP="00E4556C">
            <w:pPr>
              <w:ind w:left="1215"/>
              <w:rPr>
                <w:szCs w:val="22"/>
                <w:lang w:val="en-US"/>
              </w:rPr>
            </w:pPr>
            <w:sdt>
              <w:sdtPr>
                <w:rPr>
                  <w:lang w:val="en-US"/>
                </w:rPr>
                <w:alias w:val="Subject"/>
                <w:tag w:val=""/>
                <w:id w:val="2137136483"/>
                <w:placeholder>
                  <w:docPart w:val="1570E80729904BF18606D2C151EE1CE9"/>
                </w:placeholder>
                <w:dataBinding w:prefixMappings="xmlns:ns0='http://purl.org/dc/elements/1.1/' xmlns:ns1='http://schemas.openxmlformats.org/package/2006/metadata/core-properties' " w:xpath="/ns1:coreProperties[1]/ns0:subject[1]" w:storeItemID="{6C3C8BC8-F283-45AE-878A-BAB7291924A1}"/>
                <w:text/>
              </w:sdtPr>
              <w:sdtEndPr/>
              <w:sdtContent>
                <w:r w:rsidR="00FB1D7A">
                  <w:rPr>
                    <w:lang w:val="en-US"/>
                  </w:rPr>
                  <w:t>CBD/SBI/REC/3/10</w:t>
                </w:r>
              </w:sdtContent>
            </w:sdt>
          </w:p>
          <w:p w14:paraId="01FDDF40" w14:textId="77777777" w:rsidR="00B563FC" w:rsidRPr="009F390E" w:rsidRDefault="00B563FC" w:rsidP="00E4556C">
            <w:pPr>
              <w:ind w:left="1215"/>
              <w:rPr>
                <w:szCs w:val="22"/>
                <w:lang w:val="en-US"/>
              </w:rPr>
            </w:pPr>
            <w:r w:rsidRPr="009F390E">
              <w:rPr>
                <w:szCs w:val="22"/>
                <w:lang w:val="en-US"/>
              </w:rPr>
              <w:t>28 March 2022</w:t>
            </w:r>
          </w:p>
          <w:p w14:paraId="036A4544" w14:textId="77777777" w:rsidR="00B563FC" w:rsidRPr="009F390E" w:rsidRDefault="00B563FC" w:rsidP="00E4556C">
            <w:pPr>
              <w:ind w:left="1215"/>
              <w:rPr>
                <w:szCs w:val="22"/>
                <w:lang w:val="en-US"/>
              </w:rPr>
            </w:pPr>
          </w:p>
          <w:p w14:paraId="1EEFEFDB" w14:textId="77777777" w:rsidR="00B563FC" w:rsidRPr="00C9161D" w:rsidRDefault="00B563FC" w:rsidP="00E4556C">
            <w:pPr>
              <w:ind w:left="1215"/>
              <w:rPr>
                <w:szCs w:val="22"/>
              </w:rPr>
            </w:pPr>
            <w:r>
              <w:rPr>
                <w:szCs w:val="22"/>
              </w:rPr>
              <w:t xml:space="preserve">ORIGINAL: </w:t>
            </w:r>
            <w:r w:rsidRPr="00C9161D">
              <w:rPr>
                <w:szCs w:val="22"/>
              </w:rPr>
              <w:t>ENGLISH</w:t>
            </w:r>
          </w:p>
          <w:p w14:paraId="75D17292" w14:textId="77777777" w:rsidR="00B563FC" w:rsidRDefault="00B563FC" w:rsidP="00E4556C"/>
        </w:tc>
      </w:tr>
    </w:tbl>
    <w:p w14:paraId="52F4201E" w14:textId="77777777" w:rsidR="00B563FC" w:rsidRPr="00853A7F" w:rsidRDefault="00B563FC" w:rsidP="00B563FC">
      <w:pPr>
        <w:pStyle w:val="meetingname"/>
        <w:ind w:left="426" w:right="4398" w:hanging="426"/>
        <w:rPr>
          <w:kern w:val="22"/>
        </w:rPr>
      </w:pPr>
      <w:bookmarkStart w:id="0" w:name="Meeting"/>
      <w:r w:rsidRPr="00853A7F">
        <w:rPr>
          <w:kern w:val="22"/>
        </w:rPr>
        <w:t>SUBSIDIARY BODY ON IMPLEMENTATION</w:t>
      </w:r>
      <w:bookmarkEnd w:id="0"/>
    </w:p>
    <w:p w14:paraId="7A810938" w14:textId="0121CC22" w:rsidR="00B563FC" w:rsidRPr="00853A7F" w:rsidRDefault="00B563FC" w:rsidP="00B563FC">
      <w:pPr>
        <w:ind w:left="426" w:hanging="426"/>
        <w:jc w:val="left"/>
        <w:rPr>
          <w:snapToGrid w:val="0"/>
          <w:kern w:val="22"/>
          <w:szCs w:val="22"/>
          <w:lang w:eastAsia="nb-NO"/>
        </w:rPr>
      </w:pPr>
      <w:r w:rsidRPr="00853A7F">
        <w:rPr>
          <w:snapToGrid w:val="0"/>
          <w:kern w:val="22"/>
          <w:szCs w:val="22"/>
          <w:lang w:eastAsia="nb-NO"/>
        </w:rPr>
        <w:t>Third meeting</w:t>
      </w:r>
    </w:p>
    <w:p w14:paraId="5525D58E" w14:textId="77777777" w:rsidR="00AA6493" w:rsidRPr="000C6FB3" w:rsidRDefault="00AA6493" w:rsidP="00AA6493">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4741625D" w14:textId="77777777" w:rsidR="00B563FC" w:rsidRPr="00554253" w:rsidRDefault="00B563FC" w:rsidP="00B563FC">
      <w:pPr>
        <w:suppressLineNumbers/>
        <w:suppressAutoHyphens/>
        <w:adjustRightInd w:val="0"/>
        <w:snapToGrid w:val="0"/>
        <w:ind w:left="426" w:hanging="426"/>
        <w:rPr>
          <w:rFonts w:asciiTheme="majorBidi" w:hAnsiTheme="majorBidi" w:cstheme="majorBidi"/>
          <w:snapToGrid w:val="0"/>
          <w:kern w:val="22"/>
          <w:szCs w:val="22"/>
          <w:lang w:eastAsia="nb-NO"/>
        </w:rPr>
      </w:pPr>
      <w:r w:rsidRPr="007677FF">
        <w:rPr>
          <w:rFonts w:asciiTheme="majorBidi" w:hAnsiTheme="majorBidi" w:cstheme="majorBidi"/>
          <w:snapToGrid w:val="0"/>
          <w:kern w:val="22"/>
          <w:lang w:eastAsia="nb-NO"/>
        </w:rPr>
        <w:t>Geneva, Switzerland, 14-29 March 2022</w:t>
      </w:r>
    </w:p>
    <w:p w14:paraId="32676BA5" w14:textId="3EFF43A7" w:rsidR="00B563FC" w:rsidRPr="00C9161D" w:rsidRDefault="00B563FC" w:rsidP="00B563FC">
      <w:pPr>
        <w:ind w:left="426" w:hanging="426"/>
      </w:pPr>
      <w:r>
        <w:rPr>
          <w:snapToGrid w:val="0"/>
          <w:kern w:val="22"/>
          <w:szCs w:val="22"/>
        </w:rPr>
        <w:t>Agenda i</w:t>
      </w:r>
      <w:r w:rsidRPr="004B44DE">
        <w:rPr>
          <w:snapToGrid w:val="0"/>
          <w:kern w:val="22"/>
          <w:szCs w:val="22"/>
        </w:rPr>
        <w:t xml:space="preserve">tem </w:t>
      </w:r>
      <w:r w:rsidR="00C40CBF">
        <w:rPr>
          <w:snapToGrid w:val="0"/>
          <w:kern w:val="22"/>
          <w:szCs w:val="22"/>
        </w:rPr>
        <w:t>7</w:t>
      </w:r>
    </w:p>
    <w:p w14:paraId="57F6B7A1" w14:textId="08A0DFE3" w:rsidR="00C9161D" w:rsidRPr="000C6FB3" w:rsidRDefault="0044153F" w:rsidP="00AC6F94">
      <w:pPr>
        <w:spacing w:before="240" w:after="240"/>
        <w:jc w:val="center"/>
        <w:rPr>
          <w:rFonts w:cs="Times New Roman Bold"/>
          <w:b/>
          <w:caps/>
        </w:rPr>
      </w:pPr>
      <w:sdt>
        <w:sdtPr>
          <w:rPr>
            <w:rFonts w:asciiTheme="majorBidi" w:hAnsiTheme="majorBidi" w:cstheme="majorBidi"/>
            <w:b/>
            <w:bCs/>
            <w:caps/>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1933">
            <w:rPr>
              <w:rFonts w:asciiTheme="majorBidi" w:hAnsiTheme="majorBidi" w:cstheme="majorBidi"/>
              <w:b/>
              <w:bCs/>
              <w:caps/>
              <w:snapToGrid w:val="0"/>
              <w:kern w:val="22"/>
            </w:rPr>
            <w:t>RECOMMENDATION ADOPTED BY THE SUBSIDIARY BODY ON IMPLEMENTATION</w:t>
          </w:r>
        </w:sdtContent>
      </w:sdt>
      <w:r w:rsidR="00105372" w:rsidRPr="000C6FB3">
        <w:rPr>
          <w:rFonts w:cs="Times New Roman Bold"/>
          <w:b/>
          <w:caps/>
        </w:rPr>
        <w:t xml:space="preserve"> </w:t>
      </w:r>
    </w:p>
    <w:p w14:paraId="2EEF764E" w14:textId="6CC049C5" w:rsidR="00F6586C" w:rsidRPr="00FA3FC5" w:rsidRDefault="001C4E24" w:rsidP="00204B6D">
      <w:pPr>
        <w:pStyle w:val="Style1"/>
        <w:tabs>
          <w:tab w:val="clear" w:pos="720"/>
        </w:tabs>
        <w:spacing w:after="240"/>
        <w:rPr>
          <w:bCs w:val="0"/>
          <w:i w:val="0"/>
          <w:iCs w:val="0"/>
        </w:rPr>
      </w:pPr>
      <w:r>
        <w:rPr>
          <w:bCs w:val="0"/>
          <w:i w:val="0"/>
          <w:iCs w:val="0"/>
        </w:rPr>
        <w:t>3/10.</w:t>
      </w:r>
      <w:r>
        <w:rPr>
          <w:bCs w:val="0"/>
          <w:i w:val="0"/>
          <w:iCs w:val="0"/>
        </w:rPr>
        <w:tab/>
      </w:r>
      <w:r w:rsidRPr="001C4E24">
        <w:rPr>
          <w:bCs w:val="0"/>
          <w:i w:val="0"/>
          <w:iCs w:val="0"/>
        </w:rPr>
        <w:t xml:space="preserve">Knowledge management and the clearing-house mechanism </w:t>
      </w:r>
    </w:p>
    <w:p w14:paraId="4802A090" w14:textId="27DAF9FD" w:rsidR="0098059E" w:rsidRPr="00787735" w:rsidRDefault="00E1759F" w:rsidP="00E45866">
      <w:pPr>
        <w:pStyle w:val="Para1"/>
        <w:numPr>
          <w:ilvl w:val="0"/>
          <w:numId w:val="0"/>
        </w:numPr>
        <w:suppressLineNumbers/>
        <w:suppressAutoHyphens/>
        <w:kinsoku w:val="0"/>
        <w:overflowPunct w:val="0"/>
        <w:autoSpaceDE w:val="0"/>
        <w:autoSpaceDN w:val="0"/>
        <w:adjustRightInd w:val="0"/>
        <w:snapToGrid w:val="0"/>
        <w:ind w:firstLine="720"/>
        <w:rPr>
          <w:i/>
          <w:iCs/>
          <w:kern w:val="22"/>
        </w:rPr>
      </w:pPr>
      <w:r w:rsidRPr="00787735">
        <w:rPr>
          <w:i/>
          <w:iCs/>
          <w:kern w:val="22"/>
        </w:rPr>
        <w:t>The Subsidiary Body on Implementation</w:t>
      </w:r>
      <w:r w:rsidR="00E45866" w:rsidRPr="00787735">
        <w:rPr>
          <w:i/>
          <w:iCs/>
          <w:kern w:val="22"/>
        </w:rPr>
        <w:t xml:space="preserve"> </w:t>
      </w:r>
    </w:p>
    <w:p w14:paraId="6EC48C91" w14:textId="5CC9A252" w:rsidR="0098059E" w:rsidRDefault="0098059E" w:rsidP="00E45866">
      <w:pPr>
        <w:pStyle w:val="Para1"/>
        <w:numPr>
          <w:ilvl w:val="0"/>
          <w:numId w:val="0"/>
        </w:numPr>
        <w:suppressLineNumbers/>
        <w:suppressAutoHyphens/>
        <w:kinsoku w:val="0"/>
        <w:overflowPunct w:val="0"/>
        <w:autoSpaceDE w:val="0"/>
        <w:autoSpaceDN w:val="0"/>
        <w:adjustRightInd w:val="0"/>
        <w:snapToGrid w:val="0"/>
        <w:ind w:firstLine="720"/>
        <w:rPr>
          <w:i/>
          <w:iCs/>
          <w:kern w:val="22"/>
        </w:rPr>
      </w:pPr>
      <w:r>
        <w:rPr>
          <w:kern w:val="22"/>
        </w:rPr>
        <w:t>1.</w:t>
      </w:r>
      <w:r>
        <w:rPr>
          <w:kern w:val="22"/>
        </w:rPr>
        <w:tab/>
      </w:r>
      <w:r w:rsidRPr="00787735">
        <w:rPr>
          <w:i/>
          <w:iCs/>
          <w:kern w:val="22"/>
        </w:rPr>
        <w:t>R</w:t>
      </w:r>
      <w:r w:rsidRPr="00951E2F">
        <w:rPr>
          <w:i/>
          <w:iCs/>
          <w:kern w:val="22"/>
        </w:rPr>
        <w:t>ecommends</w:t>
      </w:r>
      <w:r w:rsidRPr="009F7F99">
        <w:rPr>
          <w:kern w:val="22"/>
        </w:rPr>
        <w:t xml:space="preserve"> that the outcomes of part II of </w:t>
      </w:r>
      <w:r w:rsidR="00DD777C">
        <w:rPr>
          <w:kern w:val="22"/>
        </w:rPr>
        <w:t xml:space="preserve">its </w:t>
      </w:r>
      <w:r w:rsidRPr="009F7F99">
        <w:rPr>
          <w:kern w:val="22"/>
        </w:rPr>
        <w:t xml:space="preserve">third meeting </w:t>
      </w:r>
      <w:r w:rsidRPr="00A939AE">
        <w:rPr>
          <w:kern w:val="22"/>
        </w:rPr>
        <w:t xml:space="preserve">on </w:t>
      </w:r>
      <w:r w:rsidR="009325EF" w:rsidRPr="00A939AE">
        <w:rPr>
          <w:kern w:val="22"/>
        </w:rPr>
        <w:t>k</w:t>
      </w:r>
      <w:r w:rsidRPr="00A939AE">
        <w:rPr>
          <w:kern w:val="22"/>
        </w:rPr>
        <w:t xml:space="preserve">nowledge </w:t>
      </w:r>
      <w:r w:rsidR="009325EF" w:rsidRPr="00A939AE">
        <w:rPr>
          <w:kern w:val="22"/>
        </w:rPr>
        <w:t>m</w:t>
      </w:r>
      <w:r w:rsidRPr="00A939AE">
        <w:rPr>
          <w:kern w:val="22"/>
        </w:rPr>
        <w:t>anagement</w:t>
      </w:r>
      <w:r w:rsidRPr="009F390E">
        <w:rPr>
          <w:kern w:val="22"/>
        </w:rPr>
        <w:t xml:space="preserve"> </w:t>
      </w:r>
      <w:r w:rsidR="00EC3975" w:rsidRPr="009F390E">
        <w:rPr>
          <w:kern w:val="22"/>
        </w:rPr>
        <w:t>be</w:t>
      </w:r>
      <w:r w:rsidRPr="009F7F99">
        <w:rPr>
          <w:kern w:val="22"/>
        </w:rPr>
        <w:t xml:space="preserve"> made available for consideration by the Open-ended Working Group on the Post-2020 Global Biodiversity Framework when continuing </w:t>
      </w:r>
      <w:r w:rsidR="00C5188F">
        <w:rPr>
          <w:kern w:val="22"/>
        </w:rPr>
        <w:t>its</w:t>
      </w:r>
      <w:r w:rsidRPr="009F7F99">
        <w:rPr>
          <w:kern w:val="22"/>
        </w:rPr>
        <w:t xml:space="preserve"> work </w:t>
      </w:r>
      <w:r w:rsidR="00154961">
        <w:rPr>
          <w:kern w:val="22"/>
        </w:rPr>
        <w:t xml:space="preserve">towards </w:t>
      </w:r>
      <w:r w:rsidRPr="009F7F99">
        <w:rPr>
          <w:kern w:val="22"/>
        </w:rPr>
        <w:t xml:space="preserve">the final draft of the </w:t>
      </w:r>
      <w:r w:rsidR="00154961">
        <w:rPr>
          <w:kern w:val="22"/>
        </w:rPr>
        <w:t>p</w:t>
      </w:r>
      <w:r w:rsidRPr="009F7F99">
        <w:rPr>
          <w:kern w:val="22"/>
        </w:rPr>
        <w:t xml:space="preserve">ost-2020 </w:t>
      </w:r>
      <w:r w:rsidR="00F07B29">
        <w:rPr>
          <w:kern w:val="22"/>
        </w:rPr>
        <w:t>g</w:t>
      </w:r>
      <w:r w:rsidRPr="009F7F99">
        <w:rPr>
          <w:kern w:val="22"/>
        </w:rPr>
        <w:t xml:space="preserve">lobal </w:t>
      </w:r>
      <w:r w:rsidR="00F07B29">
        <w:rPr>
          <w:kern w:val="22"/>
        </w:rPr>
        <w:t>b</w:t>
      </w:r>
      <w:r w:rsidRPr="009F7F99">
        <w:rPr>
          <w:kern w:val="22"/>
        </w:rPr>
        <w:t xml:space="preserve">iodiversity </w:t>
      </w:r>
      <w:proofErr w:type="gramStart"/>
      <w:r w:rsidR="00F07B29">
        <w:rPr>
          <w:kern w:val="22"/>
        </w:rPr>
        <w:t>f</w:t>
      </w:r>
      <w:r w:rsidRPr="009F7F99">
        <w:rPr>
          <w:kern w:val="22"/>
        </w:rPr>
        <w:t>ramework</w:t>
      </w:r>
      <w:r w:rsidR="00673280">
        <w:rPr>
          <w:kern w:val="22"/>
        </w:rPr>
        <w:t>;</w:t>
      </w:r>
      <w:proofErr w:type="gramEnd"/>
    </w:p>
    <w:p w14:paraId="0C1EF1EB" w14:textId="43F294B2" w:rsidR="005A2729" w:rsidRPr="00E45866" w:rsidRDefault="0098059E" w:rsidP="00E45866">
      <w:pPr>
        <w:pStyle w:val="Para1"/>
        <w:numPr>
          <w:ilvl w:val="0"/>
          <w:numId w:val="0"/>
        </w:numPr>
        <w:suppressLineNumbers/>
        <w:suppressAutoHyphens/>
        <w:kinsoku w:val="0"/>
        <w:overflowPunct w:val="0"/>
        <w:autoSpaceDE w:val="0"/>
        <w:autoSpaceDN w:val="0"/>
        <w:adjustRightInd w:val="0"/>
        <w:snapToGrid w:val="0"/>
        <w:ind w:firstLine="720"/>
        <w:rPr>
          <w:kern w:val="22"/>
        </w:rPr>
      </w:pPr>
      <w:r w:rsidRPr="009F390E">
        <w:rPr>
          <w:kern w:val="22"/>
        </w:rPr>
        <w:t>2.</w:t>
      </w:r>
      <w:r>
        <w:rPr>
          <w:i/>
          <w:iCs/>
          <w:kern w:val="22"/>
        </w:rPr>
        <w:tab/>
      </w:r>
      <w:r w:rsidR="00673280">
        <w:rPr>
          <w:i/>
          <w:iCs/>
          <w:kern w:val="22"/>
        </w:rPr>
        <w:t>Also r</w:t>
      </w:r>
      <w:r w:rsidR="005A2729" w:rsidRPr="00E80CEA">
        <w:rPr>
          <w:i/>
          <w:iCs/>
          <w:kern w:val="22"/>
        </w:rPr>
        <w:t>ecommend</w:t>
      </w:r>
      <w:r w:rsidR="009F1B3C" w:rsidRPr="00E80CEA">
        <w:rPr>
          <w:i/>
          <w:iCs/>
          <w:kern w:val="22"/>
        </w:rPr>
        <w:t>s</w:t>
      </w:r>
      <w:r w:rsidR="005A2729" w:rsidRPr="00FA3FC5">
        <w:rPr>
          <w:kern w:val="22"/>
        </w:rPr>
        <w:t xml:space="preserve"> </w:t>
      </w:r>
      <w:r w:rsidR="004069AD" w:rsidRPr="00FA3FC5">
        <w:rPr>
          <w:kern w:val="22"/>
        </w:rPr>
        <w:t xml:space="preserve">that </w:t>
      </w:r>
      <w:r w:rsidR="005A2729" w:rsidRPr="00FA3FC5">
        <w:rPr>
          <w:kern w:val="22"/>
        </w:rPr>
        <w:t>the Conference of the Parties adopt a decision along the following lines:</w:t>
      </w:r>
    </w:p>
    <w:p w14:paraId="1A337CA5" w14:textId="77777777" w:rsidR="005A2729" w:rsidRPr="00FA3FC5" w:rsidRDefault="005A2729" w:rsidP="00E45866">
      <w:pPr>
        <w:keepNext/>
        <w:suppressLineNumbers/>
        <w:suppressAutoHyphens/>
        <w:kinsoku w:val="0"/>
        <w:overflowPunct w:val="0"/>
        <w:autoSpaceDE w:val="0"/>
        <w:autoSpaceDN w:val="0"/>
        <w:adjustRightInd w:val="0"/>
        <w:snapToGrid w:val="0"/>
        <w:spacing w:before="120" w:after="120"/>
        <w:ind w:firstLine="720"/>
        <w:rPr>
          <w:i/>
          <w:iCs/>
          <w:snapToGrid w:val="0"/>
          <w:kern w:val="22"/>
        </w:rPr>
      </w:pPr>
      <w:r w:rsidRPr="00FA3FC5">
        <w:rPr>
          <w:i/>
          <w:iCs/>
          <w:snapToGrid w:val="0"/>
          <w:kern w:val="22"/>
        </w:rPr>
        <w:t>The Conference of the Parties,</w:t>
      </w:r>
    </w:p>
    <w:p w14:paraId="4441893A" w14:textId="7099597F" w:rsidR="005A2729" w:rsidRPr="00FA3FC5" w:rsidRDefault="005A2729" w:rsidP="00E45866">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A3FC5">
        <w:rPr>
          <w:i/>
          <w:snapToGrid w:val="0"/>
          <w:kern w:val="22"/>
          <w:szCs w:val="22"/>
        </w:rPr>
        <w:t>Recalling</w:t>
      </w:r>
      <w:r w:rsidRPr="00FA3FC5">
        <w:rPr>
          <w:snapToGrid w:val="0"/>
          <w:kern w:val="22"/>
          <w:szCs w:val="22"/>
        </w:rPr>
        <w:t xml:space="preserve"> decisions </w:t>
      </w:r>
      <w:hyperlink r:id="rId15" w:history="1">
        <w:r w:rsidRPr="00FA3FC5">
          <w:rPr>
            <w:rStyle w:val="Hyperlink"/>
            <w:snapToGrid w:val="0"/>
            <w:kern w:val="22"/>
            <w:sz w:val="22"/>
            <w:szCs w:val="22"/>
          </w:rPr>
          <w:t>14/25</w:t>
        </w:r>
      </w:hyperlink>
      <w:r w:rsidRPr="00FA3FC5">
        <w:rPr>
          <w:snapToGrid w:val="0"/>
          <w:kern w:val="22"/>
          <w:szCs w:val="22"/>
        </w:rPr>
        <w:t xml:space="preserve">, </w:t>
      </w:r>
      <w:hyperlink r:id="rId16" w:history="1">
        <w:r w:rsidRPr="00FA3FC5">
          <w:rPr>
            <w:rStyle w:val="Hyperlink"/>
            <w:snapToGrid w:val="0"/>
            <w:kern w:val="22"/>
            <w:sz w:val="22"/>
            <w:szCs w:val="22"/>
          </w:rPr>
          <w:t>XIII/23</w:t>
        </w:r>
      </w:hyperlink>
      <w:r w:rsidRPr="00FA3FC5">
        <w:rPr>
          <w:snapToGrid w:val="0"/>
          <w:kern w:val="22"/>
          <w:szCs w:val="22"/>
        </w:rPr>
        <w:t xml:space="preserve"> B, </w:t>
      </w:r>
      <w:r w:rsidR="00EC1303">
        <w:rPr>
          <w:snapToGrid w:val="0"/>
          <w:kern w:val="22"/>
          <w:szCs w:val="22"/>
        </w:rPr>
        <w:t>[</w:t>
      </w:r>
      <w:r w:rsidR="0023555A">
        <w:rPr>
          <w:snapToGrid w:val="0"/>
          <w:kern w:val="22"/>
          <w:szCs w:val="22"/>
        </w:rPr>
        <w:t>XIII/</w:t>
      </w:r>
      <w:r w:rsidR="00393313">
        <w:rPr>
          <w:snapToGrid w:val="0"/>
          <w:kern w:val="22"/>
          <w:szCs w:val="22"/>
        </w:rPr>
        <w:t>18,</w:t>
      </w:r>
      <w:r w:rsidR="00EC1303">
        <w:rPr>
          <w:snapToGrid w:val="0"/>
          <w:kern w:val="22"/>
          <w:szCs w:val="22"/>
        </w:rPr>
        <w:t>]</w:t>
      </w:r>
      <w:r w:rsidR="00393313">
        <w:rPr>
          <w:snapToGrid w:val="0"/>
          <w:kern w:val="22"/>
          <w:szCs w:val="22"/>
        </w:rPr>
        <w:t xml:space="preserve"> </w:t>
      </w:r>
      <w:hyperlink r:id="rId17" w:history="1">
        <w:r w:rsidRPr="00FA3FC5">
          <w:rPr>
            <w:rStyle w:val="Hyperlink"/>
            <w:snapToGrid w:val="0"/>
            <w:kern w:val="22"/>
            <w:sz w:val="22"/>
            <w:szCs w:val="22"/>
          </w:rPr>
          <w:t>XII/2</w:t>
        </w:r>
      </w:hyperlink>
      <w:r w:rsidRPr="00FA3FC5">
        <w:rPr>
          <w:snapToGrid w:val="0"/>
          <w:kern w:val="22"/>
          <w:szCs w:val="22"/>
        </w:rPr>
        <w:t xml:space="preserve"> B and </w:t>
      </w:r>
      <w:hyperlink r:id="rId18" w:history="1">
        <w:r w:rsidRPr="00FA3FC5">
          <w:rPr>
            <w:rStyle w:val="Hyperlink"/>
            <w:snapToGrid w:val="0"/>
            <w:kern w:val="22"/>
            <w:sz w:val="22"/>
            <w:szCs w:val="22"/>
          </w:rPr>
          <w:t>XI/2</w:t>
        </w:r>
      </w:hyperlink>
      <w:r w:rsidRPr="00FA3FC5">
        <w:rPr>
          <w:snapToGrid w:val="0"/>
          <w:kern w:val="22"/>
          <w:szCs w:val="22"/>
        </w:rPr>
        <w:t>,</w:t>
      </w:r>
    </w:p>
    <w:p w14:paraId="213A5442" w14:textId="77777777" w:rsidR="005A2729" w:rsidRPr="00FA3FC5" w:rsidRDefault="005A2729" w:rsidP="00E45866">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A3FC5">
        <w:rPr>
          <w:i/>
          <w:snapToGrid w:val="0"/>
          <w:kern w:val="22"/>
          <w:szCs w:val="22"/>
        </w:rPr>
        <w:t>Also recalling</w:t>
      </w:r>
      <w:r w:rsidRPr="00FA3FC5">
        <w:rPr>
          <w:snapToGrid w:val="0"/>
          <w:kern w:val="22"/>
          <w:szCs w:val="22"/>
        </w:rPr>
        <w:t xml:space="preserve"> the work programme for the clearing-house mechanism in support of the Strategic Plan for Biodiversity 2011-2020,</w:t>
      </w:r>
      <w:bookmarkStart w:id="1" w:name="_Ref73016091"/>
      <w:r w:rsidRPr="00FA3FC5">
        <w:rPr>
          <w:rStyle w:val="FootnoteReference"/>
          <w:snapToGrid w:val="0"/>
          <w:kern w:val="22"/>
          <w:szCs w:val="22"/>
        </w:rPr>
        <w:footnoteReference w:id="2"/>
      </w:r>
      <w:bookmarkEnd w:id="1"/>
    </w:p>
    <w:p w14:paraId="544F91C5" w14:textId="3F051A02" w:rsidR="009F7F99" w:rsidRDefault="005A2729" w:rsidP="0098059E">
      <w:pPr>
        <w:suppressLineNumbers/>
        <w:suppressAutoHyphens/>
        <w:kinsoku w:val="0"/>
        <w:overflowPunct w:val="0"/>
        <w:autoSpaceDE w:val="0"/>
        <w:autoSpaceDN w:val="0"/>
        <w:adjustRightInd w:val="0"/>
        <w:snapToGrid w:val="0"/>
        <w:spacing w:before="120" w:after="120"/>
        <w:ind w:firstLine="720"/>
        <w:rPr>
          <w:snapToGrid w:val="0"/>
          <w:kern w:val="22"/>
        </w:rPr>
      </w:pPr>
      <w:r w:rsidRPr="00FA3FC5">
        <w:rPr>
          <w:i/>
          <w:snapToGrid w:val="0"/>
          <w:kern w:val="22"/>
        </w:rPr>
        <w:t>Emphasizing</w:t>
      </w:r>
      <w:r w:rsidRPr="00FA3FC5">
        <w:rPr>
          <w:snapToGrid w:val="0"/>
          <w:kern w:val="22"/>
        </w:rPr>
        <w:t xml:space="preserve"> the critical importance of easy and timely access to quality data, information and knowledge in supporting the effective implementation of the post-2020 global biodiversity framework,</w:t>
      </w:r>
    </w:p>
    <w:p w14:paraId="21674D7A" w14:textId="65BD95EB" w:rsidR="005A2729" w:rsidRPr="0001309B" w:rsidRDefault="00A76F85"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i/>
          <w:iCs/>
          <w:kern w:val="22"/>
        </w:rPr>
      </w:pPr>
      <w:r w:rsidRPr="00FE0CDA">
        <w:rPr>
          <w:iCs/>
          <w:kern w:val="22"/>
        </w:rPr>
        <w:t>[</w:t>
      </w:r>
      <w:r w:rsidR="00360081" w:rsidRPr="00FE0CDA">
        <w:rPr>
          <w:iCs/>
          <w:kern w:val="22"/>
        </w:rPr>
        <w:t>1.</w:t>
      </w:r>
      <w:r w:rsidR="00360081" w:rsidRPr="00FE0CDA">
        <w:rPr>
          <w:iCs/>
          <w:kern w:val="22"/>
        </w:rPr>
        <w:tab/>
      </w:r>
      <w:r w:rsidR="00761C82" w:rsidRPr="0001309B">
        <w:rPr>
          <w:i/>
          <w:iCs/>
          <w:kern w:val="22"/>
        </w:rPr>
        <w:t xml:space="preserve">[Welcomes] </w:t>
      </w:r>
      <w:r w:rsidR="003F79BB" w:rsidRPr="0001309B">
        <w:rPr>
          <w:i/>
          <w:iCs/>
          <w:kern w:val="22"/>
        </w:rPr>
        <w:t>[</w:t>
      </w:r>
      <w:r w:rsidR="00E911F5" w:rsidRPr="0001309B">
        <w:rPr>
          <w:i/>
          <w:iCs/>
          <w:kern w:val="22"/>
        </w:rPr>
        <w:t>Adopts</w:t>
      </w:r>
      <w:r w:rsidR="003F79BB" w:rsidRPr="0001309B">
        <w:rPr>
          <w:i/>
          <w:iCs/>
          <w:kern w:val="22"/>
        </w:rPr>
        <w:t xml:space="preserve">] [Takes note </w:t>
      </w:r>
      <w:r w:rsidR="003F79BB" w:rsidRPr="0001309B">
        <w:rPr>
          <w:kern w:val="22"/>
        </w:rPr>
        <w:t>of</w:t>
      </w:r>
      <w:r w:rsidR="003F79BB" w:rsidRPr="0001309B">
        <w:rPr>
          <w:i/>
          <w:iCs/>
          <w:kern w:val="22"/>
        </w:rPr>
        <w:t>]</w:t>
      </w:r>
      <w:r w:rsidR="00E911F5" w:rsidRPr="0001309B">
        <w:rPr>
          <w:i/>
          <w:iCs/>
          <w:kern w:val="22"/>
        </w:rPr>
        <w:t xml:space="preserve"> </w:t>
      </w:r>
      <w:r w:rsidR="005A2729" w:rsidRPr="0001309B">
        <w:rPr>
          <w:kern w:val="22"/>
        </w:rPr>
        <w:t>the knowledge management component of the post-2020 global biodiversity framework contained in</w:t>
      </w:r>
      <w:r w:rsidR="005A2729" w:rsidRPr="0001309B">
        <w:t xml:space="preserve"> </w:t>
      </w:r>
      <w:r w:rsidR="005A2729" w:rsidRPr="0001309B">
        <w:rPr>
          <w:kern w:val="22"/>
        </w:rPr>
        <w:t xml:space="preserve">the </w:t>
      </w:r>
      <w:r w:rsidRPr="0001309B">
        <w:rPr>
          <w:kern w:val="22"/>
        </w:rPr>
        <w:t>a</w:t>
      </w:r>
      <w:r w:rsidR="3EAF4A48" w:rsidRPr="0001309B">
        <w:rPr>
          <w:kern w:val="22"/>
        </w:rPr>
        <w:t>nnex below</w:t>
      </w:r>
      <w:r w:rsidR="000C6FB3" w:rsidRPr="0001309B">
        <w:rPr>
          <w:kern w:val="22"/>
        </w:rPr>
        <w:t>;</w:t>
      </w:r>
      <w:r w:rsidR="00A6174C" w:rsidRPr="0001309B">
        <w:rPr>
          <w:rStyle w:val="FootnoteReference"/>
          <w:kern w:val="22"/>
        </w:rPr>
        <w:footnoteReference w:id="3"/>
      </w:r>
      <w:r w:rsidR="0001309B">
        <w:rPr>
          <w:kern w:val="22"/>
        </w:rPr>
        <w:t>]</w:t>
      </w:r>
    </w:p>
    <w:p w14:paraId="1313FEEA" w14:textId="44E14EA0" w:rsidR="005A2729" w:rsidRPr="0001309B"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pPr>
      <w:r w:rsidRPr="00FE0CDA">
        <w:t>2.</w:t>
      </w:r>
      <w:r w:rsidRPr="00FE0CDA">
        <w:tab/>
      </w:r>
      <w:r w:rsidR="00551B5F" w:rsidRPr="0001309B">
        <w:rPr>
          <w:i/>
          <w:iCs/>
          <w:kern w:val="22"/>
        </w:rPr>
        <w:t xml:space="preserve">Urges </w:t>
      </w:r>
      <w:r w:rsidR="005A2729" w:rsidRPr="0001309B">
        <w:rPr>
          <w:kern w:val="22"/>
        </w:rPr>
        <w:t>Parties,</w:t>
      </w:r>
      <w:r w:rsidR="009F7F99" w:rsidRPr="0001309B">
        <w:rPr>
          <w:kern w:val="22"/>
        </w:rPr>
        <w:t xml:space="preserve"> [according to their capabilities,]</w:t>
      </w:r>
      <w:r w:rsidR="005A2729" w:rsidRPr="0001309B">
        <w:rPr>
          <w:kern w:val="22"/>
        </w:rPr>
        <w:t xml:space="preserve"> </w:t>
      </w:r>
      <w:r w:rsidR="00551B5F" w:rsidRPr="0001309B">
        <w:rPr>
          <w:kern w:val="22"/>
        </w:rPr>
        <w:t xml:space="preserve">and </w:t>
      </w:r>
      <w:r w:rsidR="00551B5F" w:rsidRPr="00FE0CDA">
        <w:rPr>
          <w:kern w:val="22"/>
        </w:rPr>
        <w:t>invites</w:t>
      </w:r>
      <w:r w:rsidR="00551B5F" w:rsidRPr="0001309B">
        <w:rPr>
          <w:kern w:val="22"/>
        </w:rPr>
        <w:t xml:space="preserve"> </w:t>
      </w:r>
      <w:r w:rsidR="005A2729" w:rsidRPr="0001309B">
        <w:rPr>
          <w:kern w:val="22"/>
        </w:rPr>
        <w:t>other Governments, biodiversity-related conventions and relevant organizations</w:t>
      </w:r>
      <w:r w:rsidR="0032389D" w:rsidRPr="0001309B">
        <w:t>, including local actors, communities and institutions</w:t>
      </w:r>
      <w:r w:rsidR="006C2E9B" w:rsidRPr="0001309B">
        <w:rPr>
          <w:kern w:val="22"/>
        </w:rPr>
        <w:t xml:space="preserve"> </w:t>
      </w:r>
      <w:r w:rsidR="005A2729" w:rsidRPr="0001309B">
        <w:rPr>
          <w:kern w:val="22"/>
        </w:rPr>
        <w:t>to implement the strategic actions outlined in the knowledge management component</w:t>
      </w:r>
      <w:r w:rsidR="00BB7EC3" w:rsidRPr="0001309B">
        <w:rPr>
          <w:kern w:val="22"/>
        </w:rPr>
        <w:t>,</w:t>
      </w:r>
      <w:r w:rsidR="0097172D" w:rsidRPr="0001309B">
        <w:rPr>
          <w:kern w:val="22"/>
        </w:rPr>
        <w:t xml:space="preserve"> </w:t>
      </w:r>
      <w:r w:rsidR="00E911F5" w:rsidRPr="0001309B">
        <w:t>complementary to the long-term strategic framework for capacity</w:t>
      </w:r>
      <w:r w:rsidR="00564AB9" w:rsidRPr="0001309B">
        <w:t>-</w:t>
      </w:r>
      <w:r w:rsidR="00B64BAF" w:rsidRPr="0001309B">
        <w:t>building and</w:t>
      </w:r>
      <w:r w:rsidR="00E911F5" w:rsidRPr="0001309B">
        <w:t xml:space="preserve"> development and the proposals to strengthen technical and scientific cooperation,</w:t>
      </w:r>
      <w:r w:rsidR="0097172D" w:rsidRPr="0001309B">
        <w:t xml:space="preserve"> </w:t>
      </w:r>
      <w:r w:rsidR="005A2729" w:rsidRPr="0001309B">
        <w:rPr>
          <w:kern w:val="22"/>
        </w:rPr>
        <w:t xml:space="preserve">with a view to </w:t>
      </w:r>
      <w:r w:rsidR="005A2729" w:rsidRPr="0001309B">
        <w:rPr>
          <w:rFonts w:eastAsia="Malgun Gothic"/>
          <w:kern w:val="22"/>
        </w:rPr>
        <w:t>enhancing the generation, collection, organization, easy and timely access to and effective utilization of data, information and knowledge</w:t>
      </w:r>
      <w:r w:rsidR="005A2729" w:rsidRPr="0001309B">
        <w:rPr>
          <w:kern w:val="22"/>
        </w:rPr>
        <w:t xml:space="preserve"> to support the effective implementation of the post-2020 global biodiversity framework and the national biodiversity strategies and action plans;</w:t>
      </w:r>
    </w:p>
    <w:p w14:paraId="01271654" w14:textId="2319E5B6" w:rsidR="005A2729" w:rsidRPr="00FA3FC5" w:rsidRDefault="0001309B"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w:t>
      </w:r>
      <w:r w:rsidR="00360081" w:rsidRPr="00FE0CDA">
        <w:rPr>
          <w:kern w:val="22"/>
        </w:rPr>
        <w:t>3.</w:t>
      </w:r>
      <w:r w:rsidR="00360081" w:rsidRPr="00FE0CDA">
        <w:rPr>
          <w:kern w:val="22"/>
        </w:rPr>
        <w:tab/>
      </w:r>
      <w:r w:rsidR="00551B5F" w:rsidRPr="00FA3FC5">
        <w:rPr>
          <w:i/>
          <w:iCs/>
          <w:kern w:val="22"/>
        </w:rPr>
        <w:t xml:space="preserve">Urges </w:t>
      </w:r>
      <w:r w:rsidR="00551B5F" w:rsidRPr="00FA3FC5">
        <w:rPr>
          <w:kern w:val="22"/>
        </w:rPr>
        <w:t xml:space="preserve">Parties, and </w:t>
      </w:r>
      <w:r w:rsidR="00551B5F" w:rsidRPr="00FE0CDA">
        <w:rPr>
          <w:kern w:val="22"/>
        </w:rPr>
        <w:t>invites</w:t>
      </w:r>
      <w:r w:rsidR="00551B5F" w:rsidRPr="00FA3FC5">
        <w:rPr>
          <w:kern w:val="22"/>
        </w:rPr>
        <w:t xml:space="preserve"> </w:t>
      </w:r>
      <w:r w:rsidR="008E7C52" w:rsidRPr="00FA3FC5">
        <w:rPr>
          <w:kern w:val="22"/>
        </w:rPr>
        <w:t>other</w:t>
      </w:r>
      <w:r w:rsidR="000A7160" w:rsidRPr="00FA3FC5">
        <w:rPr>
          <w:kern w:val="22"/>
        </w:rPr>
        <w:t xml:space="preserve"> </w:t>
      </w:r>
      <w:r w:rsidR="005A2729" w:rsidRPr="00FA3FC5">
        <w:rPr>
          <w:kern w:val="22"/>
        </w:rPr>
        <w:t xml:space="preserve">Governments and relevant organizations in a position to do so, to provide financial, technical and human resources support to enable developing country Parties and Parties with economies in transition to implement the strategic actions outlined in the knowledge </w:t>
      </w:r>
      <w:r w:rsidR="005A2729" w:rsidRPr="00FA3FC5">
        <w:rPr>
          <w:kern w:val="22"/>
        </w:rPr>
        <w:lastRenderedPageBreak/>
        <w:t>management component, as a key component for the successful implementation of the post-2020 global biodiversity framework and the national biodiversity strategies and action plans</w:t>
      </w:r>
      <w:r>
        <w:rPr>
          <w:kern w:val="22"/>
        </w:rPr>
        <w:t>;</w:t>
      </w:r>
      <w:r w:rsidR="002E7143" w:rsidRPr="00FA3FC5">
        <w:rPr>
          <w:kern w:val="22"/>
        </w:rPr>
        <w:t>]</w:t>
      </w:r>
    </w:p>
    <w:p w14:paraId="53903449" w14:textId="34DCDB6E" w:rsidR="005A2729"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FE0CDA">
        <w:rPr>
          <w:kern w:val="22"/>
        </w:rPr>
        <w:t>4.</w:t>
      </w:r>
      <w:r w:rsidRPr="00FE0CDA">
        <w:rPr>
          <w:kern w:val="22"/>
        </w:rPr>
        <w:tab/>
      </w:r>
      <w:r w:rsidR="005A2729" w:rsidRPr="00D222A2">
        <w:rPr>
          <w:i/>
          <w:iCs/>
          <w:kern w:val="22"/>
        </w:rPr>
        <w:t>Invites</w:t>
      </w:r>
      <w:r w:rsidR="005A2729" w:rsidRPr="00D222A2">
        <w:rPr>
          <w:kern w:val="22"/>
        </w:rPr>
        <w:t xml:space="preserve"> </w:t>
      </w:r>
      <w:r w:rsidR="00EE159C" w:rsidRPr="00D222A2">
        <w:rPr>
          <w:kern w:val="22"/>
        </w:rPr>
        <w:t>[</w:t>
      </w:r>
      <w:r w:rsidR="001E1D70" w:rsidRPr="00D222A2">
        <w:rPr>
          <w:kern w:val="22"/>
        </w:rPr>
        <w:t xml:space="preserve">biodiversity-related </w:t>
      </w:r>
      <w:r w:rsidR="00EB79CC" w:rsidRPr="00D222A2">
        <w:rPr>
          <w:kern w:val="22"/>
        </w:rPr>
        <w:t>c</w:t>
      </w:r>
      <w:r w:rsidR="001E1D70" w:rsidRPr="00D222A2">
        <w:rPr>
          <w:kern w:val="22"/>
        </w:rPr>
        <w:t>onventions,</w:t>
      </w:r>
      <w:r w:rsidR="00EE159C" w:rsidRPr="00D222A2">
        <w:rPr>
          <w:kern w:val="22"/>
        </w:rPr>
        <w:t>]</w:t>
      </w:r>
      <w:r w:rsidR="001E1D70" w:rsidRPr="00D222A2">
        <w:rPr>
          <w:kern w:val="22"/>
        </w:rPr>
        <w:t xml:space="preserve"> </w:t>
      </w:r>
      <w:r w:rsidR="005A2729" w:rsidRPr="00D222A2">
        <w:rPr>
          <w:kern w:val="22"/>
        </w:rPr>
        <w:t>organizations, networks, processes and initiatives supporting the generation, discovery, capture, management and use of biodiversity-related data, information and knowledge</w:t>
      </w:r>
      <w:r w:rsidR="00F30952" w:rsidRPr="00D222A2">
        <w:rPr>
          <w:kern w:val="22"/>
        </w:rPr>
        <w:t xml:space="preserve"> </w:t>
      </w:r>
      <w:r w:rsidR="00CE32CA" w:rsidRPr="00D222A2">
        <w:rPr>
          <w:kern w:val="22"/>
        </w:rPr>
        <w:t xml:space="preserve">to </w:t>
      </w:r>
      <w:r w:rsidR="00110900" w:rsidRPr="00D222A2">
        <w:rPr>
          <w:kern w:val="22"/>
        </w:rPr>
        <w:t>contribute</w:t>
      </w:r>
      <w:r w:rsidR="00C665FB" w:rsidRPr="00D222A2">
        <w:rPr>
          <w:kern w:val="22"/>
        </w:rPr>
        <w:t xml:space="preserve"> to the establishment of</w:t>
      </w:r>
      <w:r w:rsidR="00184AEB" w:rsidRPr="00D222A2">
        <w:rPr>
          <w:kern w:val="22"/>
        </w:rPr>
        <w:t xml:space="preserve"> a global biodiversity knowledge network</w:t>
      </w:r>
      <w:r w:rsidR="003B7293" w:rsidRPr="00D222A2">
        <w:rPr>
          <w:kern w:val="22"/>
        </w:rPr>
        <w:t>,</w:t>
      </w:r>
      <w:r w:rsidR="00184AEB" w:rsidRPr="00D222A2">
        <w:rPr>
          <w:kern w:val="22"/>
        </w:rPr>
        <w:t xml:space="preserve"> </w:t>
      </w:r>
      <w:r w:rsidR="001E1D70" w:rsidRPr="00D222A2">
        <w:rPr>
          <w:kern w:val="22"/>
        </w:rPr>
        <w:t>[</w:t>
      </w:r>
      <w:r w:rsidR="00C25232" w:rsidRPr="00D222A2">
        <w:rPr>
          <w:kern w:val="22"/>
        </w:rPr>
        <w:t>through</w:t>
      </w:r>
      <w:r w:rsidR="001E1D70" w:rsidRPr="00D222A2">
        <w:rPr>
          <w:kern w:val="22"/>
        </w:rPr>
        <w:t>]</w:t>
      </w:r>
      <w:r w:rsidR="00EE159C" w:rsidRPr="00D222A2">
        <w:rPr>
          <w:kern w:val="22"/>
        </w:rPr>
        <w:t>[</w:t>
      </w:r>
      <w:r w:rsidR="001E1D70" w:rsidRPr="00D222A2">
        <w:rPr>
          <w:kern w:val="22"/>
        </w:rPr>
        <w:t>including</w:t>
      </w:r>
      <w:r w:rsidR="00EE159C" w:rsidRPr="00D222A2">
        <w:rPr>
          <w:kern w:val="22"/>
        </w:rPr>
        <w:t>]</w:t>
      </w:r>
      <w:r w:rsidR="00F30952" w:rsidRPr="00D222A2">
        <w:rPr>
          <w:kern w:val="22"/>
        </w:rPr>
        <w:t xml:space="preserve"> the clearing-house mechanism of the Convention</w:t>
      </w:r>
      <w:r w:rsidR="00E911F5" w:rsidRPr="00D222A2">
        <w:rPr>
          <w:kern w:val="22"/>
        </w:rPr>
        <w:t>, based on existing knowledge management</w:t>
      </w:r>
      <w:r w:rsidR="001E1D70" w:rsidRPr="00D222A2">
        <w:rPr>
          <w:kern w:val="22"/>
        </w:rPr>
        <w:t xml:space="preserve"> </w:t>
      </w:r>
      <w:r w:rsidR="00EE159C" w:rsidRPr="00D222A2">
        <w:rPr>
          <w:kern w:val="22"/>
        </w:rPr>
        <w:t>[</w:t>
      </w:r>
      <w:r w:rsidR="001E1D70" w:rsidRPr="00D222A2">
        <w:rPr>
          <w:kern w:val="22"/>
        </w:rPr>
        <w:t>networks,</w:t>
      </w:r>
      <w:r w:rsidR="00EE159C" w:rsidRPr="00D222A2">
        <w:rPr>
          <w:kern w:val="22"/>
        </w:rPr>
        <w:t>]</w:t>
      </w:r>
      <w:r w:rsidR="00E911F5" w:rsidRPr="00D222A2">
        <w:rPr>
          <w:kern w:val="22"/>
        </w:rPr>
        <w:t xml:space="preserve"> organizations, </w:t>
      </w:r>
      <w:r w:rsidR="00FA02D9" w:rsidRPr="00D222A2">
        <w:rPr>
          <w:kern w:val="22"/>
        </w:rPr>
        <w:t>initiatives</w:t>
      </w:r>
      <w:r w:rsidR="00E911F5" w:rsidRPr="00D222A2">
        <w:rPr>
          <w:kern w:val="22"/>
        </w:rPr>
        <w:t xml:space="preserve"> and processes</w:t>
      </w:r>
      <w:r w:rsidR="00BD044A" w:rsidRPr="00D222A2">
        <w:rPr>
          <w:kern w:val="22"/>
        </w:rPr>
        <w:t xml:space="preserve"> </w:t>
      </w:r>
      <w:r w:rsidR="005A2729" w:rsidRPr="00D222A2">
        <w:rPr>
          <w:kern w:val="22"/>
        </w:rPr>
        <w:t>to, among other things, promote and facilitate coordination, collaboration, interconnection and networking among them with a view to making biodiversity data and information and knowledge more readily available and accessible for biodiversity planning, policy and decision</w:t>
      </w:r>
      <w:r w:rsidR="004A5B34" w:rsidRPr="00D222A2">
        <w:rPr>
          <w:kern w:val="22"/>
        </w:rPr>
        <w:noBreakHyphen/>
      </w:r>
      <w:r w:rsidR="005A2729" w:rsidRPr="00D222A2">
        <w:rPr>
          <w:kern w:val="22"/>
        </w:rPr>
        <w:t>making, implementation, monitoring, reporting and review;</w:t>
      </w:r>
    </w:p>
    <w:p w14:paraId="129C0A65" w14:textId="71827559" w:rsidR="009B6057"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285D2D">
        <w:rPr>
          <w:kern w:val="22"/>
        </w:rPr>
        <w:t>5.</w:t>
      </w:r>
      <w:r w:rsidRPr="00285D2D">
        <w:rPr>
          <w:kern w:val="22"/>
        </w:rPr>
        <w:tab/>
      </w:r>
      <w:r w:rsidR="009B6057" w:rsidRPr="00D222A2">
        <w:rPr>
          <w:i/>
          <w:iCs/>
          <w:kern w:val="22"/>
        </w:rPr>
        <w:t>Takes note</w:t>
      </w:r>
      <w:r w:rsidR="009B6057" w:rsidRPr="00D222A2">
        <w:rPr>
          <w:kern w:val="22"/>
        </w:rPr>
        <w:t xml:space="preserve"> of the outcomes and key messages from the virtual sessions of the Fifth Science-Policy Forum for Biodiversity and the Eighth International Conference on Sustainability Science, in particular the Round Table on Biodiversity Monitoring and Data</w:t>
      </w:r>
      <w:r w:rsidR="004069AD" w:rsidRPr="00D222A2">
        <w:rPr>
          <w:kern w:val="22"/>
        </w:rPr>
        <w:t>;</w:t>
      </w:r>
    </w:p>
    <w:p w14:paraId="07478116" w14:textId="0A5171AB" w:rsidR="009B6057"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285D2D">
        <w:rPr>
          <w:kern w:val="22"/>
        </w:rPr>
        <w:t>6.</w:t>
      </w:r>
      <w:r w:rsidRPr="00285D2D">
        <w:rPr>
          <w:kern w:val="22"/>
        </w:rPr>
        <w:tab/>
      </w:r>
      <w:r w:rsidR="00AB778E" w:rsidRPr="00D222A2">
        <w:rPr>
          <w:i/>
          <w:iCs/>
          <w:kern w:val="22"/>
        </w:rPr>
        <w:t xml:space="preserve">Urges </w:t>
      </w:r>
      <w:r w:rsidR="00AB778E" w:rsidRPr="00D222A2">
        <w:rPr>
          <w:kern w:val="22"/>
        </w:rPr>
        <w:t xml:space="preserve">Parties and </w:t>
      </w:r>
      <w:r w:rsidR="00AB778E" w:rsidRPr="00FE0CDA">
        <w:rPr>
          <w:kern w:val="22"/>
        </w:rPr>
        <w:t>invites</w:t>
      </w:r>
      <w:r w:rsidR="00AB778E" w:rsidRPr="00D222A2">
        <w:rPr>
          <w:kern w:val="22"/>
        </w:rPr>
        <w:t xml:space="preserve"> other </w:t>
      </w:r>
      <w:r w:rsidR="009B6057" w:rsidRPr="00D222A2">
        <w:rPr>
          <w:kern w:val="22"/>
        </w:rPr>
        <w:t>Governments and relevant organizations to</w:t>
      </w:r>
      <w:r w:rsidR="001E1D70" w:rsidRPr="00D222A2">
        <w:rPr>
          <w:kern w:val="22"/>
        </w:rPr>
        <w:t xml:space="preserve"> </w:t>
      </w:r>
      <w:r w:rsidR="00AA5CC0" w:rsidRPr="00D222A2">
        <w:rPr>
          <w:kern w:val="22"/>
        </w:rPr>
        <w:t>[</w:t>
      </w:r>
      <w:r w:rsidR="001E1D70" w:rsidRPr="00D222A2">
        <w:rPr>
          <w:kern w:val="22"/>
        </w:rPr>
        <w:t>support and</w:t>
      </w:r>
      <w:r w:rsidR="00AA5CC0" w:rsidRPr="00D222A2">
        <w:rPr>
          <w:kern w:val="22"/>
        </w:rPr>
        <w:t>]</w:t>
      </w:r>
      <w:r w:rsidR="009B6057" w:rsidRPr="00D222A2">
        <w:rPr>
          <w:kern w:val="22"/>
        </w:rPr>
        <w:t xml:space="preserve"> establish</w:t>
      </w:r>
      <w:r w:rsidR="00AA5CC0" w:rsidRPr="00D222A2">
        <w:rPr>
          <w:kern w:val="22"/>
        </w:rPr>
        <w:t>[</w:t>
      </w:r>
      <w:r w:rsidR="001E1D70" w:rsidRPr="00D222A2">
        <w:rPr>
          <w:kern w:val="22"/>
        </w:rPr>
        <w:t>, as appropriate, effective</w:t>
      </w:r>
      <w:r w:rsidR="00AA5CC0" w:rsidRPr="00D222A2">
        <w:rPr>
          <w:kern w:val="22"/>
        </w:rPr>
        <w:t>]</w:t>
      </w:r>
      <w:r w:rsidR="009B6057" w:rsidRPr="00D222A2">
        <w:rPr>
          <w:kern w:val="22"/>
        </w:rPr>
        <w:t xml:space="preserve"> </w:t>
      </w:r>
      <w:r w:rsidR="001E1D70" w:rsidRPr="00D222A2">
        <w:rPr>
          <w:kern w:val="22"/>
        </w:rPr>
        <w:t>[</w:t>
      </w:r>
      <w:r w:rsidR="009B6057" w:rsidRPr="00D222A2">
        <w:rPr>
          <w:kern w:val="22"/>
        </w:rPr>
        <w:t>well-resourced</w:t>
      </w:r>
      <w:r w:rsidR="00B34EB8" w:rsidRPr="00D222A2">
        <w:rPr>
          <w:kern w:val="22"/>
        </w:rPr>
        <w:t>]</w:t>
      </w:r>
      <w:r w:rsidR="009B6057" w:rsidRPr="00D222A2">
        <w:rPr>
          <w:kern w:val="22"/>
        </w:rPr>
        <w:t xml:space="preserve"> biodiversity </w:t>
      </w:r>
      <w:r w:rsidR="009645D1" w:rsidRPr="00D222A2">
        <w:rPr>
          <w:kern w:val="22"/>
        </w:rPr>
        <w:t>[</w:t>
      </w:r>
      <w:r w:rsidR="00096299" w:rsidRPr="00D222A2">
        <w:rPr>
          <w:kern w:val="22"/>
        </w:rPr>
        <w:t xml:space="preserve">and other related] </w:t>
      </w:r>
      <w:r w:rsidR="009B6057" w:rsidRPr="00D222A2">
        <w:rPr>
          <w:kern w:val="22"/>
        </w:rPr>
        <w:t>observation networks and information facilities, supported by data-sharing policies, associated capacity</w:t>
      </w:r>
      <w:r w:rsidR="00E13F3A" w:rsidRPr="00D222A2">
        <w:rPr>
          <w:kern w:val="22"/>
        </w:rPr>
        <w:t>-</w:t>
      </w:r>
      <w:r w:rsidR="009B6057" w:rsidRPr="00D222A2">
        <w:rPr>
          <w:kern w:val="22"/>
        </w:rPr>
        <w:t xml:space="preserve">building and guidance, to underpin </w:t>
      </w:r>
      <w:r w:rsidR="00E13F3A" w:rsidRPr="00D222A2">
        <w:rPr>
          <w:kern w:val="22"/>
        </w:rPr>
        <w:t xml:space="preserve">the </w:t>
      </w:r>
      <w:r w:rsidR="009B6057" w:rsidRPr="00D222A2">
        <w:rPr>
          <w:kern w:val="22"/>
        </w:rPr>
        <w:t>generation of the information needed to implement and track the goals and targets of the</w:t>
      </w:r>
      <w:r w:rsidR="001E1D70" w:rsidRPr="00D222A2">
        <w:rPr>
          <w:kern w:val="22"/>
        </w:rPr>
        <w:t xml:space="preserve"> post-2020</w:t>
      </w:r>
      <w:r w:rsidR="009B6057" w:rsidRPr="00D222A2">
        <w:rPr>
          <w:kern w:val="22"/>
        </w:rPr>
        <w:t xml:space="preserve"> </w:t>
      </w:r>
      <w:r w:rsidR="00B60077" w:rsidRPr="00D222A2">
        <w:rPr>
          <w:kern w:val="22"/>
        </w:rPr>
        <w:t>g</w:t>
      </w:r>
      <w:r w:rsidR="009B6057" w:rsidRPr="00D222A2">
        <w:rPr>
          <w:kern w:val="22"/>
        </w:rPr>
        <w:t xml:space="preserve">lobal </w:t>
      </w:r>
      <w:r w:rsidR="00B60077" w:rsidRPr="00D222A2">
        <w:rPr>
          <w:kern w:val="22"/>
        </w:rPr>
        <w:t>b</w:t>
      </w:r>
      <w:r w:rsidR="009B6057" w:rsidRPr="00D222A2">
        <w:rPr>
          <w:kern w:val="22"/>
        </w:rPr>
        <w:t xml:space="preserve">iodiversity </w:t>
      </w:r>
      <w:r w:rsidR="00B60077" w:rsidRPr="00D222A2">
        <w:rPr>
          <w:kern w:val="22"/>
        </w:rPr>
        <w:t>f</w:t>
      </w:r>
      <w:r w:rsidR="009B6057" w:rsidRPr="00D222A2">
        <w:rPr>
          <w:kern w:val="22"/>
        </w:rPr>
        <w:t>ramework</w:t>
      </w:r>
      <w:r w:rsidR="004069AD" w:rsidRPr="00D222A2">
        <w:rPr>
          <w:kern w:val="22"/>
        </w:rPr>
        <w:t>;</w:t>
      </w:r>
    </w:p>
    <w:p w14:paraId="1119BB9D" w14:textId="1266BC46" w:rsidR="00841BFA"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FE0CDA">
        <w:rPr>
          <w:kern w:val="22"/>
        </w:rPr>
        <w:t>7.</w:t>
      </w:r>
      <w:r w:rsidRPr="00FE0CDA">
        <w:rPr>
          <w:kern w:val="22"/>
        </w:rPr>
        <w:tab/>
      </w:r>
      <w:r w:rsidR="00EE159C" w:rsidRPr="00D222A2">
        <w:rPr>
          <w:i/>
          <w:iCs/>
          <w:kern w:val="22"/>
        </w:rPr>
        <w:t>[Takes note] [</w:t>
      </w:r>
      <w:r w:rsidR="00E911F5" w:rsidRPr="00D222A2">
        <w:rPr>
          <w:i/>
          <w:iCs/>
          <w:kern w:val="22"/>
        </w:rPr>
        <w:t>Welcomes</w:t>
      </w:r>
      <w:r w:rsidR="00EE159C" w:rsidRPr="00D222A2">
        <w:rPr>
          <w:i/>
          <w:iCs/>
          <w:kern w:val="22"/>
        </w:rPr>
        <w:t>]</w:t>
      </w:r>
      <w:r w:rsidR="00E911F5" w:rsidRPr="00D222A2">
        <w:rPr>
          <w:kern w:val="22"/>
        </w:rPr>
        <w:t xml:space="preserve"> the Initiative of </w:t>
      </w:r>
      <w:r w:rsidR="004A5B34" w:rsidRPr="00D222A2">
        <w:rPr>
          <w:kern w:val="22"/>
        </w:rPr>
        <w:t>the United Nations Environment Programme World Conservation Monitoring Centre (</w:t>
      </w:r>
      <w:r w:rsidR="00E911F5" w:rsidRPr="00D222A2">
        <w:rPr>
          <w:noProof/>
          <w:kern w:val="22"/>
        </w:rPr>
        <w:t>UNEP-WCMC</w:t>
      </w:r>
      <w:r w:rsidR="004A5B34" w:rsidRPr="00D222A2">
        <w:rPr>
          <w:kern w:val="22"/>
        </w:rPr>
        <w:t>)</w:t>
      </w:r>
      <w:r w:rsidR="00E911F5" w:rsidRPr="00D222A2">
        <w:rPr>
          <w:kern w:val="22"/>
        </w:rPr>
        <w:t xml:space="preserve"> and the E</w:t>
      </w:r>
      <w:r w:rsidR="00734167" w:rsidRPr="00D222A2">
        <w:rPr>
          <w:kern w:val="22"/>
        </w:rPr>
        <w:t>uropean</w:t>
      </w:r>
      <w:r w:rsidR="00E911F5" w:rsidRPr="00D222A2">
        <w:rPr>
          <w:kern w:val="22"/>
        </w:rPr>
        <w:t xml:space="preserve"> </w:t>
      </w:r>
      <w:r w:rsidR="00734167" w:rsidRPr="00D222A2">
        <w:rPr>
          <w:kern w:val="22"/>
        </w:rPr>
        <w:t>C</w:t>
      </w:r>
      <w:r w:rsidR="00E911F5" w:rsidRPr="00D222A2">
        <w:rPr>
          <w:kern w:val="22"/>
        </w:rPr>
        <w:t>ommission to develop a global Knowledge Centre for Biodiversity</w:t>
      </w:r>
      <w:r w:rsidR="00EE095E" w:rsidRPr="00D222A2">
        <w:rPr>
          <w:rStyle w:val="FootnoteReference"/>
          <w:kern w:val="22"/>
        </w:rPr>
        <w:footnoteReference w:id="4"/>
      </w:r>
      <w:r w:rsidR="00E911F5" w:rsidRPr="00D222A2">
        <w:rPr>
          <w:kern w:val="22"/>
        </w:rPr>
        <w:t xml:space="preserve"> notably for tracking progress on </w:t>
      </w:r>
      <w:r w:rsidR="008F112D" w:rsidRPr="00D222A2">
        <w:rPr>
          <w:kern w:val="22"/>
        </w:rPr>
        <w:t>t</w:t>
      </w:r>
      <w:r w:rsidR="00E911F5" w:rsidRPr="00D222A2">
        <w:rPr>
          <w:kern w:val="22"/>
        </w:rPr>
        <w:t>argets and goals</w:t>
      </w:r>
      <w:r w:rsidR="00EE159C" w:rsidRPr="00D222A2">
        <w:rPr>
          <w:kern w:val="22"/>
        </w:rPr>
        <w:t>[</w:t>
      </w:r>
      <w:r w:rsidR="00841BFA" w:rsidRPr="00D222A2">
        <w:rPr>
          <w:kern w:val="22"/>
        </w:rPr>
        <w:t xml:space="preserve">, in coordination with interested </w:t>
      </w:r>
      <w:r w:rsidR="004B62B1" w:rsidRPr="00D222A2">
        <w:rPr>
          <w:kern w:val="22"/>
        </w:rPr>
        <w:t>P</w:t>
      </w:r>
      <w:r w:rsidR="00841BFA" w:rsidRPr="00D222A2">
        <w:rPr>
          <w:kern w:val="22"/>
        </w:rPr>
        <w:t>arties and regional intergovernmental organizations, along with a process of transferring tech</w:t>
      </w:r>
      <w:r w:rsidR="004B62B1" w:rsidRPr="00D222A2">
        <w:rPr>
          <w:kern w:val="22"/>
        </w:rPr>
        <w:t>nologies</w:t>
      </w:r>
      <w:r w:rsidR="00841BFA" w:rsidRPr="00D222A2">
        <w:rPr>
          <w:kern w:val="22"/>
        </w:rPr>
        <w:t xml:space="preserve"> and capacities to developing country Parties,</w:t>
      </w:r>
      <w:r w:rsidR="00EE159C" w:rsidRPr="00D222A2">
        <w:rPr>
          <w:kern w:val="22"/>
        </w:rPr>
        <w:t>]</w:t>
      </w:r>
      <w:r w:rsidR="00E911F5" w:rsidRPr="00D222A2">
        <w:rPr>
          <w:kern w:val="22"/>
        </w:rPr>
        <w:t xml:space="preserve"> and </w:t>
      </w:r>
      <w:r w:rsidR="00E911F5" w:rsidRPr="00FE0CDA">
        <w:rPr>
          <w:kern w:val="22"/>
        </w:rPr>
        <w:t>invites</w:t>
      </w:r>
      <w:r w:rsidR="00E911F5" w:rsidRPr="00D222A2">
        <w:rPr>
          <w:kern w:val="22"/>
        </w:rPr>
        <w:t xml:space="preserve"> </w:t>
      </w:r>
      <w:r w:rsidR="00EE159C" w:rsidRPr="00D222A2">
        <w:rPr>
          <w:kern w:val="22"/>
        </w:rPr>
        <w:t xml:space="preserve">[interested Parties and </w:t>
      </w:r>
      <w:r w:rsidR="004B62B1" w:rsidRPr="00D222A2">
        <w:rPr>
          <w:kern w:val="22"/>
        </w:rPr>
        <w:t xml:space="preserve">the global Knowledge Centre for Biodiversity to support the implementation of the post-2020 </w:t>
      </w:r>
      <w:r w:rsidR="002559BC" w:rsidRPr="00D222A2">
        <w:rPr>
          <w:kern w:val="22"/>
        </w:rPr>
        <w:t>g</w:t>
      </w:r>
      <w:r w:rsidR="004B62B1" w:rsidRPr="00D222A2">
        <w:rPr>
          <w:kern w:val="22"/>
        </w:rPr>
        <w:t xml:space="preserve">lobal </w:t>
      </w:r>
      <w:r w:rsidR="002559BC" w:rsidRPr="00D222A2">
        <w:rPr>
          <w:kern w:val="22"/>
        </w:rPr>
        <w:t>b</w:t>
      </w:r>
      <w:r w:rsidR="004B62B1" w:rsidRPr="00D222A2">
        <w:rPr>
          <w:kern w:val="22"/>
        </w:rPr>
        <w:t xml:space="preserve">iodiversity </w:t>
      </w:r>
      <w:r w:rsidR="002559BC" w:rsidRPr="00D222A2">
        <w:rPr>
          <w:kern w:val="22"/>
        </w:rPr>
        <w:t>f</w:t>
      </w:r>
      <w:r w:rsidR="004B62B1" w:rsidRPr="00D222A2">
        <w:rPr>
          <w:kern w:val="22"/>
        </w:rPr>
        <w:t xml:space="preserve">ramework, as appropriate, in particular </w:t>
      </w:r>
      <w:r w:rsidR="00EE159C" w:rsidRPr="00D222A2">
        <w:rPr>
          <w:kern w:val="22"/>
        </w:rPr>
        <w:t>[</w:t>
      </w:r>
      <w:r w:rsidR="004B62B1" w:rsidRPr="00D222A2">
        <w:rPr>
          <w:kern w:val="22"/>
        </w:rPr>
        <w:t xml:space="preserve">for </w:t>
      </w:r>
      <w:r w:rsidR="00EE159C" w:rsidRPr="00D222A2">
        <w:rPr>
          <w:kern w:val="22"/>
        </w:rPr>
        <w:t>developing countries Parties and any other</w:t>
      </w:r>
      <w:r w:rsidR="00D57C8C" w:rsidRPr="00D222A2">
        <w:rPr>
          <w:kern w:val="22"/>
        </w:rPr>
        <w:t xml:space="preserve"> Parties</w:t>
      </w:r>
      <w:r w:rsidR="00EE159C" w:rsidRPr="00D222A2">
        <w:rPr>
          <w:kern w:val="22"/>
        </w:rPr>
        <w:t>] [</w:t>
      </w:r>
      <w:r w:rsidR="004B62B1" w:rsidRPr="00D222A2">
        <w:rPr>
          <w:kern w:val="22"/>
        </w:rPr>
        <w:t>Parties in need of support</w:t>
      </w:r>
      <w:r w:rsidR="00EE159C" w:rsidRPr="00D222A2">
        <w:rPr>
          <w:kern w:val="22"/>
        </w:rPr>
        <w:t>]</w:t>
      </w:r>
      <w:r w:rsidR="004B62B1" w:rsidRPr="00D222A2">
        <w:rPr>
          <w:kern w:val="22"/>
        </w:rPr>
        <w:t>,</w:t>
      </w:r>
      <w:r w:rsidR="00EE159C" w:rsidRPr="00D222A2">
        <w:rPr>
          <w:kern w:val="22"/>
        </w:rPr>
        <w:t>]</w:t>
      </w:r>
      <w:r w:rsidR="004B62B1" w:rsidRPr="00D222A2">
        <w:rPr>
          <w:kern w:val="22"/>
        </w:rPr>
        <w:t xml:space="preserve"> </w:t>
      </w:r>
      <w:r w:rsidR="00E911F5" w:rsidRPr="00D222A2">
        <w:rPr>
          <w:kern w:val="22"/>
        </w:rPr>
        <w:t>and stakeholders to assist in the further development of this global Knowledge Centre for Biodiversity</w:t>
      </w:r>
      <w:r w:rsidR="004069AD" w:rsidRPr="00D222A2">
        <w:rPr>
          <w:kern w:val="22"/>
        </w:rPr>
        <w:t>;</w:t>
      </w:r>
    </w:p>
    <w:p w14:paraId="68A8A81C" w14:textId="5C751300" w:rsidR="00E911F5"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285D2D">
        <w:rPr>
          <w:kern w:val="22"/>
        </w:rPr>
        <w:t>8.</w:t>
      </w:r>
      <w:r w:rsidRPr="00285D2D">
        <w:rPr>
          <w:kern w:val="22"/>
        </w:rPr>
        <w:tab/>
      </w:r>
      <w:r w:rsidR="00841BFA" w:rsidRPr="00D222A2">
        <w:rPr>
          <w:i/>
          <w:iCs/>
          <w:kern w:val="22"/>
        </w:rPr>
        <w:t xml:space="preserve">[Takes note </w:t>
      </w:r>
      <w:r w:rsidR="00841BFA" w:rsidRPr="00D222A2">
        <w:rPr>
          <w:kern w:val="22"/>
        </w:rPr>
        <w:t>of</w:t>
      </w:r>
      <w:r w:rsidR="00841BFA" w:rsidRPr="00D222A2">
        <w:rPr>
          <w:i/>
          <w:iCs/>
          <w:kern w:val="22"/>
        </w:rPr>
        <w:t>][</w:t>
      </w:r>
      <w:r w:rsidR="00E911F5" w:rsidRPr="00D222A2">
        <w:rPr>
          <w:i/>
          <w:iCs/>
          <w:kern w:val="22"/>
        </w:rPr>
        <w:t>Welcomes</w:t>
      </w:r>
      <w:r w:rsidR="00841BFA" w:rsidRPr="00D222A2">
        <w:rPr>
          <w:i/>
          <w:iCs/>
          <w:kern w:val="22"/>
        </w:rPr>
        <w:t>]</w:t>
      </w:r>
      <w:r w:rsidR="00E911F5" w:rsidRPr="00D222A2">
        <w:rPr>
          <w:kern w:val="22"/>
        </w:rPr>
        <w:t xml:space="preserve"> the Data4Nature initiative</w:t>
      </w:r>
      <w:r w:rsidR="00E6595B" w:rsidRPr="00D222A2">
        <w:rPr>
          <w:rStyle w:val="FootnoteReference"/>
          <w:kern w:val="22"/>
        </w:rPr>
        <w:footnoteReference w:id="5"/>
      </w:r>
      <w:r w:rsidR="006A35A7" w:rsidRPr="00D222A2">
        <w:rPr>
          <w:kern w:val="22"/>
        </w:rPr>
        <w:t xml:space="preserve"> </w:t>
      </w:r>
      <w:r w:rsidR="00E911F5" w:rsidRPr="00D222A2">
        <w:rPr>
          <w:kern w:val="22"/>
        </w:rPr>
        <w:t xml:space="preserve">and consequently invites Parties, </w:t>
      </w:r>
      <w:r w:rsidR="00AD765B" w:rsidRPr="00D222A2">
        <w:rPr>
          <w:kern w:val="22"/>
        </w:rPr>
        <w:t>n</w:t>
      </w:r>
      <w:r w:rsidR="00E911F5" w:rsidRPr="00D222A2">
        <w:rPr>
          <w:kern w:val="22"/>
        </w:rPr>
        <w:t>on</w:t>
      </w:r>
      <w:r w:rsidR="00E6595B" w:rsidRPr="00D222A2">
        <w:rPr>
          <w:kern w:val="22"/>
        </w:rPr>
        <w:t>-</w:t>
      </w:r>
      <w:r w:rsidR="00E911F5" w:rsidRPr="00D222A2">
        <w:rPr>
          <w:kern w:val="22"/>
        </w:rPr>
        <w:t xml:space="preserve">Parties, funding agencies, development banks and other relevant stakeholders to take biodiversity into account when developing </w:t>
      </w:r>
      <w:r w:rsidR="00F47905" w:rsidRPr="00D222A2">
        <w:rPr>
          <w:kern w:val="22"/>
        </w:rPr>
        <w:t>e</w:t>
      </w:r>
      <w:r w:rsidR="00E911F5" w:rsidRPr="00D222A2">
        <w:rPr>
          <w:kern w:val="22"/>
        </w:rPr>
        <w:t xml:space="preserve">nvironmental and </w:t>
      </w:r>
      <w:r w:rsidR="00F47905" w:rsidRPr="00D222A2">
        <w:rPr>
          <w:kern w:val="22"/>
        </w:rPr>
        <w:t>s</w:t>
      </w:r>
      <w:r w:rsidR="00E911F5" w:rsidRPr="00D222A2">
        <w:rPr>
          <w:kern w:val="22"/>
        </w:rPr>
        <w:t xml:space="preserve">ocial </w:t>
      </w:r>
      <w:r w:rsidR="00F47905" w:rsidRPr="00D222A2">
        <w:rPr>
          <w:kern w:val="22"/>
        </w:rPr>
        <w:t>i</w:t>
      </w:r>
      <w:r w:rsidR="00E911F5" w:rsidRPr="00D222A2">
        <w:rPr>
          <w:kern w:val="22"/>
        </w:rPr>
        <w:t xml:space="preserve">mpact </w:t>
      </w:r>
      <w:r w:rsidR="00F47905" w:rsidRPr="00D222A2">
        <w:rPr>
          <w:kern w:val="22"/>
        </w:rPr>
        <w:t>a</w:t>
      </w:r>
      <w:r w:rsidR="00E911F5" w:rsidRPr="00D222A2">
        <w:rPr>
          <w:kern w:val="22"/>
        </w:rPr>
        <w:t xml:space="preserve">ssessments and share the biodiversity data from the assessments through </w:t>
      </w:r>
      <w:r w:rsidR="00277F04" w:rsidRPr="00D222A2">
        <w:rPr>
          <w:kern w:val="22"/>
        </w:rPr>
        <w:t xml:space="preserve">the </w:t>
      </w:r>
      <w:r w:rsidR="00E911F5" w:rsidRPr="00D222A2">
        <w:rPr>
          <w:kern w:val="22"/>
        </w:rPr>
        <w:t>G</w:t>
      </w:r>
      <w:r w:rsidR="00277F04" w:rsidRPr="00D222A2">
        <w:rPr>
          <w:kern w:val="22"/>
        </w:rPr>
        <w:t xml:space="preserve">lobal </w:t>
      </w:r>
      <w:r w:rsidR="00E911F5" w:rsidRPr="00D222A2">
        <w:rPr>
          <w:kern w:val="22"/>
        </w:rPr>
        <w:t>B</w:t>
      </w:r>
      <w:r w:rsidR="00277F04" w:rsidRPr="00D222A2">
        <w:rPr>
          <w:kern w:val="22"/>
        </w:rPr>
        <w:t xml:space="preserve">iodiversity </w:t>
      </w:r>
      <w:r w:rsidR="00E911F5" w:rsidRPr="00D222A2">
        <w:rPr>
          <w:kern w:val="22"/>
        </w:rPr>
        <w:t>I</w:t>
      </w:r>
      <w:r w:rsidR="00277F04" w:rsidRPr="00D222A2">
        <w:rPr>
          <w:kern w:val="22"/>
        </w:rPr>
        <w:t xml:space="preserve">nformation </w:t>
      </w:r>
      <w:r w:rsidR="00E911F5" w:rsidRPr="00D222A2">
        <w:rPr>
          <w:kern w:val="22"/>
        </w:rPr>
        <w:t>F</w:t>
      </w:r>
      <w:r w:rsidR="0045094A" w:rsidRPr="00D222A2">
        <w:rPr>
          <w:kern w:val="22"/>
        </w:rPr>
        <w:t>acility</w:t>
      </w:r>
      <w:r w:rsidR="004069AD" w:rsidRPr="00D222A2">
        <w:rPr>
          <w:kern w:val="22"/>
        </w:rPr>
        <w:t>;</w:t>
      </w:r>
    </w:p>
    <w:p w14:paraId="294627DE" w14:textId="31FD460C" w:rsidR="00E911F5" w:rsidRPr="00D222A2"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285D2D">
        <w:rPr>
          <w:kern w:val="22"/>
        </w:rPr>
        <w:t>9.</w:t>
      </w:r>
      <w:r w:rsidRPr="00285D2D">
        <w:rPr>
          <w:kern w:val="22"/>
        </w:rPr>
        <w:tab/>
      </w:r>
      <w:r w:rsidR="007D1D3A" w:rsidRPr="00D222A2">
        <w:rPr>
          <w:i/>
          <w:iCs/>
          <w:kern w:val="22"/>
        </w:rPr>
        <w:t xml:space="preserve"> </w:t>
      </w:r>
      <w:r w:rsidR="00841BFA" w:rsidRPr="00D222A2">
        <w:rPr>
          <w:i/>
          <w:iCs/>
          <w:kern w:val="22"/>
        </w:rPr>
        <w:t xml:space="preserve">[Takes note </w:t>
      </w:r>
      <w:r w:rsidR="00841BFA" w:rsidRPr="00D222A2">
        <w:rPr>
          <w:kern w:val="22"/>
        </w:rPr>
        <w:t>of</w:t>
      </w:r>
      <w:r w:rsidR="00841BFA" w:rsidRPr="00D222A2">
        <w:rPr>
          <w:i/>
          <w:iCs/>
          <w:kern w:val="22"/>
        </w:rPr>
        <w:t>][</w:t>
      </w:r>
      <w:r w:rsidR="00E911F5" w:rsidRPr="00D222A2">
        <w:rPr>
          <w:i/>
          <w:iCs/>
          <w:kern w:val="22"/>
        </w:rPr>
        <w:t>Welcomes</w:t>
      </w:r>
      <w:r w:rsidR="00841BFA" w:rsidRPr="00D222A2">
        <w:rPr>
          <w:i/>
          <w:iCs/>
          <w:kern w:val="22"/>
        </w:rPr>
        <w:t>]</w:t>
      </w:r>
      <w:r w:rsidR="00E911F5" w:rsidRPr="00D222A2">
        <w:rPr>
          <w:kern w:val="22"/>
        </w:rPr>
        <w:t xml:space="preserve"> the global partnership</w:t>
      </w:r>
      <w:r w:rsidR="001D2FE9" w:rsidRPr="00D222A2">
        <w:rPr>
          <w:kern w:val="22"/>
        </w:rPr>
        <w:t xml:space="preserve"> </w:t>
      </w:r>
      <w:r w:rsidR="00E911F5" w:rsidRPr="00D222A2">
        <w:rPr>
          <w:kern w:val="22"/>
        </w:rPr>
        <w:t>PANORAMA: Solutions for a Healthy Planet</w:t>
      </w:r>
      <w:r w:rsidR="006A5E9F" w:rsidRPr="00D222A2">
        <w:rPr>
          <w:kern w:val="22"/>
        </w:rPr>
        <w:t>,</w:t>
      </w:r>
      <w:r w:rsidR="00901CA3" w:rsidRPr="00D222A2">
        <w:rPr>
          <w:rStyle w:val="FootnoteReference"/>
          <w:kern w:val="22"/>
        </w:rPr>
        <w:footnoteReference w:id="6"/>
      </w:r>
      <w:r w:rsidR="00E911F5" w:rsidRPr="00D222A2">
        <w:rPr>
          <w:kern w:val="22"/>
        </w:rPr>
        <w:t xml:space="preserve"> which supports implementation through knowledge generation, management and sharing for effective biodiversity planning, policy development, decision-making, implementation, transparency and responsibility</w:t>
      </w:r>
      <w:r w:rsidR="004069AD" w:rsidRPr="00D222A2">
        <w:rPr>
          <w:kern w:val="22"/>
        </w:rPr>
        <w:t>;</w:t>
      </w:r>
    </w:p>
    <w:p w14:paraId="55266D4B" w14:textId="42FB3750" w:rsidR="007D1D3A" w:rsidRPr="00D222A2" w:rsidRDefault="00D222A2"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w:t>
      </w:r>
      <w:r w:rsidR="00360081" w:rsidRPr="00285D2D">
        <w:rPr>
          <w:kern w:val="22"/>
        </w:rPr>
        <w:t>10.</w:t>
      </w:r>
      <w:r w:rsidR="00360081" w:rsidRPr="00285D2D">
        <w:rPr>
          <w:kern w:val="22"/>
        </w:rPr>
        <w:tab/>
      </w:r>
      <w:r w:rsidR="00243CDD" w:rsidRPr="00D222A2">
        <w:rPr>
          <w:i/>
          <w:iCs/>
          <w:kern w:val="22"/>
        </w:rPr>
        <w:t xml:space="preserve">Welcomes </w:t>
      </w:r>
      <w:r w:rsidR="00243CDD" w:rsidRPr="00D222A2">
        <w:rPr>
          <w:kern w:val="22"/>
        </w:rPr>
        <w:t>the establishment of the Amazon Regional Observatory (ARO) of the Amazon Cooperation Treaty Organizations (</w:t>
      </w:r>
      <w:r w:rsidR="005872F1" w:rsidRPr="00D222A2">
        <w:rPr>
          <w:kern w:val="22"/>
        </w:rPr>
        <w:t>A</w:t>
      </w:r>
      <w:r w:rsidR="00243CDD" w:rsidRPr="00D222A2">
        <w:rPr>
          <w:kern w:val="22"/>
        </w:rPr>
        <w:t xml:space="preserve">CTO), which includes information and data for conservation and sustainable use of biodiversity, and </w:t>
      </w:r>
      <w:r w:rsidR="00243CDD" w:rsidRPr="00285D2D">
        <w:rPr>
          <w:kern w:val="22"/>
        </w:rPr>
        <w:t>invites</w:t>
      </w:r>
      <w:r w:rsidR="00243CDD" w:rsidRPr="00D222A2">
        <w:rPr>
          <w:i/>
          <w:iCs/>
          <w:kern w:val="22"/>
        </w:rPr>
        <w:t xml:space="preserve"> </w:t>
      </w:r>
      <w:r w:rsidR="00243CDD" w:rsidRPr="00D222A2">
        <w:rPr>
          <w:kern w:val="22"/>
        </w:rPr>
        <w:t>donors and multilateral organizations to provide international cooperation for strengthening these initiatives as well as other relevant knowledge platforms;]</w:t>
      </w:r>
    </w:p>
    <w:p w14:paraId="5E32AEF5" w14:textId="42165788" w:rsidR="005A2729" w:rsidRPr="00FA3FC5"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FE0CDA">
        <w:rPr>
          <w:kern w:val="22"/>
        </w:rPr>
        <w:t>11.</w:t>
      </w:r>
      <w:r w:rsidRPr="00FE0CDA">
        <w:rPr>
          <w:kern w:val="22"/>
        </w:rPr>
        <w:tab/>
      </w:r>
      <w:r w:rsidR="005A2729" w:rsidRPr="00D222A2">
        <w:rPr>
          <w:i/>
          <w:iCs/>
          <w:kern w:val="22"/>
        </w:rPr>
        <w:t xml:space="preserve">Takes note </w:t>
      </w:r>
      <w:r w:rsidR="005A2729" w:rsidRPr="00D222A2">
        <w:rPr>
          <w:kern w:val="22"/>
        </w:rPr>
        <w:t>of the progress made in the implementation of the work programme for the clearing-house mechanism in support of the Strategic Plan for Biodiversity 2011-2020,</w:t>
      </w:r>
      <w:r w:rsidR="005F6CC0" w:rsidRPr="00131933">
        <w:rPr>
          <w:kern w:val="22"/>
          <w:vertAlign w:val="superscript"/>
        </w:rPr>
        <w:fldChar w:fldCharType="begin"/>
      </w:r>
      <w:r w:rsidR="005F6CC0" w:rsidRPr="00D222A2">
        <w:rPr>
          <w:kern w:val="22"/>
          <w:vertAlign w:val="superscript"/>
        </w:rPr>
        <w:instrText xml:space="preserve"> NOTEREF _Ref73016091 \h  \* MERGEFORMAT </w:instrText>
      </w:r>
      <w:r w:rsidR="005F6CC0" w:rsidRPr="00131933">
        <w:rPr>
          <w:kern w:val="22"/>
          <w:vertAlign w:val="superscript"/>
        </w:rPr>
      </w:r>
      <w:r w:rsidR="005F6CC0" w:rsidRPr="00131933">
        <w:rPr>
          <w:kern w:val="22"/>
          <w:vertAlign w:val="superscript"/>
        </w:rPr>
        <w:fldChar w:fldCharType="separate"/>
      </w:r>
      <w:r w:rsidR="00EC3975" w:rsidRPr="00D222A2">
        <w:rPr>
          <w:kern w:val="22"/>
          <w:vertAlign w:val="superscript"/>
        </w:rPr>
        <w:t>1</w:t>
      </w:r>
      <w:r w:rsidR="005F6CC0" w:rsidRPr="00131933">
        <w:rPr>
          <w:kern w:val="22"/>
          <w:vertAlign w:val="superscript"/>
        </w:rPr>
        <w:fldChar w:fldCharType="end"/>
      </w:r>
      <w:r w:rsidR="005A2729" w:rsidRPr="00D222A2">
        <w:rPr>
          <w:kern w:val="22"/>
        </w:rPr>
        <w:t xml:space="preserve"> and the draft elements of a post-2020 work programme for the clearing-house mechanism, outlined in the note by the Executive Secretary;</w:t>
      </w:r>
      <w:r w:rsidR="005A2729" w:rsidRPr="00D222A2">
        <w:rPr>
          <w:rStyle w:val="FootnoteReference"/>
          <w:kern w:val="22"/>
        </w:rPr>
        <w:footnoteReference w:id="7"/>
      </w:r>
    </w:p>
    <w:p w14:paraId="3F7FB97C" w14:textId="2B24E949" w:rsidR="00B54791" w:rsidRPr="00393BD8"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FE0CDA">
        <w:rPr>
          <w:kern w:val="22"/>
        </w:rPr>
        <w:lastRenderedPageBreak/>
        <w:t>12.</w:t>
      </w:r>
      <w:r w:rsidRPr="00285D2D">
        <w:rPr>
          <w:kern w:val="22"/>
        </w:rPr>
        <w:tab/>
      </w:r>
      <w:r w:rsidR="004E56F3" w:rsidRPr="00393BD8">
        <w:rPr>
          <w:i/>
          <w:iCs/>
          <w:kern w:val="22"/>
        </w:rPr>
        <w:t>Decides</w:t>
      </w:r>
      <w:r w:rsidR="004E56F3" w:rsidRPr="00393BD8">
        <w:rPr>
          <w:kern w:val="22"/>
        </w:rPr>
        <w:t> to extend the work programme of the clearing-house mechanism for the period 2021-2030 and </w:t>
      </w:r>
      <w:r w:rsidR="006D3CFC" w:rsidRPr="00393BD8">
        <w:rPr>
          <w:kern w:val="22"/>
        </w:rPr>
        <w:t xml:space="preserve">to </w:t>
      </w:r>
      <w:r w:rsidR="00123B10" w:rsidRPr="00393BD8">
        <w:rPr>
          <w:kern w:val="22"/>
        </w:rPr>
        <w:t>update it in line with</w:t>
      </w:r>
      <w:r w:rsidR="004E56F3" w:rsidRPr="00393BD8">
        <w:rPr>
          <w:kern w:val="22"/>
        </w:rPr>
        <w:t xml:space="preserve"> the post-2020 </w:t>
      </w:r>
      <w:r w:rsidR="003D6DFE" w:rsidRPr="00393BD8">
        <w:rPr>
          <w:kern w:val="22"/>
        </w:rPr>
        <w:t>g</w:t>
      </w:r>
      <w:r w:rsidR="004E56F3" w:rsidRPr="00393BD8">
        <w:rPr>
          <w:kern w:val="22"/>
        </w:rPr>
        <w:t xml:space="preserve">lobal </w:t>
      </w:r>
      <w:r w:rsidR="003D6DFE" w:rsidRPr="00393BD8">
        <w:rPr>
          <w:kern w:val="22"/>
        </w:rPr>
        <w:t>b</w:t>
      </w:r>
      <w:r w:rsidR="004E56F3" w:rsidRPr="00393BD8">
        <w:rPr>
          <w:kern w:val="22"/>
        </w:rPr>
        <w:t xml:space="preserve">iodiversity </w:t>
      </w:r>
      <w:r w:rsidR="003D6DFE" w:rsidRPr="00393BD8">
        <w:rPr>
          <w:kern w:val="22"/>
        </w:rPr>
        <w:t>f</w:t>
      </w:r>
      <w:r w:rsidR="004E56F3" w:rsidRPr="00393BD8">
        <w:rPr>
          <w:kern w:val="22"/>
        </w:rPr>
        <w:t>rame</w:t>
      </w:r>
      <w:r w:rsidR="004E28B8" w:rsidRPr="00393BD8">
        <w:rPr>
          <w:kern w:val="22"/>
        </w:rPr>
        <w:t>work</w:t>
      </w:r>
      <w:r w:rsidR="004E56F3" w:rsidRPr="00393BD8">
        <w:rPr>
          <w:kern w:val="22"/>
        </w:rPr>
        <w:t xml:space="preserve"> and relevant decisions</w:t>
      </w:r>
      <w:r w:rsidR="00C47444" w:rsidRPr="00393BD8">
        <w:rPr>
          <w:kern w:val="22"/>
        </w:rPr>
        <w:t xml:space="preserve"> </w:t>
      </w:r>
      <w:r w:rsidR="0098059E" w:rsidRPr="00393BD8">
        <w:rPr>
          <w:kern w:val="22"/>
        </w:rPr>
        <w:t>[of the Conference of the Parties]</w:t>
      </w:r>
      <w:r w:rsidR="00841BFA" w:rsidRPr="00393BD8">
        <w:rPr>
          <w:kern w:val="22"/>
        </w:rPr>
        <w:t>[</w:t>
      </w:r>
      <w:r w:rsidR="00C47444" w:rsidRPr="00393BD8">
        <w:rPr>
          <w:kern w:val="22"/>
        </w:rPr>
        <w:t>at its next meeting</w:t>
      </w:r>
      <w:r w:rsidR="00841BFA" w:rsidRPr="00393BD8">
        <w:rPr>
          <w:kern w:val="22"/>
        </w:rPr>
        <w:t>]</w:t>
      </w:r>
      <w:r w:rsidR="00384B0D" w:rsidRPr="00393BD8">
        <w:rPr>
          <w:kern w:val="22"/>
        </w:rPr>
        <w:t xml:space="preserve">, </w:t>
      </w:r>
      <w:r w:rsidR="001A31ED" w:rsidRPr="00393BD8">
        <w:rPr>
          <w:kern w:val="22"/>
        </w:rPr>
        <w:t>the knowledge management component of the post-2020 global biodiversity framework, the long-term strategic framework for capacity</w:t>
      </w:r>
      <w:r w:rsidR="001815C0" w:rsidRPr="00393BD8">
        <w:rPr>
          <w:kern w:val="22"/>
        </w:rPr>
        <w:t>-</w:t>
      </w:r>
      <w:r w:rsidR="00841BFA" w:rsidRPr="00393BD8">
        <w:rPr>
          <w:kern w:val="22"/>
        </w:rPr>
        <w:t>building and</w:t>
      </w:r>
      <w:r w:rsidR="001A31ED" w:rsidRPr="00393BD8">
        <w:rPr>
          <w:kern w:val="22"/>
        </w:rPr>
        <w:t xml:space="preserve"> development, </w:t>
      </w:r>
      <w:r w:rsidR="001A31ED" w:rsidRPr="00393BD8">
        <w:t xml:space="preserve">[the resource mobilization strategy,] </w:t>
      </w:r>
      <w:r w:rsidR="001A31ED" w:rsidRPr="00393BD8">
        <w:rPr>
          <w:kern w:val="22"/>
        </w:rPr>
        <w:t xml:space="preserve">and the enhanced planning, reporting and review mechanism, </w:t>
      </w:r>
      <w:r w:rsidR="001A31ED" w:rsidRPr="00393BD8">
        <w:t>[as well as the proposals to strengthen technical and scientific cooperation</w:t>
      </w:r>
      <w:r w:rsidR="00457672" w:rsidRPr="00393BD8">
        <w:t>]</w:t>
      </w:r>
      <w:r w:rsidR="009A503D" w:rsidRPr="00393BD8">
        <w:rPr>
          <w:kern w:val="22"/>
        </w:rPr>
        <w:t>;</w:t>
      </w:r>
    </w:p>
    <w:p w14:paraId="0CE87A73" w14:textId="00507F01" w:rsidR="005A2729" w:rsidRPr="00393BD8"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285D2D">
        <w:rPr>
          <w:kern w:val="22"/>
        </w:rPr>
        <w:t>13.</w:t>
      </w:r>
      <w:r w:rsidRPr="00285D2D">
        <w:rPr>
          <w:kern w:val="22"/>
        </w:rPr>
        <w:tab/>
      </w:r>
      <w:r w:rsidR="005A2729" w:rsidRPr="00393BD8">
        <w:rPr>
          <w:i/>
          <w:iCs/>
          <w:kern w:val="22"/>
        </w:rPr>
        <w:t xml:space="preserve">Requests </w:t>
      </w:r>
      <w:r w:rsidR="005A2729" w:rsidRPr="00393BD8">
        <w:rPr>
          <w:kern w:val="22"/>
        </w:rPr>
        <w:t xml:space="preserve">the Informal Advisory </w:t>
      </w:r>
      <w:r w:rsidR="00E911F5" w:rsidRPr="00393BD8">
        <w:t xml:space="preserve">Group </w:t>
      </w:r>
      <w:r w:rsidR="005A2729" w:rsidRPr="00393BD8">
        <w:rPr>
          <w:kern w:val="22"/>
        </w:rPr>
        <w:t>on Technical and Scientific Cooperation,</w:t>
      </w:r>
      <w:r w:rsidR="005A2729" w:rsidRPr="00393BD8">
        <w:rPr>
          <w:rStyle w:val="FootnoteReference"/>
          <w:kern w:val="22"/>
        </w:rPr>
        <w:footnoteReference w:id="8"/>
      </w:r>
      <w:r w:rsidR="005A2729" w:rsidRPr="00393BD8">
        <w:rPr>
          <w:kern w:val="22"/>
        </w:rPr>
        <w:t xml:space="preserve"> as per its mandate, to provide the Executive Secretary with advice on the development and implementation of the work programme for the clearing-house mechanism in support of the post-2020 global biodiversity </w:t>
      </w:r>
      <w:proofErr w:type="gramStart"/>
      <w:r w:rsidR="005A2729" w:rsidRPr="00393BD8">
        <w:rPr>
          <w:kern w:val="22"/>
        </w:rPr>
        <w:t>framework;</w:t>
      </w:r>
      <w:proofErr w:type="gramEnd"/>
    </w:p>
    <w:p w14:paraId="6C03FD08" w14:textId="62736758" w:rsidR="00434CCA" w:rsidRPr="00393BD8" w:rsidRDefault="00360081" w:rsidP="00FC4FDE">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szCs w:val="24"/>
        </w:rPr>
      </w:pPr>
      <w:r w:rsidRPr="00285D2D">
        <w:rPr>
          <w:kern w:val="22"/>
          <w:szCs w:val="24"/>
        </w:rPr>
        <w:t>14.</w:t>
      </w:r>
      <w:r w:rsidRPr="00285D2D">
        <w:rPr>
          <w:kern w:val="22"/>
          <w:szCs w:val="24"/>
        </w:rPr>
        <w:tab/>
      </w:r>
      <w:r w:rsidR="005315F1" w:rsidRPr="00393BD8">
        <w:rPr>
          <w:i/>
          <w:iCs/>
          <w:kern w:val="22"/>
        </w:rPr>
        <w:t xml:space="preserve">Urges </w:t>
      </w:r>
      <w:r w:rsidR="005315F1" w:rsidRPr="00393BD8">
        <w:rPr>
          <w:kern w:val="22"/>
        </w:rPr>
        <w:t xml:space="preserve">Parties, and </w:t>
      </w:r>
      <w:r w:rsidR="005315F1" w:rsidRPr="00285D2D">
        <w:rPr>
          <w:kern w:val="22"/>
        </w:rPr>
        <w:t>invites</w:t>
      </w:r>
      <w:r w:rsidR="005315F1" w:rsidRPr="00393BD8">
        <w:rPr>
          <w:kern w:val="22"/>
        </w:rPr>
        <w:t xml:space="preserve"> other </w:t>
      </w:r>
      <w:r w:rsidR="005A2729" w:rsidRPr="00393BD8">
        <w:rPr>
          <w:kern w:val="22"/>
        </w:rPr>
        <w:t xml:space="preserve">Governments and relevant organizations, as appropriate, to continue providing financial, technical and human resources support to enable developing country Parties and Parties with economies in transition to strengthen their national clearing-house mechanisms, and to develop or upgrade their national clearing-house mechanism websites using the </w:t>
      </w:r>
      <w:proofErr w:type="spellStart"/>
      <w:r w:rsidR="00434CCA" w:rsidRPr="00393BD8">
        <w:rPr>
          <w:kern w:val="22"/>
          <w:szCs w:val="24"/>
        </w:rPr>
        <w:t>Bioland</w:t>
      </w:r>
      <w:proofErr w:type="spellEnd"/>
      <w:r w:rsidR="00434CCA" w:rsidRPr="00393BD8">
        <w:rPr>
          <w:kern w:val="22"/>
          <w:szCs w:val="24"/>
        </w:rPr>
        <w:t xml:space="preserve"> </w:t>
      </w:r>
      <w:proofErr w:type="gramStart"/>
      <w:r w:rsidR="00434CCA" w:rsidRPr="00393BD8">
        <w:rPr>
          <w:kern w:val="22"/>
          <w:szCs w:val="24"/>
        </w:rPr>
        <w:t>tool</w:t>
      </w:r>
      <w:r w:rsidR="001E1D70" w:rsidRPr="00393BD8">
        <w:rPr>
          <w:kern w:val="22"/>
          <w:szCs w:val="24"/>
        </w:rPr>
        <w:t>[</w:t>
      </w:r>
      <w:proofErr w:type="gramEnd"/>
      <w:r w:rsidR="00434CCA" w:rsidRPr="00393BD8">
        <w:rPr>
          <w:kern w:val="22"/>
          <w:szCs w:val="24"/>
        </w:rPr>
        <w:t>, as appropriate and in accordance with national priorities and circumstances</w:t>
      </w:r>
      <w:r w:rsidR="001E1D70" w:rsidRPr="00393BD8">
        <w:rPr>
          <w:kern w:val="22"/>
          <w:szCs w:val="24"/>
        </w:rPr>
        <w:t>]</w:t>
      </w:r>
      <w:r w:rsidR="00434CCA" w:rsidRPr="00393BD8">
        <w:rPr>
          <w:kern w:val="22"/>
          <w:szCs w:val="24"/>
        </w:rPr>
        <w:t>;</w:t>
      </w:r>
    </w:p>
    <w:p w14:paraId="32FE55C9" w14:textId="6F7E7C4C" w:rsidR="005A2729" w:rsidRPr="00FA3FC5" w:rsidRDefault="00360081" w:rsidP="00FC4FDE">
      <w:pPr>
        <w:pStyle w:val="Para1"/>
        <w:keepNext/>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FE0CDA">
        <w:rPr>
          <w:kern w:val="22"/>
        </w:rPr>
        <w:t>15.</w:t>
      </w:r>
      <w:r w:rsidRPr="00FE0CDA">
        <w:rPr>
          <w:kern w:val="22"/>
        </w:rPr>
        <w:tab/>
      </w:r>
      <w:r w:rsidR="005A2729" w:rsidRPr="00393BD8">
        <w:rPr>
          <w:i/>
          <w:iCs/>
          <w:kern w:val="22"/>
        </w:rPr>
        <w:t xml:space="preserve">Requests </w:t>
      </w:r>
      <w:r w:rsidR="005A2729" w:rsidRPr="00393BD8">
        <w:rPr>
          <w:kern w:val="22"/>
        </w:rPr>
        <w:t>the Executive</w:t>
      </w:r>
      <w:r w:rsidR="005A2729" w:rsidRPr="00FA3FC5">
        <w:rPr>
          <w:kern w:val="22"/>
        </w:rPr>
        <w:t xml:space="preserve"> Secretary, subject to the availability of resources:</w:t>
      </w:r>
    </w:p>
    <w:p w14:paraId="622DBEE2" w14:textId="74184BF1" w:rsidR="005A2729" w:rsidRPr="00FA3FC5" w:rsidRDefault="00393BD8" w:rsidP="00FC4FDE">
      <w:pPr>
        <w:suppressLineNumbers/>
        <w:tabs>
          <w:tab w:val="left" w:pos="1440"/>
        </w:tabs>
        <w:suppressAutoHyphens/>
        <w:kinsoku w:val="0"/>
        <w:overflowPunct w:val="0"/>
        <w:autoSpaceDE w:val="0"/>
        <w:autoSpaceDN w:val="0"/>
        <w:adjustRightInd w:val="0"/>
        <w:snapToGrid w:val="0"/>
        <w:spacing w:before="120" w:after="120"/>
        <w:ind w:firstLine="720"/>
      </w:pPr>
      <w:r>
        <w:t>[</w:t>
      </w:r>
      <w:r w:rsidR="00360081" w:rsidRPr="00FA3FC5">
        <w:t>(a)</w:t>
      </w:r>
      <w:r w:rsidR="00360081" w:rsidRPr="00FA3FC5">
        <w:tab/>
      </w:r>
      <w:r w:rsidR="005A2729" w:rsidRPr="00FE0CDA">
        <w:rPr>
          <w:snapToGrid w:val="0"/>
          <w:kern w:val="22"/>
        </w:rPr>
        <w:t xml:space="preserve">To </w:t>
      </w:r>
      <w:r w:rsidR="00170203" w:rsidRPr="00FE0CDA">
        <w:rPr>
          <w:snapToGrid w:val="0"/>
          <w:kern w:val="22"/>
        </w:rPr>
        <w:t>[support</w:t>
      </w:r>
      <w:proofErr w:type="gramStart"/>
      <w:r w:rsidR="00170203" w:rsidRPr="00FE0CDA">
        <w:rPr>
          <w:snapToGrid w:val="0"/>
          <w:kern w:val="22"/>
        </w:rPr>
        <w:t>]</w:t>
      </w:r>
      <w:r w:rsidR="0098059E" w:rsidRPr="00FE0CDA">
        <w:rPr>
          <w:snapToGrid w:val="0"/>
          <w:kern w:val="22"/>
        </w:rPr>
        <w:t>[</w:t>
      </w:r>
      <w:proofErr w:type="gramEnd"/>
      <w:r w:rsidR="005A2729" w:rsidRPr="00FE0CDA">
        <w:rPr>
          <w:snapToGrid w:val="0"/>
          <w:kern w:val="22"/>
        </w:rPr>
        <w:t>facilitate, in collaboration with</w:t>
      </w:r>
      <w:r w:rsidR="0098059E" w:rsidRPr="00FE0CDA">
        <w:rPr>
          <w:snapToGrid w:val="0"/>
          <w:kern w:val="22"/>
        </w:rPr>
        <w:t>]</w:t>
      </w:r>
      <w:r w:rsidR="00170203" w:rsidRPr="00FE0CDA">
        <w:rPr>
          <w:snapToGrid w:val="0"/>
          <w:kern w:val="22"/>
        </w:rPr>
        <w:t xml:space="preserve"> </w:t>
      </w:r>
      <w:r w:rsidR="000E2066" w:rsidRPr="00FA3FC5">
        <w:t xml:space="preserve">Parties and </w:t>
      </w:r>
      <w:r w:rsidR="005A2729" w:rsidRPr="00FE0CDA">
        <w:rPr>
          <w:snapToGrid w:val="0"/>
          <w:kern w:val="22"/>
        </w:rPr>
        <w:t xml:space="preserve">partner organizations, </w:t>
      </w:r>
      <w:r w:rsidR="00170203" w:rsidRPr="00FE0CDA">
        <w:rPr>
          <w:snapToGrid w:val="0"/>
          <w:kern w:val="22"/>
        </w:rPr>
        <w:t xml:space="preserve">in </w:t>
      </w:r>
      <w:r w:rsidR="005A2729" w:rsidRPr="00FE0CDA">
        <w:rPr>
          <w:snapToGrid w:val="0"/>
          <w:kern w:val="22"/>
        </w:rPr>
        <w:t xml:space="preserve">the </w:t>
      </w:r>
      <w:r w:rsidR="0098059E" w:rsidRPr="00FE0CDA">
        <w:rPr>
          <w:snapToGrid w:val="0"/>
          <w:kern w:val="22"/>
        </w:rPr>
        <w:t>[</w:t>
      </w:r>
      <w:r w:rsidR="00573101" w:rsidRPr="00FE0CDA">
        <w:rPr>
          <w:snapToGrid w:val="0"/>
          <w:kern w:val="22"/>
        </w:rPr>
        <w:t>national</w:t>
      </w:r>
      <w:r w:rsidR="0098059E" w:rsidRPr="00FE0CDA">
        <w:rPr>
          <w:snapToGrid w:val="0"/>
          <w:kern w:val="22"/>
        </w:rPr>
        <w:t>]</w:t>
      </w:r>
      <w:r w:rsidR="00573101" w:rsidRPr="00FE0CDA">
        <w:rPr>
          <w:snapToGrid w:val="0"/>
          <w:kern w:val="22"/>
        </w:rPr>
        <w:t xml:space="preserve"> </w:t>
      </w:r>
      <w:r w:rsidR="005A2729" w:rsidRPr="00FE0CDA">
        <w:rPr>
          <w:snapToGrid w:val="0"/>
          <w:kern w:val="22"/>
        </w:rPr>
        <w:t>implementation of the knowledge management component of the post-2020 global biodiversity framework</w:t>
      </w:r>
      <w:r>
        <w:rPr>
          <w:snapToGrid w:val="0"/>
          <w:kern w:val="22"/>
        </w:rPr>
        <w:t>;</w:t>
      </w:r>
      <w:r w:rsidR="002B1720" w:rsidRPr="00FE0CDA">
        <w:rPr>
          <w:snapToGrid w:val="0"/>
          <w:kern w:val="22"/>
        </w:rPr>
        <w:t>]</w:t>
      </w:r>
    </w:p>
    <w:p w14:paraId="1000CD27" w14:textId="7745C530" w:rsidR="005A2729" w:rsidRPr="00285D2D"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(b)</w:t>
      </w:r>
      <w:r w:rsidRPr="00FA3FC5">
        <w:rPr>
          <w:snapToGrid w:val="0"/>
          <w:kern w:val="22"/>
        </w:rPr>
        <w:tab/>
      </w:r>
      <w:r w:rsidR="005A2729" w:rsidRPr="00285D2D">
        <w:rPr>
          <w:snapToGrid w:val="0"/>
          <w:kern w:val="22"/>
        </w:rPr>
        <w:t xml:space="preserve">To continue to </w:t>
      </w:r>
      <w:r w:rsidR="0098059E" w:rsidRPr="00285D2D">
        <w:rPr>
          <w:snapToGrid w:val="0"/>
          <w:kern w:val="22"/>
        </w:rPr>
        <w:t>[</w:t>
      </w:r>
      <w:r w:rsidR="005A2729" w:rsidRPr="00285D2D">
        <w:rPr>
          <w:snapToGrid w:val="0"/>
          <w:kern w:val="22"/>
        </w:rPr>
        <w:t>support</w:t>
      </w:r>
      <w:r w:rsidR="0098059E" w:rsidRPr="00285D2D">
        <w:rPr>
          <w:snapToGrid w:val="0"/>
          <w:kern w:val="22"/>
        </w:rPr>
        <w:t>][facilitate]</w:t>
      </w:r>
      <w:r w:rsidR="005A2729" w:rsidRPr="00285D2D">
        <w:rPr>
          <w:snapToGrid w:val="0"/>
          <w:kern w:val="22"/>
        </w:rPr>
        <w:t xml:space="preserve"> the efforts of Parties to establish, sustain and further develop their national clearing-house mechanisms, including through:</w:t>
      </w:r>
    </w:p>
    <w:p w14:paraId="09CB1DF9" w14:textId="2D914025" w:rsidR="005A2729" w:rsidRPr="00285D2D" w:rsidRDefault="00360081" w:rsidP="00FC4FDE">
      <w:pPr>
        <w:suppressLineNumbers/>
        <w:suppressAutoHyphens/>
        <w:kinsoku w:val="0"/>
        <w:overflowPunct w:val="0"/>
        <w:autoSpaceDE w:val="0"/>
        <w:autoSpaceDN w:val="0"/>
        <w:adjustRightInd w:val="0"/>
        <w:snapToGrid w:val="0"/>
        <w:spacing w:before="120" w:after="120"/>
        <w:ind w:left="2172" w:hanging="471"/>
        <w:rPr>
          <w:snapToGrid w:val="0"/>
          <w:kern w:val="22"/>
        </w:rPr>
      </w:pPr>
      <w:r w:rsidRPr="00FA3FC5">
        <w:rPr>
          <w:snapToGrid w:val="0"/>
          <w:kern w:val="22"/>
        </w:rPr>
        <w:t>(</w:t>
      </w:r>
      <w:proofErr w:type="spellStart"/>
      <w:r w:rsidRPr="00FA3FC5">
        <w:rPr>
          <w:snapToGrid w:val="0"/>
          <w:kern w:val="22"/>
        </w:rPr>
        <w:t>i</w:t>
      </w:r>
      <w:proofErr w:type="spellEnd"/>
      <w:r w:rsidRPr="00FA3FC5">
        <w:rPr>
          <w:snapToGrid w:val="0"/>
          <w:kern w:val="22"/>
        </w:rPr>
        <w:t>)</w:t>
      </w:r>
      <w:r w:rsidRPr="00FA3FC5">
        <w:rPr>
          <w:snapToGrid w:val="0"/>
          <w:kern w:val="22"/>
        </w:rPr>
        <w:tab/>
      </w:r>
      <w:r w:rsidR="005A2729" w:rsidRPr="00285D2D">
        <w:rPr>
          <w:snapToGrid w:val="0"/>
          <w:kern w:val="22"/>
        </w:rPr>
        <w:t xml:space="preserve">Further development of the </w:t>
      </w:r>
      <w:proofErr w:type="spellStart"/>
      <w:r w:rsidR="005A2729" w:rsidRPr="00285D2D">
        <w:rPr>
          <w:snapToGrid w:val="0"/>
          <w:kern w:val="22"/>
        </w:rPr>
        <w:t>Bioland</w:t>
      </w:r>
      <w:proofErr w:type="spellEnd"/>
      <w:r w:rsidR="005A2729" w:rsidRPr="00285D2D">
        <w:rPr>
          <w:snapToGrid w:val="0"/>
          <w:kern w:val="22"/>
        </w:rPr>
        <w:t xml:space="preserve"> tool in response to the needs of Parties and users and relevant technological </w:t>
      </w:r>
      <w:proofErr w:type="gramStart"/>
      <w:r w:rsidR="005A2729" w:rsidRPr="00285D2D">
        <w:rPr>
          <w:snapToGrid w:val="0"/>
          <w:kern w:val="22"/>
        </w:rPr>
        <w:t>developments;</w:t>
      </w:r>
      <w:proofErr w:type="gramEnd"/>
    </w:p>
    <w:p w14:paraId="504993E7" w14:textId="5AD17F04" w:rsidR="005A2729" w:rsidRPr="00285D2D" w:rsidRDefault="00360081" w:rsidP="00FC4FDE">
      <w:pPr>
        <w:suppressLineNumbers/>
        <w:suppressAutoHyphens/>
        <w:kinsoku w:val="0"/>
        <w:overflowPunct w:val="0"/>
        <w:autoSpaceDE w:val="0"/>
        <w:autoSpaceDN w:val="0"/>
        <w:adjustRightInd w:val="0"/>
        <w:snapToGrid w:val="0"/>
        <w:spacing w:before="120" w:after="120"/>
        <w:ind w:left="2172" w:hanging="471"/>
        <w:rPr>
          <w:snapToGrid w:val="0"/>
          <w:kern w:val="22"/>
        </w:rPr>
      </w:pPr>
      <w:r w:rsidRPr="00FA3FC5">
        <w:rPr>
          <w:snapToGrid w:val="0"/>
          <w:kern w:val="22"/>
        </w:rPr>
        <w:t>(ii)</w:t>
      </w:r>
      <w:r w:rsidRPr="00FA3FC5">
        <w:rPr>
          <w:snapToGrid w:val="0"/>
          <w:kern w:val="22"/>
        </w:rPr>
        <w:tab/>
      </w:r>
      <w:r w:rsidR="005A2729" w:rsidRPr="00285D2D">
        <w:rPr>
          <w:snapToGrid w:val="0"/>
          <w:kern w:val="22"/>
        </w:rPr>
        <w:t xml:space="preserve">Development of training and guidance material on the use of the </w:t>
      </w:r>
      <w:proofErr w:type="spellStart"/>
      <w:r w:rsidR="005A2729" w:rsidRPr="00285D2D">
        <w:rPr>
          <w:snapToGrid w:val="0"/>
          <w:kern w:val="22"/>
        </w:rPr>
        <w:t>Bioland</w:t>
      </w:r>
      <w:proofErr w:type="spellEnd"/>
      <w:r w:rsidR="005A2729" w:rsidRPr="00285D2D">
        <w:rPr>
          <w:snapToGrid w:val="0"/>
          <w:kern w:val="22"/>
        </w:rPr>
        <w:t xml:space="preserve"> tool</w:t>
      </w:r>
      <w:r w:rsidR="000E2066" w:rsidRPr="00285D2D">
        <w:rPr>
          <w:snapToGrid w:val="0"/>
          <w:kern w:val="22"/>
        </w:rPr>
        <w:t xml:space="preserve"> in collaboration with Parties and </w:t>
      </w:r>
      <w:proofErr w:type="gramStart"/>
      <w:r w:rsidR="000E2066" w:rsidRPr="00285D2D">
        <w:rPr>
          <w:snapToGrid w:val="0"/>
          <w:kern w:val="22"/>
        </w:rPr>
        <w:t>users</w:t>
      </w:r>
      <w:r w:rsidR="005A2729" w:rsidRPr="00285D2D">
        <w:rPr>
          <w:snapToGrid w:val="0"/>
          <w:kern w:val="22"/>
        </w:rPr>
        <w:t>;</w:t>
      </w:r>
      <w:proofErr w:type="gramEnd"/>
    </w:p>
    <w:p w14:paraId="31BBD278" w14:textId="51F653B9" w:rsidR="005A2729" w:rsidRPr="00285D2D" w:rsidRDefault="00360081" w:rsidP="00FC4FDE">
      <w:pPr>
        <w:suppressLineNumbers/>
        <w:suppressAutoHyphens/>
        <w:kinsoku w:val="0"/>
        <w:overflowPunct w:val="0"/>
        <w:autoSpaceDE w:val="0"/>
        <w:autoSpaceDN w:val="0"/>
        <w:adjustRightInd w:val="0"/>
        <w:snapToGrid w:val="0"/>
        <w:spacing w:before="120" w:after="120"/>
        <w:ind w:left="2172" w:hanging="471"/>
        <w:rPr>
          <w:snapToGrid w:val="0"/>
          <w:kern w:val="22"/>
        </w:rPr>
      </w:pPr>
      <w:r w:rsidRPr="00FA3FC5">
        <w:rPr>
          <w:snapToGrid w:val="0"/>
          <w:kern w:val="22"/>
        </w:rPr>
        <w:t>(iii)</w:t>
      </w:r>
      <w:r w:rsidRPr="00FA3FC5">
        <w:rPr>
          <w:snapToGrid w:val="0"/>
          <w:kern w:val="22"/>
        </w:rPr>
        <w:tab/>
      </w:r>
      <w:r w:rsidR="005A2729" w:rsidRPr="00285D2D">
        <w:rPr>
          <w:snapToGrid w:val="0"/>
          <w:kern w:val="22"/>
        </w:rPr>
        <w:t xml:space="preserve">Development of guidance for </w:t>
      </w:r>
      <w:r w:rsidR="00C63F40" w:rsidRPr="00285D2D">
        <w:rPr>
          <w:snapToGrid w:val="0"/>
          <w:kern w:val="22"/>
        </w:rPr>
        <w:t xml:space="preserve">the national focal points to the </w:t>
      </w:r>
      <w:r w:rsidR="00D677EB" w:rsidRPr="00285D2D">
        <w:rPr>
          <w:snapToGrid w:val="0"/>
          <w:kern w:val="22"/>
        </w:rPr>
        <w:t>c</w:t>
      </w:r>
      <w:r w:rsidR="00704B87" w:rsidRPr="00285D2D">
        <w:rPr>
          <w:snapToGrid w:val="0"/>
          <w:kern w:val="22"/>
        </w:rPr>
        <w:t xml:space="preserve">learing-house </w:t>
      </w:r>
      <w:r w:rsidR="00D677EB" w:rsidRPr="00285D2D">
        <w:rPr>
          <w:snapToGrid w:val="0"/>
          <w:kern w:val="22"/>
        </w:rPr>
        <w:t>m</w:t>
      </w:r>
      <w:r w:rsidR="00704B87" w:rsidRPr="00285D2D">
        <w:rPr>
          <w:snapToGrid w:val="0"/>
          <w:kern w:val="22"/>
        </w:rPr>
        <w:t>echanism</w:t>
      </w:r>
      <w:r w:rsidR="00D677EB" w:rsidRPr="00285D2D">
        <w:rPr>
          <w:snapToGrid w:val="0"/>
          <w:kern w:val="22"/>
        </w:rPr>
        <w:t xml:space="preserve"> </w:t>
      </w:r>
      <w:r w:rsidR="005A2729" w:rsidRPr="00285D2D">
        <w:rPr>
          <w:snapToGrid w:val="0"/>
          <w:kern w:val="22"/>
        </w:rPr>
        <w:t xml:space="preserve">on the coordination of </w:t>
      </w:r>
      <w:r w:rsidR="006B2166" w:rsidRPr="00285D2D">
        <w:rPr>
          <w:snapToGrid w:val="0"/>
          <w:kern w:val="22"/>
        </w:rPr>
        <w:t xml:space="preserve">activities related to the </w:t>
      </w:r>
      <w:r w:rsidR="00D677EB" w:rsidRPr="00285D2D">
        <w:rPr>
          <w:snapToGrid w:val="0"/>
          <w:kern w:val="22"/>
        </w:rPr>
        <w:t xml:space="preserve">clearing-house mechanism </w:t>
      </w:r>
      <w:r w:rsidR="005A2729" w:rsidRPr="00285D2D">
        <w:rPr>
          <w:snapToGrid w:val="0"/>
          <w:kern w:val="22"/>
        </w:rPr>
        <w:t xml:space="preserve">at the national level to support effective implementation of national biodiversity strategies and action </w:t>
      </w:r>
      <w:proofErr w:type="gramStart"/>
      <w:r w:rsidR="005A2729" w:rsidRPr="00285D2D">
        <w:rPr>
          <w:snapToGrid w:val="0"/>
          <w:kern w:val="22"/>
        </w:rPr>
        <w:t>plans;</w:t>
      </w:r>
      <w:proofErr w:type="gramEnd"/>
    </w:p>
    <w:p w14:paraId="0D861F5C" w14:textId="36030BDC" w:rsidR="005A2729" w:rsidRPr="00285D2D" w:rsidRDefault="00360081" w:rsidP="00FC4FDE">
      <w:pPr>
        <w:suppressLineNumbers/>
        <w:suppressAutoHyphens/>
        <w:kinsoku w:val="0"/>
        <w:overflowPunct w:val="0"/>
        <w:autoSpaceDE w:val="0"/>
        <w:autoSpaceDN w:val="0"/>
        <w:adjustRightInd w:val="0"/>
        <w:snapToGrid w:val="0"/>
        <w:spacing w:before="120" w:after="120"/>
        <w:ind w:left="2172" w:hanging="471"/>
        <w:rPr>
          <w:snapToGrid w:val="0"/>
          <w:kern w:val="22"/>
        </w:rPr>
      </w:pPr>
      <w:r w:rsidRPr="00FA3FC5">
        <w:rPr>
          <w:snapToGrid w:val="0"/>
          <w:kern w:val="22"/>
        </w:rPr>
        <w:t>(iv)</w:t>
      </w:r>
      <w:r w:rsidRPr="00FA3FC5">
        <w:rPr>
          <w:snapToGrid w:val="0"/>
          <w:kern w:val="22"/>
        </w:rPr>
        <w:tab/>
      </w:r>
      <w:r w:rsidR="005A2729" w:rsidRPr="00285D2D">
        <w:rPr>
          <w:snapToGrid w:val="0"/>
          <w:kern w:val="22"/>
        </w:rPr>
        <w:t xml:space="preserve">Development of </w:t>
      </w:r>
      <w:proofErr w:type="spellStart"/>
      <w:r w:rsidR="005A2729" w:rsidRPr="00285D2D">
        <w:rPr>
          <w:snapToGrid w:val="0"/>
          <w:kern w:val="22"/>
        </w:rPr>
        <w:t>Bioland</w:t>
      </w:r>
      <w:proofErr w:type="spellEnd"/>
      <w:r w:rsidR="005A2729" w:rsidRPr="00285D2D">
        <w:rPr>
          <w:snapToGrid w:val="0"/>
          <w:kern w:val="22"/>
        </w:rPr>
        <w:t xml:space="preserve"> instances for Parties that have not yet established a national clearing-house mechanism website, using the information provided on the respective country profile pages on the Convention website, for their review and further </w:t>
      </w:r>
      <w:proofErr w:type="gramStart"/>
      <w:r w:rsidR="005A2729" w:rsidRPr="00285D2D">
        <w:rPr>
          <w:snapToGrid w:val="0"/>
          <w:kern w:val="22"/>
        </w:rPr>
        <w:t>development;</w:t>
      </w:r>
      <w:proofErr w:type="gramEnd"/>
    </w:p>
    <w:p w14:paraId="625AF6CE" w14:textId="6E644B46" w:rsidR="004313B4" w:rsidRPr="00285D2D" w:rsidRDefault="00360081" w:rsidP="00FC4FDE">
      <w:pPr>
        <w:suppressLineNumbers/>
        <w:suppressAutoHyphens/>
        <w:kinsoku w:val="0"/>
        <w:overflowPunct w:val="0"/>
        <w:autoSpaceDE w:val="0"/>
        <w:autoSpaceDN w:val="0"/>
        <w:adjustRightInd w:val="0"/>
        <w:snapToGrid w:val="0"/>
        <w:spacing w:before="120" w:after="120"/>
        <w:ind w:left="2172" w:hanging="471"/>
        <w:rPr>
          <w:snapToGrid w:val="0"/>
          <w:kern w:val="22"/>
        </w:rPr>
      </w:pPr>
      <w:r w:rsidRPr="00FA3FC5">
        <w:rPr>
          <w:snapToGrid w:val="0"/>
          <w:kern w:val="22"/>
        </w:rPr>
        <w:t>(v)</w:t>
      </w:r>
      <w:r w:rsidRPr="00FA3FC5">
        <w:rPr>
          <w:snapToGrid w:val="0"/>
          <w:kern w:val="22"/>
        </w:rPr>
        <w:tab/>
      </w:r>
      <w:r w:rsidR="005A2729" w:rsidRPr="00285D2D">
        <w:rPr>
          <w:snapToGrid w:val="0"/>
          <w:kern w:val="22"/>
        </w:rPr>
        <w:t>Continuation of the award for national clearing-house mechanisms until 2030</w:t>
      </w:r>
      <w:r w:rsidR="004B31CA" w:rsidRPr="00285D2D">
        <w:rPr>
          <w:snapToGrid w:val="0"/>
          <w:kern w:val="22"/>
        </w:rPr>
        <w:t>.</w:t>
      </w:r>
    </w:p>
    <w:p w14:paraId="29E2C423" w14:textId="11B166AD" w:rsidR="005A2729" w:rsidRPr="00285D2D"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(c)</w:t>
      </w:r>
      <w:r w:rsidRPr="00FA3FC5">
        <w:rPr>
          <w:snapToGrid w:val="0"/>
          <w:kern w:val="22"/>
        </w:rPr>
        <w:tab/>
      </w:r>
      <w:r w:rsidR="005A2729" w:rsidRPr="00285D2D">
        <w:rPr>
          <w:snapToGrid w:val="0"/>
          <w:kern w:val="22"/>
        </w:rPr>
        <w:t xml:space="preserve">To further develop the central clearing-house mechanism to promote and facilitate technical and scientific cooperation, knowledge management, communication and enhanced planning, implementation, monitoring, reporting and review </w:t>
      </w:r>
      <w:proofErr w:type="gramStart"/>
      <w:r w:rsidR="005A2729" w:rsidRPr="00285D2D">
        <w:rPr>
          <w:snapToGrid w:val="0"/>
          <w:kern w:val="22"/>
        </w:rPr>
        <w:t>processes;</w:t>
      </w:r>
      <w:proofErr w:type="gramEnd"/>
    </w:p>
    <w:p w14:paraId="7B8B4090" w14:textId="4EF0D24B" w:rsidR="005A2729" w:rsidRPr="00FE0CDA"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(d)</w:t>
      </w:r>
      <w:r w:rsidRPr="00FA3FC5">
        <w:rPr>
          <w:snapToGrid w:val="0"/>
          <w:kern w:val="22"/>
        </w:rPr>
        <w:tab/>
      </w:r>
      <w:r w:rsidR="005A2729" w:rsidRPr="00285D2D">
        <w:rPr>
          <w:snapToGrid w:val="0"/>
          <w:kern w:val="22"/>
        </w:rPr>
        <w:t xml:space="preserve">To continue collaboration with relevant initiatives, organizations and networks supporting the generation, capture, management and effective use of biodiversity-related data, information and knowledge, </w:t>
      </w:r>
      <w:r w:rsidR="000E2066" w:rsidRPr="00285D2D">
        <w:rPr>
          <w:snapToGrid w:val="0"/>
          <w:kern w:val="22"/>
        </w:rPr>
        <w:t>among others U</w:t>
      </w:r>
      <w:r w:rsidR="003C5396" w:rsidRPr="00285D2D">
        <w:rPr>
          <w:snapToGrid w:val="0"/>
          <w:kern w:val="22"/>
        </w:rPr>
        <w:t xml:space="preserve">nited </w:t>
      </w:r>
      <w:r w:rsidR="000E2066" w:rsidRPr="00285D2D">
        <w:rPr>
          <w:snapToGrid w:val="0"/>
          <w:kern w:val="22"/>
        </w:rPr>
        <w:t>N</w:t>
      </w:r>
      <w:r w:rsidR="003C5396" w:rsidRPr="00285D2D">
        <w:rPr>
          <w:snapToGrid w:val="0"/>
          <w:kern w:val="22"/>
        </w:rPr>
        <w:t xml:space="preserve">ations </w:t>
      </w:r>
      <w:r w:rsidR="000E2066" w:rsidRPr="00285D2D">
        <w:rPr>
          <w:snapToGrid w:val="0"/>
          <w:kern w:val="22"/>
        </w:rPr>
        <w:t>E</w:t>
      </w:r>
      <w:r w:rsidR="003C5396" w:rsidRPr="00285D2D">
        <w:rPr>
          <w:snapToGrid w:val="0"/>
          <w:kern w:val="22"/>
        </w:rPr>
        <w:t xml:space="preserve">nvironment </w:t>
      </w:r>
      <w:r w:rsidR="000E2066" w:rsidRPr="00285D2D">
        <w:rPr>
          <w:snapToGrid w:val="0"/>
          <w:kern w:val="22"/>
        </w:rPr>
        <w:t>P</w:t>
      </w:r>
      <w:r w:rsidR="003C5396" w:rsidRPr="00285D2D">
        <w:rPr>
          <w:snapToGrid w:val="0"/>
          <w:kern w:val="22"/>
        </w:rPr>
        <w:t xml:space="preserve">rogramme </w:t>
      </w:r>
      <w:r w:rsidR="000E2066" w:rsidRPr="00285D2D">
        <w:rPr>
          <w:snapToGrid w:val="0"/>
          <w:kern w:val="22"/>
        </w:rPr>
        <w:t>W</w:t>
      </w:r>
      <w:r w:rsidR="003C5396" w:rsidRPr="00285D2D">
        <w:rPr>
          <w:snapToGrid w:val="0"/>
          <w:kern w:val="22"/>
        </w:rPr>
        <w:t xml:space="preserve">orld </w:t>
      </w:r>
      <w:r w:rsidR="000E2066" w:rsidRPr="00285D2D">
        <w:rPr>
          <w:snapToGrid w:val="0"/>
          <w:kern w:val="22"/>
        </w:rPr>
        <w:t>C</w:t>
      </w:r>
      <w:r w:rsidR="003C5396" w:rsidRPr="00285D2D">
        <w:rPr>
          <w:snapToGrid w:val="0"/>
          <w:kern w:val="22"/>
        </w:rPr>
        <w:t xml:space="preserve">onservation and </w:t>
      </w:r>
      <w:r w:rsidR="000E2066" w:rsidRPr="00285D2D">
        <w:rPr>
          <w:snapToGrid w:val="0"/>
          <w:kern w:val="22"/>
        </w:rPr>
        <w:t>M</w:t>
      </w:r>
      <w:r w:rsidR="003C5396" w:rsidRPr="00285D2D">
        <w:rPr>
          <w:snapToGrid w:val="0"/>
          <w:kern w:val="22"/>
        </w:rPr>
        <w:t xml:space="preserve">onitoring </w:t>
      </w:r>
      <w:r w:rsidR="000E2066" w:rsidRPr="00285D2D">
        <w:rPr>
          <w:snapToGrid w:val="0"/>
          <w:kern w:val="22"/>
        </w:rPr>
        <w:t>C</w:t>
      </w:r>
      <w:r w:rsidR="003C5396" w:rsidRPr="00285D2D">
        <w:rPr>
          <w:snapToGrid w:val="0"/>
          <w:kern w:val="22"/>
        </w:rPr>
        <w:t>entre</w:t>
      </w:r>
      <w:r w:rsidR="000E2066" w:rsidRPr="00285D2D">
        <w:rPr>
          <w:snapToGrid w:val="0"/>
          <w:kern w:val="22"/>
        </w:rPr>
        <w:t>, G</w:t>
      </w:r>
      <w:r w:rsidR="003C5396" w:rsidRPr="00285D2D">
        <w:rPr>
          <w:snapToGrid w:val="0"/>
          <w:kern w:val="22"/>
        </w:rPr>
        <w:t xml:space="preserve">lobal </w:t>
      </w:r>
      <w:r w:rsidR="000E2066" w:rsidRPr="00285D2D">
        <w:rPr>
          <w:snapToGrid w:val="0"/>
          <w:kern w:val="22"/>
        </w:rPr>
        <w:t>B</w:t>
      </w:r>
      <w:r w:rsidR="003C5396" w:rsidRPr="00285D2D">
        <w:rPr>
          <w:snapToGrid w:val="0"/>
          <w:kern w:val="22"/>
        </w:rPr>
        <w:t xml:space="preserve">iodiversity </w:t>
      </w:r>
      <w:r w:rsidR="000E2066" w:rsidRPr="00285D2D">
        <w:rPr>
          <w:snapToGrid w:val="0"/>
          <w:kern w:val="22"/>
        </w:rPr>
        <w:t>I</w:t>
      </w:r>
      <w:r w:rsidR="003C5396" w:rsidRPr="00285D2D">
        <w:rPr>
          <w:snapToGrid w:val="0"/>
          <w:kern w:val="22"/>
        </w:rPr>
        <w:t xml:space="preserve">nformation </w:t>
      </w:r>
      <w:r w:rsidR="000E2066" w:rsidRPr="00285D2D">
        <w:rPr>
          <w:snapToGrid w:val="0"/>
          <w:kern w:val="22"/>
        </w:rPr>
        <w:t>F</w:t>
      </w:r>
      <w:r w:rsidR="003C5396" w:rsidRPr="00285D2D">
        <w:rPr>
          <w:snapToGrid w:val="0"/>
          <w:kern w:val="22"/>
        </w:rPr>
        <w:t>acility</w:t>
      </w:r>
      <w:r w:rsidR="000E2066" w:rsidRPr="00285D2D">
        <w:rPr>
          <w:snapToGrid w:val="0"/>
          <w:kern w:val="22"/>
        </w:rPr>
        <w:t xml:space="preserve">, </w:t>
      </w:r>
      <w:r w:rsidR="00940B48" w:rsidRPr="00285D2D">
        <w:rPr>
          <w:snapToGrid w:val="0"/>
          <w:kern w:val="22"/>
        </w:rPr>
        <w:t xml:space="preserve">the </w:t>
      </w:r>
      <w:r w:rsidR="000E2066" w:rsidRPr="00285D2D">
        <w:rPr>
          <w:snapToGrid w:val="0"/>
          <w:kern w:val="22"/>
        </w:rPr>
        <w:t>G</w:t>
      </w:r>
      <w:r w:rsidR="00210048" w:rsidRPr="00285D2D">
        <w:rPr>
          <w:snapToGrid w:val="0"/>
          <w:kern w:val="22"/>
        </w:rPr>
        <w:t xml:space="preserve">roup on </w:t>
      </w:r>
      <w:r w:rsidR="000E2066" w:rsidRPr="00285D2D">
        <w:rPr>
          <w:snapToGrid w:val="0"/>
          <w:kern w:val="22"/>
        </w:rPr>
        <w:t>E</w:t>
      </w:r>
      <w:r w:rsidR="00210048" w:rsidRPr="00285D2D">
        <w:rPr>
          <w:snapToGrid w:val="0"/>
          <w:kern w:val="22"/>
        </w:rPr>
        <w:t xml:space="preserve">arth </w:t>
      </w:r>
      <w:r w:rsidR="000E2066" w:rsidRPr="00285D2D">
        <w:rPr>
          <w:snapToGrid w:val="0"/>
          <w:kern w:val="22"/>
        </w:rPr>
        <w:t>O</w:t>
      </w:r>
      <w:r w:rsidR="00210048" w:rsidRPr="00285D2D">
        <w:rPr>
          <w:snapToGrid w:val="0"/>
          <w:kern w:val="22"/>
        </w:rPr>
        <w:t>bservations</w:t>
      </w:r>
      <w:r w:rsidR="00940B48" w:rsidRPr="00285D2D">
        <w:rPr>
          <w:snapToGrid w:val="0"/>
          <w:kern w:val="22"/>
        </w:rPr>
        <w:t xml:space="preserve"> </w:t>
      </w:r>
      <w:r w:rsidR="000E2066" w:rsidRPr="00285D2D">
        <w:rPr>
          <w:snapToGrid w:val="0"/>
          <w:kern w:val="22"/>
        </w:rPr>
        <w:t>B</w:t>
      </w:r>
      <w:r w:rsidR="00940B48" w:rsidRPr="00285D2D">
        <w:rPr>
          <w:snapToGrid w:val="0"/>
          <w:kern w:val="22"/>
        </w:rPr>
        <w:t xml:space="preserve">iodiversity </w:t>
      </w:r>
      <w:r w:rsidR="000E2066" w:rsidRPr="00285D2D">
        <w:rPr>
          <w:snapToGrid w:val="0"/>
          <w:kern w:val="22"/>
        </w:rPr>
        <w:t>O</w:t>
      </w:r>
      <w:r w:rsidR="00940B48" w:rsidRPr="00285D2D">
        <w:rPr>
          <w:snapToGrid w:val="0"/>
          <w:kern w:val="22"/>
        </w:rPr>
        <w:t xml:space="preserve">bservation </w:t>
      </w:r>
      <w:r w:rsidR="000E2066" w:rsidRPr="00FE0CDA">
        <w:rPr>
          <w:snapToGrid w:val="0"/>
          <w:kern w:val="22"/>
        </w:rPr>
        <w:t>N</w:t>
      </w:r>
      <w:r w:rsidR="00940B48" w:rsidRPr="00FE0CDA">
        <w:rPr>
          <w:snapToGrid w:val="0"/>
          <w:kern w:val="22"/>
        </w:rPr>
        <w:t>etwork</w:t>
      </w:r>
      <w:r w:rsidR="000E2066" w:rsidRPr="00FE0CDA">
        <w:rPr>
          <w:snapToGrid w:val="0"/>
          <w:kern w:val="22"/>
        </w:rPr>
        <w:t>, I</w:t>
      </w:r>
      <w:r w:rsidR="007103D2" w:rsidRPr="00FE0CDA">
        <w:rPr>
          <w:snapToGrid w:val="0"/>
          <w:kern w:val="22"/>
        </w:rPr>
        <w:t xml:space="preserve">nternational </w:t>
      </w:r>
      <w:r w:rsidR="000E2066" w:rsidRPr="00FE0CDA">
        <w:rPr>
          <w:snapToGrid w:val="0"/>
          <w:kern w:val="22"/>
        </w:rPr>
        <w:t>U</w:t>
      </w:r>
      <w:r w:rsidR="007103D2" w:rsidRPr="00FE0CDA">
        <w:rPr>
          <w:snapToGrid w:val="0"/>
          <w:kern w:val="22"/>
        </w:rPr>
        <w:t xml:space="preserve">nion for the </w:t>
      </w:r>
      <w:r w:rsidR="000E2066" w:rsidRPr="00FE0CDA">
        <w:rPr>
          <w:snapToGrid w:val="0"/>
          <w:kern w:val="22"/>
        </w:rPr>
        <w:t>C</w:t>
      </w:r>
      <w:r w:rsidR="007103D2" w:rsidRPr="00FE0CDA">
        <w:rPr>
          <w:snapToGrid w:val="0"/>
          <w:kern w:val="22"/>
        </w:rPr>
        <w:t xml:space="preserve">onservation of </w:t>
      </w:r>
      <w:r w:rsidR="000E2066" w:rsidRPr="00FE0CDA">
        <w:rPr>
          <w:snapToGrid w:val="0"/>
          <w:kern w:val="22"/>
        </w:rPr>
        <w:t>N</w:t>
      </w:r>
      <w:r w:rsidR="007103D2" w:rsidRPr="00FE0CDA">
        <w:rPr>
          <w:snapToGrid w:val="0"/>
          <w:kern w:val="22"/>
        </w:rPr>
        <w:t>ature</w:t>
      </w:r>
      <w:r w:rsidR="000E2066" w:rsidRPr="00FE0CDA">
        <w:rPr>
          <w:snapToGrid w:val="0"/>
          <w:kern w:val="22"/>
        </w:rPr>
        <w:t>, I</w:t>
      </w:r>
      <w:r w:rsidR="003C5396" w:rsidRPr="00FE0CDA">
        <w:rPr>
          <w:snapToGrid w:val="0"/>
          <w:kern w:val="22"/>
        </w:rPr>
        <w:t>nter</w:t>
      </w:r>
      <w:r w:rsidR="00210048" w:rsidRPr="00FE0CDA">
        <w:rPr>
          <w:snapToGrid w:val="0"/>
          <w:kern w:val="22"/>
        </w:rPr>
        <w:t xml:space="preserve">governmental </w:t>
      </w:r>
      <w:r w:rsidR="00940B48" w:rsidRPr="00FE0CDA">
        <w:rPr>
          <w:snapToGrid w:val="0"/>
          <w:kern w:val="22"/>
        </w:rPr>
        <w:t>Science</w:t>
      </w:r>
      <w:r w:rsidR="00BD5729" w:rsidRPr="00FE0CDA">
        <w:rPr>
          <w:snapToGrid w:val="0"/>
          <w:kern w:val="22"/>
        </w:rPr>
        <w:t>-</w:t>
      </w:r>
      <w:r w:rsidR="00313BD2" w:rsidRPr="00FE0CDA">
        <w:rPr>
          <w:snapToGrid w:val="0"/>
          <w:kern w:val="22"/>
        </w:rPr>
        <w:t xml:space="preserve">Policy </w:t>
      </w:r>
      <w:r w:rsidR="000E2066" w:rsidRPr="00FE0CDA">
        <w:rPr>
          <w:snapToGrid w:val="0"/>
          <w:kern w:val="22"/>
        </w:rPr>
        <w:t>P</w:t>
      </w:r>
      <w:r w:rsidR="00940B48" w:rsidRPr="00FE0CDA">
        <w:rPr>
          <w:snapToGrid w:val="0"/>
          <w:kern w:val="22"/>
        </w:rPr>
        <w:t>latform</w:t>
      </w:r>
      <w:r w:rsidR="00210048" w:rsidRPr="00FE0CDA">
        <w:rPr>
          <w:snapToGrid w:val="0"/>
          <w:kern w:val="22"/>
        </w:rPr>
        <w:t xml:space="preserve"> on </w:t>
      </w:r>
      <w:r w:rsidR="000E2066" w:rsidRPr="00FE0CDA">
        <w:rPr>
          <w:snapToGrid w:val="0"/>
          <w:kern w:val="22"/>
        </w:rPr>
        <w:t>B</w:t>
      </w:r>
      <w:r w:rsidR="00210048" w:rsidRPr="00FE0CDA">
        <w:rPr>
          <w:snapToGrid w:val="0"/>
          <w:kern w:val="22"/>
        </w:rPr>
        <w:t xml:space="preserve">iodiversity </w:t>
      </w:r>
      <w:r w:rsidR="00313BD2" w:rsidRPr="00FE0CDA">
        <w:rPr>
          <w:snapToGrid w:val="0"/>
          <w:kern w:val="22"/>
        </w:rPr>
        <w:t xml:space="preserve">and </w:t>
      </w:r>
      <w:r w:rsidR="000E2066" w:rsidRPr="00FE0CDA">
        <w:rPr>
          <w:snapToGrid w:val="0"/>
          <w:kern w:val="22"/>
        </w:rPr>
        <w:t>E</w:t>
      </w:r>
      <w:r w:rsidR="00313BD2" w:rsidRPr="00FE0CDA">
        <w:rPr>
          <w:snapToGrid w:val="0"/>
          <w:kern w:val="22"/>
        </w:rPr>
        <w:t xml:space="preserve">cosystem </w:t>
      </w:r>
      <w:r w:rsidR="000E2066" w:rsidRPr="00FE0CDA">
        <w:rPr>
          <w:snapToGrid w:val="0"/>
          <w:kern w:val="22"/>
        </w:rPr>
        <w:t>S</w:t>
      </w:r>
      <w:r w:rsidR="00313BD2" w:rsidRPr="00FE0CDA">
        <w:rPr>
          <w:snapToGrid w:val="0"/>
          <w:kern w:val="22"/>
        </w:rPr>
        <w:t>ervices</w:t>
      </w:r>
      <w:r w:rsidR="000E2066" w:rsidRPr="00FE0CDA">
        <w:rPr>
          <w:snapToGrid w:val="0"/>
          <w:kern w:val="22"/>
        </w:rPr>
        <w:t xml:space="preserve">, </w:t>
      </w:r>
      <w:r w:rsidR="005A2729" w:rsidRPr="00FE0CDA">
        <w:rPr>
          <w:snapToGrid w:val="0"/>
          <w:kern w:val="22"/>
        </w:rPr>
        <w:t>the Information Portal on Multilateral Environmental Agreements (</w:t>
      </w:r>
      <w:proofErr w:type="spellStart"/>
      <w:r w:rsidR="005A2729" w:rsidRPr="00FE0CDA">
        <w:rPr>
          <w:snapToGrid w:val="0"/>
          <w:kern w:val="22"/>
        </w:rPr>
        <w:t>InforMEA</w:t>
      </w:r>
      <w:proofErr w:type="spellEnd"/>
      <w:r w:rsidR="005A2729" w:rsidRPr="00FE0CDA">
        <w:rPr>
          <w:snapToGrid w:val="0"/>
          <w:kern w:val="22"/>
        </w:rPr>
        <w:t>)</w:t>
      </w:r>
      <w:r w:rsidR="000E2066" w:rsidRPr="00FE0CDA">
        <w:rPr>
          <w:snapToGrid w:val="0"/>
          <w:kern w:val="22"/>
        </w:rPr>
        <w:t xml:space="preserve"> and the D</w:t>
      </w:r>
      <w:r w:rsidR="007103D2" w:rsidRPr="00FE0CDA">
        <w:rPr>
          <w:snapToGrid w:val="0"/>
          <w:kern w:val="22"/>
        </w:rPr>
        <w:t>at</w:t>
      </w:r>
      <w:r w:rsidR="00874DA3" w:rsidRPr="00FE0CDA">
        <w:rPr>
          <w:snapToGrid w:val="0"/>
          <w:kern w:val="22"/>
        </w:rPr>
        <w:t>a Reporting</w:t>
      </w:r>
      <w:r w:rsidR="000E2066" w:rsidRPr="00FE0CDA">
        <w:rPr>
          <w:snapToGrid w:val="0"/>
          <w:kern w:val="22"/>
        </w:rPr>
        <w:t xml:space="preserve"> Tool</w:t>
      </w:r>
      <w:r w:rsidR="00874DA3" w:rsidRPr="00FE0CDA">
        <w:rPr>
          <w:snapToGrid w:val="0"/>
          <w:kern w:val="22"/>
        </w:rPr>
        <w:t xml:space="preserve"> (</w:t>
      </w:r>
      <w:proofErr w:type="spellStart"/>
      <w:r w:rsidR="00874DA3" w:rsidRPr="00FE0CDA">
        <w:rPr>
          <w:snapToGrid w:val="0"/>
          <w:kern w:val="22"/>
        </w:rPr>
        <w:t>DaRT</w:t>
      </w:r>
      <w:proofErr w:type="spellEnd"/>
      <w:r w:rsidR="00874DA3" w:rsidRPr="00FE0CDA">
        <w:rPr>
          <w:snapToGrid w:val="0"/>
          <w:kern w:val="22"/>
        </w:rPr>
        <w:t>)</w:t>
      </w:r>
      <w:r w:rsidR="005A2729" w:rsidRPr="00FE0CDA">
        <w:rPr>
          <w:snapToGrid w:val="0"/>
          <w:kern w:val="22"/>
        </w:rPr>
        <w:t>;</w:t>
      </w:r>
    </w:p>
    <w:p w14:paraId="2838C9F4" w14:textId="22304735" w:rsidR="005A2729" w:rsidRPr="00FE0CDA"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lastRenderedPageBreak/>
        <w:t>(e)</w:t>
      </w:r>
      <w:r w:rsidRPr="00FA3FC5">
        <w:rPr>
          <w:snapToGrid w:val="0"/>
          <w:kern w:val="22"/>
        </w:rPr>
        <w:tab/>
      </w:r>
      <w:r w:rsidR="005A2729" w:rsidRPr="00FE0CDA">
        <w:rPr>
          <w:snapToGrid w:val="0"/>
          <w:kern w:val="22"/>
        </w:rPr>
        <w:t xml:space="preserve">To </w:t>
      </w:r>
      <w:r w:rsidR="0098059E" w:rsidRPr="00FE0CDA">
        <w:rPr>
          <w:snapToGrid w:val="0"/>
          <w:kern w:val="22"/>
        </w:rPr>
        <w:t>[</w:t>
      </w:r>
      <w:r w:rsidR="005A2729" w:rsidRPr="00FE0CDA">
        <w:rPr>
          <w:snapToGrid w:val="0"/>
          <w:kern w:val="22"/>
        </w:rPr>
        <w:t>leverage</w:t>
      </w:r>
      <w:proofErr w:type="gramStart"/>
      <w:r w:rsidR="0098059E" w:rsidRPr="00FE0CDA">
        <w:rPr>
          <w:snapToGrid w:val="0"/>
          <w:kern w:val="22"/>
        </w:rPr>
        <w:t>][</w:t>
      </w:r>
      <w:proofErr w:type="gramEnd"/>
      <w:r w:rsidR="0098059E" w:rsidRPr="00FE0CDA">
        <w:rPr>
          <w:snapToGrid w:val="0"/>
          <w:kern w:val="22"/>
        </w:rPr>
        <w:t>promote the use of]</w:t>
      </w:r>
      <w:r w:rsidR="005A2729" w:rsidRPr="00FE0CDA">
        <w:rPr>
          <w:snapToGrid w:val="0"/>
          <w:kern w:val="22"/>
        </w:rPr>
        <w:t xml:space="preserve"> relevant digital technologies to, among other things, </w:t>
      </w:r>
      <w:r w:rsidR="002F4FE1" w:rsidRPr="00FE0CDA">
        <w:rPr>
          <w:snapToGrid w:val="0"/>
          <w:kern w:val="22"/>
        </w:rPr>
        <w:t>assist Parties</w:t>
      </w:r>
      <w:r w:rsidR="0098059E" w:rsidRPr="00FE0CDA">
        <w:rPr>
          <w:snapToGrid w:val="0"/>
          <w:kern w:val="22"/>
        </w:rPr>
        <w:t xml:space="preserve"> [and regional intergovernmental organizations]</w:t>
      </w:r>
      <w:r w:rsidR="002F4FE1" w:rsidRPr="00FE0CDA">
        <w:rPr>
          <w:snapToGrid w:val="0"/>
          <w:kern w:val="22"/>
        </w:rPr>
        <w:t xml:space="preserve"> in the improvement of national capacities for</w:t>
      </w:r>
      <w:r w:rsidR="005A2729" w:rsidRPr="00FE0CDA">
        <w:rPr>
          <w:snapToGrid w:val="0"/>
          <w:kern w:val="22"/>
        </w:rPr>
        <w:t xml:space="preserve"> the discovery, collection, analysis, aggregation, storage, accessibility, searchability, visualization and exchange of biodiversity-related data, information and knowledge</w:t>
      </w:r>
      <w:r w:rsidR="0083611C" w:rsidRPr="00FE0CDA">
        <w:rPr>
          <w:snapToGrid w:val="0"/>
          <w:kern w:val="22"/>
        </w:rPr>
        <w:t>, as appropriate</w:t>
      </w:r>
      <w:r w:rsidR="005A2729" w:rsidRPr="00FE0CDA">
        <w:rPr>
          <w:snapToGrid w:val="0"/>
          <w:kern w:val="22"/>
        </w:rPr>
        <w:t>;</w:t>
      </w:r>
    </w:p>
    <w:p w14:paraId="783ABBAC" w14:textId="710F909F" w:rsidR="000E2066" w:rsidRPr="00FE0CDA"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(f)</w:t>
      </w:r>
      <w:r w:rsidRPr="00FA3FC5">
        <w:rPr>
          <w:snapToGrid w:val="0"/>
          <w:kern w:val="22"/>
        </w:rPr>
        <w:tab/>
      </w:r>
      <w:r w:rsidR="00360422" w:rsidRPr="00FE0CDA">
        <w:rPr>
          <w:snapToGrid w:val="0"/>
          <w:kern w:val="22"/>
        </w:rPr>
        <w:t>To p</w:t>
      </w:r>
      <w:r w:rsidR="00CE18D7" w:rsidRPr="00FE0CDA">
        <w:rPr>
          <w:snapToGrid w:val="0"/>
          <w:kern w:val="22"/>
        </w:rPr>
        <w:t>repare</w:t>
      </w:r>
      <w:r w:rsidR="009A6EB4" w:rsidRPr="00FE0CDA">
        <w:rPr>
          <w:snapToGrid w:val="0"/>
          <w:kern w:val="22"/>
        </w:rPr>
        <w:t>, in collaboration with the I</w:t>
      </w:r>
      <w:r w:rsidR="002A6FB3" w:rsidRPr="00FE0CDA">
        <w:rPr>
          <w:snapToGrid w:val="0"/>
          <w:kern w:val="22"/>
        </w:rPr>
        <w:t xml:space="preserve">nformal </w:t>
      </w:r>
      <w:r w:rsidR="009A6EB4" w:rsidRPr="00FE0CDA">
        <w:rPr>
          <w:snapToGrid w:val="0"/>
          <w:kern w:val="22"/>
        </w:rPr>
        <w:t>A</w:t>
      </w:r>
      <w:r w:rsidR="002A6FB3" w:rsidRPr="00FE0CDA">
        <w:rPr>
          <w:snapToGrid w:val="0"/>
          <w:kern w:val="22"/>
        </w:rPr>
        <w:t xml:space="preserve">dvisory </w:t>
      </w:r>
      <w:r w:rsidR="009A6EB4" w:rsidRPr="00FE0CDA">
        <w:rPr>
          <w:snapToGrid w:val="0"/>
          <w:kern w:val="22"/>
        </w:rPr>
        <w:t>G</w:t>
      </w:r>
      <w:r w:rsidR="002A6FB3" w:rsidRPr="00FE0CDA">
        <w:rPr>
          <w:snapToGrid w:val="0"/>
          <w:kern w:val="22"/>
        </w:rPr>
        <w:t>roup</w:t>
      </w:r>
      <w:r w:rsidR="009A6EB4" w:rsidRPr="00FE0CDA">
        <w:rPr>
          <w:snapToGrid w:val="0"/>
          <w:kern w:val="22"/>
        </w:rPr>
        <w:t xml:space="preserve"> on T</w:t>
      </w:r>
      <w:r w:rsidR="002A6FB3" w:rsidRPr="00FE0CDA">
        <w:rPr>
          <w:snapToGrid w:val="0"/>
          <w:kern w:val="22"/>
        </w:rPr>
        <w:t xml:space="preserve">echnical and </w:t>
      </w:r>
      <w:r w:rsidR="009A6EB4" w:rsidRPr="00FE0CDA">
        <w:rPr>
          <w:snapToGrid w:val="0"/>
          <w:kern w:val="22"/>
        </w:rPr>
        <w:t>S</w:t>
      </w:r>
      <w:r w:rsidR="002A6FB3" w:rsidRPr="00FE0CDA">
        <w:rPr>
          <w:snapToGrid w:val="0"/>
          <w:kern w:val="22"/>
        </w:rPr>
        <w:t xml:space="preserve">cientific </w:t>
      </w:r>
      <w:r w:rsidR="009A6EB4" w:rsidRPr="00FE0CDA">
        <w:rPr>
          <w:snapToGrid w:val="0"/>
          <w:kern w:val="22"/>
        </w:rPr>
        <w:t>C</w:t>
      </w:r>
      <w:r w:rsidR="002A6FB3" w:rsidRPr="00FE0CDA">
        <w:rPr>
          <w:snapToGrid w:val="0"/>
          <w:kern w:val="22"/>
        </w:rPr>
        <w:t>ooperation</w:t>
      </w:r>
      <w:r w:rsidR="004069AD" w:rsidRPr="00FE0CDA">
        <w:rPr>
          <w:snapToGrid w:val="0"/>
          <w:kern w:val="22"/>
        </w:rPr>
        <w:t>,</w:t>
      </w:r>
      <w:r w:rsidR="002A6FB3" w:rsidRPr="00FA3FC5">
        <w:rPr>
          <w:rStyle w:val="FootnoteReference"/>
          <w:snapToGrid w:val="0"/>
          <w:kern w:val="22"/>
        </w:rPr>
        <w:footnoteReference w:id="9"/>
      </w:r>
      <w:r w:rsidR="009A6EB4" w:rsidRPr="00FE0CDA">
        <w:rPr>
          <w:snapToGrid w:val="0"/>
          <w:kern w:val="22"/>
        </w:rPr>
        <w:t xml:space="preserve"> </w:t>
      </w:r>
      <w:r w:rsidR="00752E4B" w:rsidRPr="00FE0CDA">
        <w:rPr>
          <w:snapToGrid w:val="0"/>
          <w:kern w:val="22"/>
        </w:rPr>
        <w:t xml:space="preserve">a </w:t>
      </w:r>
      <w:r w:rsidR="00CE18D7" w:rsidRPr="00FE0CDA">
        <w:rPr>
          <w:snapToGrid w:val="0"/>
          <w:kern w:val="22"/>
        </w:rPr>
        <w:t xml:space="preserve">proposal for </w:t>
      </w:r>
      <w:r w:rsidR="00752E4B" w:rsidRPr="00FE0CDA">
        <w:rPr>
          <w:snapToGrid w:val="0"/>
          <w:kern w:val="22"/>
        </w:rPr>
        <w:t xml:space="preserve">an </w:t>
      </w:r>
      <w:r w:rsidR="00CE18D7" w:rsidRPr="00FE0CDA">
        <w:rPr>
          <w:snapToGrid w:val="0"/>
          <w:kern w:val="22"/>
        </w:rPr>
        <w:t>updat</w:t>
      </w:r>
      <w:r w:rsidR="00752E4B" w:rsidRPr="00FE0CDA">
        <w:rPr>
          <w:snapToGrid w:val="0"/>
          <w:kern w:val="22"/>
        </w:rPr>
        <w:t>ed</w:t>
      </w:r>
      <w:r w:rsidR="00CE18D7" w:rsidRPr="00FE0CDA">
        <w:rPr>
          <w:snapToGrid w:val="0"/>
          <w:kern w:val="22"/>
        </w:rPr>
        <w:t xml:space="preserve"> </w:t>
      </w:r>
      <w:r w:rsidR="000E2066" w:rsidRPr="00FE0CDA">
        <w:rPr>
          <w:snapToGrid w:val="0"/>
          <w:kern w:val="22"/>
        </w:rPr>
        <w:t xml:space="preserve">work programme for the </w:t>
      </w:r>
      <w:r w:rsidR="009F1B3C" w:rsidRPr="00FE0CDA">
        <w:rPr>
          <w:snapToGrid w:val="0"/>
          <w:kern w:val="22"/>
        </w:rPr>
        <w:t>clearing-house mechanism</w:t>
      </w:r>
      <w:r w:rsidR="74A265C4" w:rsidRPr="00FE0CDA">
        <w:rPr>
          <w:snapToGrid w:val="0"/>
          <w:kern w:val="22"/>
        </w:rPr>
        <w:t>,</w:t>
      </w:r>
      <w:r w:rsidR="000E2066" w:rsidRPr="00FE0CDA">
        <w:rPr>
          <w:snapToGrid w:val="0"/>
          <w:kern w:val="22"/>
        </w:rPr>
        <w:t xml:space="preserve"> </w:t>
      </w:r>
      <w:r w:rsidR="009F1B3C" w:rsidRPr="00FE0CDA">
        <w:rPr>
          <w:snapToGrid w:val="0"/>
          <w:kern w:val="22"/>
        </w:rPr>
        <w:t>align</w:t>
      </w:r>
      <w:r w:rsidR="714BDB29" w:rsidRPr="00FE0CDA">
        <w:rPr>
          <w:snapToGrid w:val="0"/>
          <w:kern w:val="22"/>
        </w:rPr>
        <w:t>ed</w:t>
      </w:r>
      <w:r w:rsidR="009F1B3C" w:rsidRPr="00FE0CDA">
        <w:rPr>
          <w:snapToGrid w:val="0"/>
          <w:kern w:val="22"/>
        </w:rPr>
        <w:t xml:space="preserve"> </w:t>
      </w:r>
      <w:r w:rsidR="000E2066" w:rsidRPr="00FE0CDA">
        <w:rPr>
          <w:snapToGrid w:val="0"/>
          <w:kern w:val="22"/>
        </w:rPr>
        <w:t xml:space="preserve">with the </w:t>
      </w:r>
      <w:r w:rsidR="5F7C90BC" w:rsidRPr="00FE0CDA">
        <w:rPr>
          <w:snapToGrid w:val="0"/>
          <w:kern w:val="22"/>
        </w:rPr>
        <w:t xml:space="preserve">post 2020 </w:t>
      </w:r>
      <w:r w:rsidR="004069AD" w:rsidRPr="00FE0CDA">
        <w:rPr>
          <w:snapToGrid w:val="0"/>
          <w:kern w:val="22"/>
        </w:rPr>
        <w:t>g</w:t>
      </w:r>
      <w:r w:rsidR="2FB0C25D" w:rsidRPr="00FE0CDA">
        <w:rPr>
          <w:snapToGrid w:val="0"/>
          <w:kern w:val="22"/>
        </w:rPr>
        <w:t xml:space="preserve">lobal </w:t>
      </w:r>
      <w:r w:rsidR="004069AD" w:rsidRPr="00FE0CDA">
        <w:rPr>
          <w:snapToGrid w:val="0"/>
          <w:kern w:val="22"/>
        </w:rPr>
        <w:t>b</w:t>
      </w:r>
      <w:r w:rsidR="15ECFBC8" w:rsidRPr="00FE0CDA">
        <w:rPr>
          <w:snapToGrid w:val="0"/>
          <w:kern w:val="22"/>
        </w:rPr>
        <w:t xml:space="preserve">iodiversity </w:t>
      </w:r>
      <w:r w:rsidR="004069AD" w:rsidRPr="00FE0CDA">
        <w:rPr>
          <w:snapToGrid w:val="0"/>
          <w:kern w:val="22"/>
        </w:rPr>
        <w:t>f</w:t>
      </w:r>
      <w:r w:rsidR="6D637720" w:rsidRPr="00FE0CDA">
        <w:rPr>
          <w:snapToGrid w:val="0"/>
          <w:kern w:val="22"/>
        </w:rPr>
        <w:t>ramework</w:t>
      </w:r>
      <w:r w:rsidR="000E2066" w:rsidRPr="00FE0CDA">
        <w:rPr>
          <w:snapToGrid w:val="0"/>
          <w:kern w:val="22"/>
        </w:rPr>
        <w:t xml:space="preserve"> and </w:t>
      </w:r>
      <w:r w:rsidR="009F1B3C" w:rsidRPr="00FE0CDA">
        <w:rPr>
          <w:snapToGrid w:val="0"/>
          <w:kern w:val="22"/>
        </w:rPr>
        <w:t xml:space="preserve">relevant </w:t>
      </w:r>
      <w:r w:rsidR="000E2066" w:rsidRPr="00FE0CDA">
        <w:rPr>
          <w:snapToGrid w:val="0"/>
          <w:kern w:val="22"/>
        </w:rPr>
        <w:t xml:space="preserve">decisions, and submit </w:t>
      </w:r>
      <w:r w:rsidR="00800FA5" w:rsidRPr="00FE0CDA">
        <w:rPr>
          <w:snapToGrid w:val="0"/>
          <w:kern w:val="22"/>
        </w:rPr>
        <w:t>the proposal</w:t>
      </w:r>
      <w:r w:rsidR="1F07BEA9" w:rsidRPr="00FE0CDA">
        <w:rPr>
          <w:snapToGrid w:val="0"/>
          <w:kern w:val="22"/>
        </w:rPr>
        <w:t xml:space="preserve"> </w:t>
      </w:r>
      <w:r w:rsidR="000E2066" w:rsidRPr="00FE0CDA">
        <w:rPr>
          <w:snapToGrid w:val="0"/>
          <w:kern w:val="22"/>
        </w:rPr>
        <w:t xml:space="preserve">for </w:t>
      </w:r>
      <w:r w:rsidR="006261B0" w:rsidRPr="00FE0CDA">
        <w:rPr>
          <w:snapToGrid w:val="0"/>
          <w:kern w:val="22"/>
        </w:rPr>
        <w:t>consideratio</w:t>
      </w:r>
      <w:r w:rsidR="00D32D09" w:rsidRPr="00FE0CDA">
        <w:rPr>
          <w:snapToGrid w:val="0"/>
          <w:kern w:val="22"/>
        </w:rPr>
        <w:t xml:space="preserve">n </w:t>
      </w:r>
      <w:r w:rsidR="009F1B3C" w:rsidRPr="00FE0CDA">
        <w:rPr>
          <w:snapToGrid w:val="0"/>
          <w:kern w:val="22"/>
        </w:rPr>
        <w:t xml:space="preserve">by </w:t>
      </w:r>
      <w:r w:rsidR="00310A5D" w:rsidRPr="00FE0CDA">
        <w:rPr>
          <w:snapToGrid w:val="0"/>
          <w:kern w:val="22"/>
        </w:rPr>
        <w:t xml:space="preserve">the </w:t>
      </w:r>
      <w:r w:rsidR="00734167" w:rsidRPr="00FE0CDA">
        <w:rPr>
          <w:snapToGrid w:val="0"/>
          <w:kern w:val="22"/>
        </w:rPr>
        <w:t>Subsidiary Body on Implementation</w:t>
      </w:r>
      <w:r w:rsidR="00165BFC" w:rsidRPr="00FE0CDA">
        <w:rPr>
          <w:snapToGrid w:val="0"/>
          <w:kern w:val="22"/>
        </w:rPr>
        <w:t xml:space="preserve"> </w:t>
      </w:r>
      <w:r w:rsidR="000E2066" w:rsidRPr="00FE0CDA">
        <w:rPr>
          <w:snapToGrid w:val="0"/>
          <w:kern w:val="22"/>
        </w:rPr>
        <w:t xml:space="preserve">at its fourth meeting and approval </w:t>
      </w:r>
      <w:r w:rsidR="00734167" w:rsidRPr="00FE0CDA">
        <w:rPr>
          <w:snapToGrid w:val="0"/>
          <w:kern w:val="22"/>
        </w:rPr>
        <w:t>by the Conference of the Parti</w:t>
      </w:r>
      <w:r w:rsidR="74724019" w:rsidRPr="00FE0CDA">
        <w:rPr>
          <w:snapToGrid w:val="0"/>
          <w:kern w:val="22"/>
        </w:rPr>
        <w:t>e</w:t>
      </w:r>
      <w:r w:rsidR="00734167" w:rsidRPr="00FE0CDA">
        <w:rPr>
          <w:snapToGrid w:val="0"/>
          <w:kern w:val="22"/>
        </w:rPr>
        <w:t xml:space="preserve">s </w:t>
      </w:r>
      <w:r w:rsidR="000E2066" w:rsidRPr="00FE0CDA">
        <w:rPr>
          <w:snapToGrid w:val="0"/>
          <w:kern w:val="22"/>
        </w:rPr>
        <w:t xml:space="preserve">at its </w:t>
      </w:r>
      <w:r w:rsidR="00734167" w:rsidRPr="00FE0CDA">
        <w:rPr>
          <w:snapToGrid w:val="0"/>
          <w:kern w:val="22"/>
        </w:rPr>
        <w:t>sixteenth</w:t>
      </w:r>
      <w:r w:rsidR="000E2066" w:rsidRPr="00FE0CDA">
        <w:rPr>
          <w:snapToGrid w:val="0"/>
          <w:kern w:val="22"/>
        </w:rPr>
        <w:t xml:space="preserve"> </w:t>
      </w:r>
      <w:proofErr w:type="gramStart"/>
      <w:r w:rsidR="000E2066" w:rsidRPr="00FE0CDA">
        <w:rPr>
          <w:snapToGrid w:val="0"/>
          <w:kern w:val="22"/>
        </w:rPr>
        <w:t>meeting;</w:t>
      </w:r>
      <w:proofErr w:type="gramEnd"/>
    </w:p>
    <w:p w14:paraId="25A85003" w14:textId="644F0022" w:rsidR="005A2729" w:rsidRPr="00FE0CDA" w:rsidRDefault="00360081" w:rsidP="00FC4FDE">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(g)</w:t>
      </w:r>
      <w:r w:rsidRPr="00FA3FC5">
        <w:rPr>
          <w:snapToGrid w:val="0"/>
          <w:kern w:val="22"/>
        </w:rPr>
        <w:tab/>
      </w:r>
      <w:r w:rsidR="005A2729" w:rsidRPr="00FE0CDA">
        <w:rPr>
          <w:snapToGrid w:val="0"/>
          <w:kern w:val="22"/>
        </w:rPr>
        <w:t>To submit a first progress report on the above activities for consideration by the Subsidiary Body on Implementation at its fourth meeting.</w:t>
      </w:r>
    </w:p>
    <w:p w14:paraId="3093D971" w14:textId="77777777" w:rsidR="00B3369F" w:rsidRPr="00FA3FC5" w:rsidRDefault="00B3369F" w:rsidP="00C9161D"/>
    <w:p w14:paraId="650D26A7" w14:textId="05B2E9AC" w:rsidR="76874745" w:rsidRPr="00FA3FC5" w:rsidRDefault="009C2CE4" w:rsidP="00E45866">
      <w:pPr>
        <w:keepNext/>
        <w:jc w:val="center"/>
        <w:rPr>
          <w:i/>
          <w:iCs/>
          <w:szCs w:val="22"/>
        </w:rPr>
      </w:pPr>
      <w:r w:rsidRPr="00FA3FC5">
        <w:rPr>
          <w:i/>
          <w:iCs/>
          <w:szCs w:val="22"/>
        </w:rPr>
        <w:t>Annex</w:t>
      </w:r>
      <w:r w:rsidR="005E2148" w:rsidRPr="00E80CEA">
        <w:rPr>
          <w:rStyle w:val="FootnoteReference"/>
          <w:szCs w:val="22"/>
        </w:rPr>
        <w:footnoteReference w:id="10"/>
      </w:r>
    </w:p>
    <w:p w14:paraId="6D7C8AF3" w14:textId="3E37ADB1" w:rsidR="00C55A3F" w:rsidRPr="00E80CEA" w:rsidRDefault="0046182A" w:rsidP="00E80CEA">
      <w:pPr>
        <w:keepNext/>
        <w:suppressLineNumbers/>
        <w:suppressAutoHyphens/>
        <w:kinsoku w:val="0"/>
        <w:overflowPunct w:val="0"/>
        <w:autoSpaceDE w:val="0"/>
        <w:autoSpaceDN w:val="0"/>
        <w:spacing w:before="120" w:after="120"/>
        <w:ind w:left="288"/>
        <w:jc w:val="center"/>
        <w:rPr>
          <w:rFonts w:asciiTheme="majorBidi" w:hAnsiTheme="majorBidi" w:cstheme="majorBidi"/>
          <w:b/>
          <w:caps/>
          <w:kern w:val="22"/>
          <w:szCs w:val="22"/>
          <w:lang w:eastAsia="ko-KR"/>
        </w:rPr>
      </w:pPr>
      <w:r w:rsidRPr="00E80CEA">
        <w:rPr>
          <w:rFonts w:asciiTheme="majorBidi" w:hAnsiTheme="majorBidi" w:cstheme="majorBidi"/>
          <w:b/>
          <w:caps/>
          <w:kern w:val="22"/>
          <w:szCs w:val="22"/>
          <w:lang w:eastAsia="ko-KR"/>
        </w:rPr>
        <w:t>[</w:t>
      </w:r>
      <w:r w:rsidR="009B6057" w:rsidRPr="00E80CEA">
        <w:rPr>
          <w:rFonts w:asciiTheme="majorBidi" w:hAnsiTheme="majorBidi" w:cstheme="majorBidi"/>
          <w:b/>
          <w:caps/>
          <w:kern w:val="22"/>
          <w:szCs w:val="22"/>
          <w:lang w:eastAsia="ko-KR"/>
        </w:rPr>
        <w:t xml:space="preserve">KNOWLEDGE MANAGEMENT </w:t>
      </w:r>
      <w:r w:rsidR="00AC6F94" w:rsidRPr="00E80CEA">
        <w:rPr>
          <w:rFonts w:asciiTheme="majorBidi" w:hAnsiTheme="majorBidi" w:cstheme="majorBidi"/>
          <w:b/>
          <w:caps/>
          <w:kern w:val="22"/>
          <w:szCs w:val="22"/>
          <w:lang w:eastAsia="ko-KR"/>
        </w:rPr>
        <w:t>COMPONENT OF THE POST-2020 GLOBAL BIODIVERSITY FRAMEWORK</w:t>
      </w:r>
    </w:p>
    <w:p w14:paraId="2FCCA431" w14:textId="038D4ABA" w:rsidR="00C55A3F" w:rsidRPr="00E80CEA" w:rsidRDefault="00360081" w:rsidP="00674FF4">
      <w:pPr>
        <w:pStyle w:val="Heading1"/>
        <w:suppressLineNumbers/>
        <w:tabs>
          <w:tab w:val="clear" w:pos="720"/>
          <w:tab w:val="left" w:pos="284"/>
        </w:tabs>
        <w:suppressAutoHyphens/>
        <w:spacing w:before="120"/>
        <w:rPr>
          <w:rFonts w:asciiTheme="majorBidi" w:hAnsiTheme="majorBidi" w:cstheme="majorBidi"/>
          <w:kern w:val="22"/>
        </w:rPr>
      </w:pPr>
      <w:r w:rsidRPr="00E80CEA">
        <w:rPr>
          <w:rFonts w:asciiTheme="majorBidi" w:hAnsiTheme="majorBidi" w:cstheme="majorBidi"/>
          <w:kern w:val="22"/>
        </w:rPr>
        <w:t>I.</w:t>
      </w:r>
      <w:r w:rsidRPr="00E80CEA">
        <w:rPr>
          <w:rFonts w:asciiTheme="majorBidi" w:hAnsiTheme="majorBidi" w:cstheme="majorBidi"/>
          <w:kern w:val="22"/>
        </w:rPr>
        <w:tab/>
      </w:r>
      <w:r w:rsidR="00C55A3F" w:rsidRPr="00E80CEA">
        <w:rPr>
          <w:rFonts w:asciiTheme="majorBidi" w:hAnsiTheme="majorBidi" w:cstheme="majorBidi"/>
          <w:kern w:val="22"/>
        </w:rPr>
        <w:t>Introduction</w:t>
      </w:r>
    </w:p>
    <w:p w14:paraId="58C3B6E1" w14:textId="2A225E6D" w:rsidR="00C55A3F" w:rsidRPr="00FA3FC5" w:rsidRDefault="00360081" w:rsidP="00674FF4">
      <w:pPr>
        <w:pStyle w:val="Para1"/>
        <w:numPr>
          <w:ilvl w:val="0"/>
          <w:numId w:val="0"/>
        </w:numPr>
        <w:suppressLineNumbers/>
        <w:suppressAutoHyphens/>
        <w:rPr>
          <w:kern w:val="22"/>
          <w:szCs w:val="22"/>
        </w:rPr>
      </w:pPr>
      <w:r w:rsidRPr="00FA3FC5">
        <w:rPr>
          <w:kern w:val="22"/>
          <w:szCs w:val="22"/>
        </w:rPr>
        <w:t>1.</w:t>
      </w:r>
      <w:r w:rsidRPr="00FA3FC5">
        <w:rPr>
          <w:kern w:val="22"/>
          <w:szCs w:val="22"/>
        </w:rPr>
        <w:tab/>
      </w:r>
      <w:r w:rsidR="00C55A3F" w:rsidRPr="00FA3FC5">
        <w:rPr>
          <w:kern w:val="22"/>
          <w:szCs w:val="22"/>
        </w:rPr>
        <w:t xml:space="preserve">In decision </w:t>
      </w:r>
      <w:hyperlink r:id="rId19" w:history="1">
        <w:r w:rsidR="00C55A3F" w:rsidRPr="00FA3FC5">
          <w:rPr>
            <w:rStyle w:val="Hyperlink"/>
            <w:kern w:val="22"/>
            <w:sz w:val="22"/>
            <w:szCs w:val="22"/>
          </w:rPr>
          <w:t>14/25</w:t>
        </w:r>
      </w:hyperlink>
      <w:r w:rsidR="00C55A3F" w:rsidRPr="00FA3FC5">
        <w:rPr>
          <w:kern w:val="22"/>
          <w:szCs w:val="22"/>
        </w:rPr>
        <w:t xml:space="preserve">, the Conference of the Parties requested the Executive Secretary to develop, in consultation with the </w:t>
      </w:r>
      <w:r w:rsidR="004069AD" w:rsidRPr="00FA3FC5">
        <w:rPr>
          <w:kern w:val="22"/>
          <w:szCs w:val="22"/>
        </w:rPr>
        <w:t>I</w:t>
      </w:r>
      <w:r w:rsidR="00C55A3F" w:rsidRPr="00FA3FC5">
        <w:rPr>
          <w:kern w:val="22"/>
          <w:szCs w:val="22"/>
        </w:rPr>
        <w:t xml:space="preserve">nformal </w:t>
      </w:r>
      <w:r w:rsidR="004069AD" w:rsidRPr="00FA3FC5">
        <w:rPr>
          <w:kern w:val="22"/>
          <w:szCs w:val="22"/>
        </w:rPr>
        <w:t>A</w:t>
      </w:r>
      <w:r w:rsidR="00C55A3F" w:rsidRPr="00FA3FC5">
        <w:rPr>
          <w:kern w:val="22"/>
          <w:szCs w:val="22"/>
        </w:rPr>
        <w:t xml:space="preserve">dvisory </w:t>
      </w:r>
      <w:r w:rsidR="004069AD" w:rsidRPr="00FA3FC5">
        <w:rPr>
          <w:kern w:val="22"/>
          <w:szCs w:val="22"/>
        </w:rPr>
        <w:t>C</w:t>
      </w:r>
      <w:r w:rsidR="00C55A3F" w:rsidRPr="00FA3FC5">
        <w:rPr>
          <w:kern w:val="22"/>
          <w:szCs w:val="22"/>
        </w:rPr>
        <w:t>ommittees to the Clearing-House Mechanism (CHM), the Biosafety Clearing-House and the Access and Benefit-sharing Clearing-House, a knowledge management component as a part of the preparatory process for the post-2020 global biodiversity framework.</w:t>
      </w:r>
    </w:p>
    <w:p w14:paraId="674BAFBA" w14:textId="015161D2" w:rsidR="00C55A3F" w:rsidRPr="00FA3FC5" w:rsidRDefault="00360081" w:rsidP="00674FF4">
      <w:pPr>
        <w:pStyle w:val="Para1"/>
        <w:numPr>
          <w:ilvl w:val="0"/>
          <w:numId w:val="0"/>
        </w:numPr>
        <w:suppressLineNumbers/>
        <w:suppressAutoHyphens/>
        <w:rPr>
          <w:kern w:val="22"/>
          <w:szCs w:val="22"/>
        </w:rPr>
      </w:pPr>
      <w:r w:rsidRPr="00FA3FC5">
        <w:rPr>
          <w:kern w:val="22"/>
          <w:szCs w:val="22"/>
        </w:rPr>
        <w:t>2.</w:t>
      </w:r>
      <w:r w:rsidRPr="00FA3FC5">
        <w:rPr>
          <w:kern w:val="22"/>
          <w:szCs w:val="22"/>
        </w:rPr>
        <w:tab/>
      </w:r>
      <w:r w:rsidR="00C55A3F" w:rsidRPr="00FA3FC5">
        <w:rPr>
          <w:kern w:val="22"/>
          <w:szCs w:val="22"/>
        </w:rPr>
        <w:t>Various provisions and decisions of biodiversity-related conventions and processes recognize the critical importance of information and knowledge management to the achievement of their objectives.</w:t>
      </w:r>
      <w:r w:rsidR="00C55A3F" w:rsidRPr="00FA3FC5">
        <w:rPr>
          <w:rStyle w:val="FootnoteReference"/>
          <w:kern w:val="22"/>
          <w:szCs w:val="22"/>
        </w:rPr>
        <w:footnoteReference w:id="11"/>
      </w:r>
      <w:r w:rsidR="00C55A3F" w:rsidRPr="00FA3FC5">
        <w:rPr>
          <w:kern w:val="22"/>
          <w:szCs w:val="22"/>
        </w:rPr>
        <w:t xml:space="preserve">  The Strategic Plan for Biodiversity 2011-2020, included Goal E: to enhance implementation through participatory planning, knowledge management and capacity-building.</w:t>
      </w:r>
      <w:r w:rsidR="00C55A3F" w:rsidRPr="00FA3FC5">
        <w:rPr>
          <w:rStyle w:val="FootnoteReference"/>
          <w:kern w:val="22"/>
          <w:szCs w:val="22"/>
        </w:rPr>
        <w:footnoteReference w:id="12"/>
      </w:r>
      <w:r w:rsidR="00C55A3F" w:rsidRPr="00FA3FC5">
        <w:rPr>
          <w:kern w:val="22"/>
          <w:szCs w:val="22"/>
        </w:rPr>
        <w:t xml:space="preserve"> It also included Target 19 that “by 2020, knowledge, the science base and technologies relating to biodiversity, its values, functioning, status and trends, and the consequences of its loss, are improved, widely shared and transferred, and applied.”</w:t>
      </w:r>
    </w:p>
    <w:p w14:paraId="5DA1522D" w14:textId="7AC8B840" w:rsidR="00C55A3F" w:rsidRPr="00FA3FC5" w:rsidRDefault="00360081" w:rsidP="00674FF4">
      <w:pPr>
        <w:pStyle w:val="Para1"/>
        <w:numPr>
          <w:ilvl w:val="0"/>
          <w:numId w:val="0"/>
        </w:numPr>
        <w:suppressLineNumbers/>
        <w:suppressAutoHyphens/>
        <w:rPr>
          <w:kern w:val="22"/>
          <w:szCs w:val="22"/>
        </w:rPr>
      </w:pPr>
      <w:r w:rsidRPr="00FA3FC5">
        <w:rPr>
          <w:kern w:val="22"/>
          <w:szCs w:val="22"/>
        </w:rPr>
        <w:t>3.</w:t>
      </w:r>
      <w:r w:rsidRPr="00FA3FC5">
        <w:rPr>
          <w:kern w:val="22"/>
          <w:szCs w:val="22"/>
        </w:rPr>
        <w:tab/>
      </w:r>
      <w:r w:rsidR="00C55A3F" w:rsidRPr="00FA3FC5">
        <w:rPr>
          <w:kern w:val="22"/>
          <w:szCs w:val="22"/>
        </w:rPr>
        <w:t xml:space="preserve">The Strategic Plan for Biodiversity 2011-2020 recognized that achievement of its goals and targets would require enhanced support mechanisms, including the generation, use and sharing of knowledge, and noted that, collectively, Parties and stakeholders have a wealth of experience, good practice cases, </w:t>
      </w:r>
      <w:proofErr w:type="gramStart"/>
      <w:r w:rsidR="00C55A3F" w:rsidRPr="00FA3FC5">
        <w:rPr>
          <w:kern w:val="22"/>
          <w:szCs w:val="22"/>
        </w:rPr>
        <w:t>tools</w:t>
      </w:r>
      <w:proofErr w:type="gramEnd"/>
      <w:r w:rsidR="00C55A3F" w:rsidRPr="00FA3FC5">
        <w:rPr>
          <w:kern w:val="22"/>
          <w:szCs w:val="22"/>
        </w:rPr>
        <w:t xml:space="preserve"> and guidance and that there is additional useful information beyond this community. It thus called for the establishment of a biodiversity knowledge network, including a database and network of practitioners, to bring together this knowledge and experience and to make it available through the clearing-house mechanism.</w:t>
      </w:r>
    </w:p>
    <w:p w14:paraId="10DA7FDD" w14:textId="2001A94D" w:rsidR="00C55A3F" w:rsidRPr="00FA3FC5" w:rsidRDefault="00360081" w:rsidP="00674FF4">
      <w:pPr>
        <w:pStyle w:val="Para1"/>
        <w:numPr>
          <w:ilvl w:val="0"/>
          <w:numId w:val="0"/>
        </w:numPr>
        <w:suppressLineNumbers/>
        <w:suppressAutoHyphens/>
        <w:rPr>
          <w:kern w:val="22"/>
          <w:szCs w:val="22"/>
        </w:rPr>
      </w:pPr>
      <w:r w:rsidRPr="00FA3FC5">
        <w:rPr>
          <w:kern w:val="22"/>
          <w:szCs w:val="22"/>
        </w:rPr>
        <w:t>4.</w:t>
      </w:r>
      <w:r w:rsidRPr="00FA3FC5">
        <w:rPr>
          <w:kern w:val="22"/>
          <w:szCs w:val="22"/>
        </w:rPr>
        <w:tab/>
      </w:r>
      <w:r w:rsidR="00C55A3F" w:rsidRPr="00FA3FC5">
        <w:rPr>
          <w:kern w:val="22"/>
          <w:szCs w:val="22"/>
        </w:rPr>
        <w:t xml:space="preserve">The fifth edition of the </w:t>
      </w:r>
      <w:r w:rsidR="00C55A3F" w:rsidRPr="00FA3FC5">
        <w:rPr>
          <w:i/>
          <w:iCs/>
          <w:kern w:val="22"/>
          <w:szCs w:val="22"/>
        </w:rPr>
        <w:t>Global Biodiversity Outlook</w:t>
      </w:r>
      <w:r w:rsidR="00C55A3F" w:rsidRPr="00FA3FC5">
        <w:rPr>
          <w:kern w:val="22"/>
          <w:szCs w:val="22"/>
        </w:rPr>
        <w:t xml:space="preserve"> noted that significant progress has been made since 2010 in the generation, sharing and assessment of knowledge, </w:t>
      </w:r>
      <w:proofErr w:type="gramStart"/>
      <w:r w:rsidR="00C55A3F" w:rsidRPr="00FA3FC5">
        <w:rPr>
          <w:kern w:val="22"/>
          <w:szCs w:val="22"/>
        </w:rPr>
        <w:t>information</w:t>
      </w:r>
      <w:proofErr w:type="gramEnd"/>
      <w:r w:rsidR="00C55A3F" w:rsidRPr="00FA3FC5">
        <w:rPr>
          <w:kern w:val="22"/>
          <w:szCs w:val="22"/>
        </w:rPr>
        <w:t xml:space="preserve"> and data on biodiversity, with big-data aggregation, advances in modelling and artificial intelligence opening up new opportunities for improved understanding of the biosphere. However, major imbalances remain in the location and </w:t>
      </w:r>
      <w:r w:rsidR="00C55A3F" w:rsidRPr="00FA3FC5">
        <w:rPr>
          <w:kern w:val="22"/>
          <w:szCs w:val="22"/>
        </w:rPr>
        <w:lastRenderedPageBreak/>
        <w:t>taxonomic focus of studies and monitoring. Information gaps also remain in the consequences of biodiversity loss for people, and the application of biodiversity knowledge in decision-making is limited.</w:t>
      </w:r>
      <w:r w:rsidR="00C55A3F" w:rsidRPr="00FA3FC5">
        <w:rPr>
          <w:rStyle w:val="FootnoteReference"/>
          <w:kern w:val="22"/>
          <w:szCs w:val="22"/>
        </w:rPr>
        <w:footnoteReference w:id="13"/>
      </w:r>
    </w:p>
    <w:p w14:paraId="2967E9E6" w14:textId="4BC00160" w:rsidR="00C55A3F" w:rsidRPr="00FA3FC5" w:rsidRDefault="00360081" w:rsidP="00674FF4">
      <w:pPr>
        <w:pStyle w:val="Para1"/>
        <w:numPr>
          <w:ilvl w:val="0"/>
          <w:numId w:val="0"/>
        </w:numPr>
        <w:suppressLineNumbers/>
        <w:suppressAutoHyphens/>
        <w:rPr>
          <w:kern w:val="22"/>
          <w:szCs w:val="22"/>
        </w:rPr>
      </w:pPr>
      <w:r w:rsidRPr="00FA3FC5">
        <w:rPr>
          <w:kern w:val="22"/>
          <w:szCs w:val="22"/>
        </w:rPr>
        <w:t>5.</w:t>
      </w:r>
      <w:r w:rsidRPr="00FA3FC5">
        <w:rPr>
          <w:kern w:val="22"/>
          <w:szCs w:val="22"/>
        </w:rPr>
        <w:tab/>
      </w:r>
      <w:r w:rsidR="00C55A3F" w:rsidRPr="00FA3FC5">
        <w:rPr>
          <w:kern w:val="22"/>
          <w:szCs w:val="22"/>
        </w:rPr>
        <w:t>During the meetings of the Open-Ended Working Group on the Post-2020 Global Biodiversity Framework and in the associated regional and thematic consultations, knowledge management has been identified as one of the critical means for the successful implementation of the post-2020 global biodiversity framework, together with resource mobilization, capacity-building, technical and scientific cooperation, and communication.</w:t>
      </w:r>
    </w:p>
    <w:p w14:paraId="1284E144" w14:textId="79EE7308" w:rsidR="00C55A3F" w:rsidRPr="00FA3FC5" w:rsidRDefault="00360081" w:rsidP="00674FF4">
      <w:pPr>
        <w:pStyle w:val="Para1"/>
        <w:numPr>
          <w:ilvl w:val="0"/>
          <w:numId w:val="0"/>
        </w:numPr>
        <w:suppressLineNumbers/>
        <w:suppressAutoHyphens/>
        <w:rPr>
          <w:kern w:val="22"/>
          <w:szCs w:val="22"/>
        </w:rPr>
      </w:pPr>
      <w:r w:rsidRPr="00FA3FC5">
        <w:rPr>
          <w:kern w:val="22"/>
          <w:szCs w:val="22"/>
        </w:rPr>
        <w:t>6.</w:t>
      </w:r>
      <w:r w:rsidRPr="00FA3FC5">
        <w:rPr>
          <w:kern w:val="22"/>
          <w:szCs w:val="22"/>
        </w:rPr>
        <w:tab/>
      </w:r>
      <w:r w:rsidR="00C55A3F" w:rsidRPr="00FA3FC5">
        <w:rPr>
          <w:kern w:val="22"/>
          <w:szCs w:val="22"/>
        </w:rPr>
        <w:t>The present document outlines elements of the knowledge management component of the post-2020 global biodiversity framework and possible strategies to operationalize it. Section II provides an introduction and a conceptual framework for the knowledge management component, section III outlines the rationale, objectives and expected impact of the knowledge management component; section IV presents strategies to enhance knowledge management in support of the post-2020 global biodiversity framework and section V describes possible options for an implementation framework.</w:t>
      </w:r>
    </w:p>
    <w:p w14:paraId="0EC2B6D6" w14:textId="35D9A728" w:rsidR="00C55A3F" w:rsidRPr="00FA3FC5" w:rsidRDefault="00360081" w:rsidP="00FE0CDA">
      <w:pPr>
        <w:pStyle w:val="Heading2"/>
        <w:suppressLineNumbers/>
        <w:tabs>
          <w:tab w:val="clear" w:pos="720"/>
        </w:tabs>
        <w:suppressAutoHyphens/>
        <w:spacing w:before="0" w:after="0"/>
        <w:ind w:left="714" w:hanging="357"/>
        <w:rPr>
          <w:kern w:val="22"/>
        </w:rPr>
      </w:pPr>
      <w:bookmarkStart w:id="2" w:name="_Toc39228075"/>
      <w:r w:rsidRPr="00FA3FC5">
        <w:rPr>
          <w:kern w:val="22"/>
        </w:rPr>
        <w:t>A.</w:t>
      </w:r>
      <w:r w:rsidRPr="00FA3FC5">
        <w:rPr>
          <w:kern w:val="22"/>
        </w:rPr>
        <w:tab/>
      </w:r>
      <w:r w:rsidR="00C55A3F" w:rsidRPr="00FA3FC5">
        <w:rPr>
          <w:kern w:val="22"/>
        </w:rPr>
        <w:t>Rationale for the knowledge management component</w:t>
      </w:r>
      <w:bookmarkEnd w:id="2"/>
    </w:p>
    <w:p w14:paraId="5EECEE02" w14:textId="3194D5C5" w:rsidR="00C55A3F" w:rsidRPr="00FA3FC5" w:rsidRDefault="00360081" w:rsidP="008509DC">
      <w:pPr>
        <w:pStyle w:val="Para1"/>
        <w:numPr>
          <w:ilvl w:val="0"/>
          <w:numId w:val="0"/>
        </w:numPr>
        <w:suppressLineNumbers/>
        <w:suppressAutoHyphens/>
        <w:rPr>
          <w:kern w:val="22"/>
          <w:szCs w:val="22"/>
        </w:rPr>
      </w:pPr>
      <w:r w:rsidRPr="00FA3FC5">
        <w:rPr>
          <w:kern w:val="22"/>
          <w:szCs w:val="22"/>
        </w:rPr>
        <w:t>7.</w:t>
      </w:r>
      <w:r w:rsidRPr="00FA3FC5">
        <w:rPr>
          <w:kern w:val="22"/>
          <w:szCs w:val="22"/>
        </w:rPr>
        <w:tab/>
      </w:r>
      <w:r w:rsidR="00C55A3F" w:rsidRPr="00FA3FC5">
        <w:rPr>
          <w:kern w:val="22"/>
          <w:szCs w:val="22"/>
        </w:rPr>
        <w:t xml:space="preserve">Knowledge management is one of the key strategic means of implementation that will underpin the achievement of the goals and targets of the post-2020 global biodiversity framework. Easy and timely access to the best available, fit-for-purpose biodiversity data, information and knowledge assets is critical for effective planning, policy formulation, decision-making and implementation. However, many Governments and organizations still face several challenges in implementing effective processes and initiatives for knowledge management. In many countries, especially developing countries and countries with economies in transition, data, </w:t>
      </w:r>
      <w:proofErr w:type="gramStart"/>
      <w:r w:rsidR="00C55A3F" w:rsidRPr="00FA3FC5">
        <w:rPr>
          <w:kern w:val="22"/>
          <w:szCs w:val="22"/>
        </w:rPr>
        <w:t>information</w:t>
      </w:r>
      <w:proofErr w:type="gramEnd"/>
      <w:r w:rsidR="00C55A3F" w:rsidRPr="00FA3FC5">
        <w:rPr>
          <w:kern w:val="22"/>
          <w:szCs w:val="22"/>
        </w:rPr>
        <w:t xml:space="preserve"> and knowledge on biodiversity that policymakers, practitioners, indigenous peoples and local communities, and scientists require is limited. Moreover, much of what is available is fragmented, difficult to find, or inaccessible.</w:t>
      </w:r>
    </w:p>
    <w:p w14:paraId="42739A65" w14:textId="3973FBEF" w:rsidR="00C55A3F" w:rsidRPr="00FA3FC5" w:rsidRDefault="00360081" w:rsidP="008509DC">
      <w:pPr>
        <w:pStyle w:val="Para1"/>
        <w:numPr>
          <w:ilvl w:val="0"/>
          <w:numId w:val="0"/>
        </w:numPr>
        <w:suppressLineNumbers/>
        <w:suppressAutoHyphens/>
        <w:rPr>
          <w:kern w:val="22"/>
          <w:szCs w:val="22"/>
        </w:rPr>
      </w:pPr>
      <w:r w:rsidRPr="00FA3FC5">
        <w:rPr>
          <w:kern w:val="22"/>
          <w:szCs w:val="22"/>
        </w:rPr>
        <w:t>8.</w:t>
      </w:r>
      <w:r w:rsidRPr="00FA3FC5">
        <w:rPr>
          <w:kern w:val="22"/>
          <w:szCs w:val="22"/>
        </w:rPr>
        <w:tab/>
      </w:r>
      <w:r w:rsidR="00C55A3F" w:rsidRPr="00FA3FC5">
        <w:rPr>
          <w:kern w:val="22"/>
          <w:szCs w:val="22"/>
        </w:rPr>
        <w:t>An expert meeting convened by the Cambridge Conservation Initiative in Cambridge, United Kingdom, from 10 to 12 April 2018, to advance understanding of the need to base development of the post</w:t>
      </w:r>
      <w:r w:rsidR="00C55A3F" w:rsidRPr="00FA3FC5">
        <w:rPr>
          <w:kern w:val="22"/>
          <w:szCs w:val="22"/>
        </w:rPr>
        <w:noBreakHyphen/>
        <w:t xml:space="preserve">2020 global biodiversity framework on available evidence noted, among other things, that there is significant data, </w:t>
      </w:r>
      <w:proofErr w:type="gramStart"/>
      <w:r w:rsidR="00C55A3F" w:rsidRPr="00FA3FC5">
        <w:rPr>
          <w:kern w:val="22"/>
          <w:szCs w:val="22"/>
        </w:rPr>
        <w:t>information</w:t>
      </w:r>
      <w:proofErr w:type="gramEnd"/>
      <w:r w:rsidR="00C55A3F" w:rsidRPr="00FA3FC5">
        <w:rPr>
          <w:kern w:val="22"/>
          <w:szCs w:val="22"/>
        </w:rPr>
        <w:t xml:space="preserve"> and knowledge available, but it is often not readily accessible to those who could use it to good effect. Some of the reasons for this situation are journal paywalls, confidentiality, or simply not knowing it exists or not knowing how to use it. Participants underlined the need to facilitate “discovery” of relevant data, </w:t>
      </w:r>
      <w:proofErr w:type="gramStart"/>
      <w:r w:rsidR="00C55A3F" w:rsidRPr="00FA3FC5">
        <w:rPr>
          <w:kern w:val="22"/>
          <w:szCs w:val="22"/>
        </w:rPr>
        <w:t>information</w:t>
      </w:r>
      <w:proofErr w:type="gramEnd"/>
      <w:r w:rsidR="00C55A3F" w:rsidRPr="00FA3FC5">
        <w:rPr>
          <w:kern w:val="22"/>
          <w:szCs w:val="22"/>
        </w:rPr>
        <w:t xml:space="preserve"> and knowledge from all sources and to facilitate its use. They also highlighted the potential value of developing a knowledge generation or research strategy to clearly identify the knowledge needed to support implementation of a post-2020 global biodiversity framework. Finally, the experts underscored the need to include evidence from different knowledge systems, in particular traditional knowledge systems, in any knowledge generation or research strategy if it is to be effective</w:t>
      </w:r>
      <w:r w:rsidR="00C55A3F" w:rsidRPr="00FA3FC5">
        <w:rPr>
          <w:kern w:val="22"/>
        </w:rPr>
        <w:t>.</w:t>
      </w:r>
      <w:r w:rsidR="00C55A3F" w:rsidRPr="00FA3FC5">
        <w:rPr>
          <w:rStyle w:val="FootnoteReference"/>
          <w:kern w:val="22"/>
        </w:rPr>
        <w:footnoteReference w:id="14"/>
      </w:r>
    </w:p>
    <w:p w14:paraId="67F6DC19" w14:textId="6E3D1C4F" w:rsidR="00C55A3F" w:rsidRPr="00FA3FC5" w:rsidRDefault="00360081" w:rsidP="008509DC">
      <w:pPr>
        <w:pStyle w:val="Para1"/>
        <w:numPr>
          <w:ilvl w:val="0"/>
          <w:numId w:val="0"/>
        </w:numPr>
        <w:suppressLineNumbers/>
        <w:suppressAutoHyphens/>
        <w:rPr>
          <w:kern w:val="22"/>
          <w:szCs w:val="22"/>
        </w:rPr>
      </w:pPr>
      <w:r w:rsidRPr="00FA3FC5">
        <w:rPr>
          <w:kern w:val="22"/>
          <w:szCs w:val="22"/>
        </w:rPr>
        <w:t>9.</w:t>
      </w:r>
      <w:r w:rsidRPr="00FA3FC5">
        <w:rPr>
          <w:kern w:val="22"/>
          <w:szCs w:val="22"/>
        </w:rPr>
        <w:tab/>
      </w:r>
      <w:r w:rsidR="00C55A3F" w:rsidRPr="00FA3FC5">
        <w:rPr>
          <w:kern w:val="22"/>
          <w:szCs w:val="22"/>
        </w:rPr>
        <w:t xml:space="preserve">The knowledge management component seeks to address some of the above issues, including the barriers that prevent the effective utilization of existing biodiversity data, </w:t>
      </w:r>
      <w:proofErr w:type="gramStart"/>
      <w:r w:rsidR="00C55A3F" w:rsidRPr="00FA3FC5">
        <w:rPr>
          <w:kern w:val="22"/>
          <w:szCs w:val="22"/>
        </w:rPr>
        <w:t>information</w:t>
      </w:r>
      <w:proofErr w:type="gramEnd"/>
      <w:r w:rsidR="00C55A3F" w:rsidRPr="00FA3FC5">
        <w:rPr>
          <w:kern w:val="22"/>
          <w:szCs w:val="22"/>
        </w:rPr>
        <w:t xml:space="preserve"> and knowledge, by leveraging existing biodiversity knowledge management initiatives and networks, bridging the gaps that prevent their full usage and enhancing coordination and collaboration among them. Such efforts call for recognizing and optimizing the contributions of various government and non-government institutions, regional and international organizations, researchers, </w:t>
      </w:r>
      <w:proofErr w:type="gramStart"/>
      <w:r w:rsidR="00C55A3F" w:rsidRPr="00FA3FC5">
        <w:rPr>
          <w:kern w:val="22"/>
          <w:szCs w:val="22"/>
        </w:rPr>
        <w:t>practitioners</w:t>
      </w:r>
      <w:proofErr w:type="gramEnd"/>
      <w:r w:rsidR="00C55A3F" w:rsidRPr="00FA3FC5">
        <w:rPr>
          <w:kern w:val="22"/>
          <w:szCs w:val="22"/>
        </w:rPr>
        <w:t xml:space="preserve"> and other stakeholders involved in biodiversity knowledge management.</w:t>
      </w:r>
    </w:p>
    <w:p w14:paraId="046688E5" w14:textId="208A21BD" w:rsidR="00C55A3F" w:rsidRPr="00FA3FC5" w:rsidRDefault="00360081" w:rsidP="00FE0CDA">
      <w:pPr>
        <w:pStyle w:val="Heading2"/>
        <w:suppressLineNumbers/>
        <w:tabs>
          <w:tab w:val="clear" w:pos="720"/>
        </w:tabs>
        <w:suppressAutoHyphens/>
        <w:ind w:left="714" w:hanging="357"/>
        <w:rPr>
          <w:kern w:val="22"/>
        </w:rPr>
      </w:pPr>
      <w:bookmarkStart w:id="3" w:name="_Toc39228076"/>
      <w:r w:rsidRPr="00FA3FC5">
        <w:rPr>
          <w:kern w:val="22"/>
        </w:rPr>
        <w:t>B.</w:t>
      </w:r>
      <w:r w:rsidRPr="00FA3FC5">
        <w:rPr>
          <w:kern w:val="22"/>
        </w:rPr>
        <w:tab/>
      </w:r>
      <w:r w:rsidR="00C55A3F" w:rsidRPr="00FA3FC5">
        <w:rPr>
          <w:kern w:val="22"/>
        </w:rPr>
        <w:t>Scope of the knowledge management component</w:t>
      </w:r>
      <w:bookmarkEnd w:id="3"/>
    </w:p>
    <w:p w14:paraId="6C9E7C8D" w14:textId="77234E92" w:rsidR="00C55A3F" w:rsidRPr="00FA3FC5" w:rsidRDefault="00360081" w:rsidP="008509DC">
      <w:pPr>
        <w:pStyle w:val="Para1"/>
        <w:numPr>
          <w:ilvl w:val="0"/>
          <w:numId w:val="0"/>
        </w:numPr>
        <w:suppressLineNumbers/>
        <w:suppressAutoHyphens/>
        <w:rPr>
          <w:kern w:val="22"/>
          <w:szCs w:val="22"/>
        </w:rPr>
      </w:pPr>
      <w:bookmarkStart w:id="4" w:name="_Hlk33447232"/>
      <w:r w:rsidRPr="00FA3FC5">
        <w:rPr>
          <w:kern w:val="22"/>
          <w:szCs w:val="22"/>
        </w:rPr>
        <w:t>10.</w:t>
      </w:r>
      <w:r w:rsidRPr="00FA3FC5">
        <w:rPr>
          <w:kern w:val="22"/>
          <w:szCs w:val="22"/>
        </w:rPr>
        <w:tab/>
      </w:r>
      <w:r w:rsidR="00C55A3F" w:rsidRPr="00FA3FC5">
        <w:rPr>
          <w:kern w:val="22"/>
          <w:szCs w:val="22"/>
        </w:rPr>
        <w:t xml:space="preserve">In the context of this component, knowledge management encompasses a range of processes, strategies and practices through which biodiversity knowledge, information and data are generated, </w:t>
      </w:r>
      <w:proofErr w:type="gramStart"/>
      <w:r w:rsidR="00C55A3F" w:rsidRPr="00FA3FC5">
        <w:rPr>
          <w:kern w:val="22"/>
          <w:szCs w:val="22"/>
        </w:rPr>
        <w:t>discovered</w:t>
      </w:r>
      <w:proofErr w:type="gramEnd"/>
      <w:r w:rsidR="00C55A3F" w:rsidRPr="00FA3FC5">
        <w:rPr>
          <w:kern w:val="22"/>
          <w:szCs w:val="22"/>
        </w:rPr>
        <w:t xml:space="preserve"> and collected, organized/curated, stored, shared and used/applied to achieve biodiversity-related objectives and outcomes. Such objectives may include informed policy development, decision-making, </w:t>
      </w:r>
      <w:r w:rsidR="00C55A3F" w:rsidRPr="00FA3FC5">
        <w:rPr>
          <w:kern w:val="22"/>
          <w:szCs w:val="22"/>
        </w:rPr>
        <w:lastRenderedPageBreak/>
        <w:t xml:space="preserve">planning and implementation or ongoing organizational learning through the collection and sharing of best practices and lessons learned from past activities </w:t>
      </w:r>
      <w:proofErr w:type="gramStart"/>
      <w:r w:rsidR="00C55A3F" w:rsidRPr="00FA3FC5">
        <w:rPr>
          <w:kern w:val="22"/>
          <w:szCs w:val="22"/>
        </w:rPr>
        <w:t>in order to</w:t>
      </w:r>
      <w:proofErr w:type="gramEnd"/>
      <w:r w:rsidR="00C55A3F" w:rsidRPr="00FA3FC5">
        <w:rPr>
          <w:kern w:val="22"/>
          <w:szCs w:val="22"/>
        </w:rPr>
        <w:t xml:space="preserve"> inform or improve future activities.</w:t>
      </w:r>
    </w:p>
    <w:p w14:paraId="171D1261" w14:textId="1E567DC2" w:rsidR="00C55A3F" w:rsidRPr="00FA3FC5" w:rsidRDefault="00360081" w:rsidP="008509DC">
      <w:pPr>
        <w:pStyle w:val="Para1"/>
        <w:numPr>
          <w:ilvl w:val="0"/>
          <w:numId w:val="0"/>
        </w:numPr>
        <w:suppressLineNumbers/>
        <w:suppressAutoHyphens/>
        <w:rPr>
          <w:kern w:val="22"/>
          <w:szCs w:val="22"/>
        </w:rPr>
      </w:pPr>
      <w:r w:rsidRPr="00FA3FC5">
        <w:rPr>
          <w:kern w:val="22"/>
          <w:szCs w:val="22"/>
        </w:rPr>
        <w:t>11.</w:t>
      </w:r>
      <w:r w:rsidRPr="00FA3FC5">
        <w:rPr>
          <w:kern w:val="22"/>
          <w:szCs w:val="22"/>
        </w:rPr>
        <w:tab/>
      </w:r>
      <w:r w:rsidR="00C55A3F" w:rsidRPr="00FA3FC5">
        <w:rPr>
          <w:kern w:val="22"/>
        </w:rPr>
        <w:t xml:space="preserve">The knowledge management component uses the following working descriptions </w:t>
      </w:r>
      <w:r w:rsidR="00C55A3F" w:rsidRPr="00FA3FC5">
        <w:rPr>
          <w:rFonts w:eastAsia="Malgun Gothic"/>
          <w:kern w:val="22"/>
        </w:rPr>
        <w:t>based on the Data, Information, Knowledge and Wisdom (DIKW) hierarchy</w:t>
      </w:r>
      <w:r w:rsidR="00C55A3F" w:rsidRPr="00FA3FC5">
        <w:rPr>
          <w:rStyle w:val="FootnoteReference"/>
          <w:rFonts w:eastAsia="Malgun Gothic"/>
          <w:kern w:val="22"/>
        </w:rPr>
        <w:footnoteReference w:id="15"/>
      </w:r>
      <w:r w:rsidR="00C55A3F" w:rsidRPr="00FA3FC5">
        <w:rPr>
          <w:rFonts w:eastAsia="Malgun Gothic"/>
          <w:kern w:val="22"/>
        </w:rPr>
        <w:t xml:space="preserve"> (see figure 1 below):</w:t>
      </w:r>
    </w:p>
    <w:p w14:paraId="5156CF1B" w14:textId="7379AFB4" w:rsidR="00C55A3F" w:rsidRPr="00FA3FC5" w:rsidRDefault="00360081" w:rsidP="008509DC">
      <w:pPr>
        <w:pStyle w:val="Para1"/>
        <w:numPr>
          <w:ilvl w:val="0"/>
          <w:numId w:val="0"/>
        </w:numPr>
        <w:suppressLineNumbers/>
        <w:tabs>
          <w:tab w:val="left" w:pos="1440"/>
        </w:tabs>
        <w:suppressAutoHyphens/>
        <w:ind w:firstLine="720"/>
        <w:rPr>
          <w:kern w:val="22"/>
          <w:szCs w:val="22"/>
        </w:rPr>
      </w:pPr>
      <w:r w:rsidRPr="00FA3FC5">
        <w:rPr>
          <w:kern w:val="22"/>
          <w:szCs w:val="22"/>
        </w:rPr>
        <w:t>(a)</w:t>
      </w:r>
      <w:r w:rsidRPr="00FA3FC5">
        <w:rPr>
          <w:kern w:val="22"/>
          <w:szCs w:val="22"/>
        </w:rPr>
        <w:tab/>
      </w:r>
      <w:r w:rsidR="00C55A3F" w:rsidRPr="00FA3FC5">
        <w:rPr>
          <w:kern w:val="22"/>
          <w:szCs w:val="22"/>
        </w:rPr>
        <w:t xml:space="preserve">Data are raw figures, facts or products of observations which often have no meaning on their own until they are organized, processed and </w:t>
      </w:r>
      <w:proofErr w:type="gramStart"/>
      <w:r w:rsidR="00C55A3F" w:rsidRPr="00FA3FC5">
        <w:rPr>
          <w:kern w:val="22"/>
          <w:szCs w:val="22"/>
        </w:rPr>
        <w:t>interpreted;</w:t>
      </w:r>
      <w:proofErr w:type="gramEnd"/>
    </w:p>
    <w:p w14:paraId="0A541DAC" w14:textId="4D529061" w:rsidR="00C55A3F" w:rsidRPr="00FA3FC5" w:rsidRDefault="00360081" w:rsidP="008509DC">
      <w:pPr>
        <w:pStyle w:val="Para1"/>
        <w:numPr>
          <w:ilvl w:val="0"/>
          <w:numId w:val="0"/>
        </w:numPr>
        <w:suppressLineNumbers/>
        <w:tabs>
          <w:tab w:val="left" w:pos="1440"/>
        </w:tabs>
        <w:suppressAutoHyphens/>
        <w:ind w:firstLine="720"/>
        <w:rPr>
          <w:kern w:val="22"/>
          <w:szCs w:val="22"/>
        </w:rPr>
      </w:pPr>
      <w:r w:rsidRPr="00FA3FC5">
        <w:rPr>
          <w:kern w:val="22"/>
          <w:szCs w:val="22"/>
        </w:rPr>
        <w:t>(b)</w:t>
      </w:r>
      <w:r w:rsidRPr="00FA3FC5">
        <w:rPr>
          <w:kern w:val="22"/>
          <w:szCs w:val="22"/>
        </w:rPr>
        <w:tab/>
      </w:r>
      <w:r w:rsidR="00C55A3F" w:rsidRPr="00FA3FC5">
        <w:rPr>
          <w:kern w:val="22"/>
          <w:szCs w:val="22"/>
        </w:rPr>
        <w:t xml:space="preserve">Information can be referred to as data that is organized, structured, processed and contextualized, thus making it meaningful, useful and relevant for a specific purpose or </w:t>
      </w:r>
      <w:proofErr w:type="gramStart"/>
      <w:r w:rsidR="00C55A3F" w:rsidRPr="00FA3FC5">
        <w:rPr>
          <w:kern w:val="22"/>
          <w:szCs w:val="22"/>
        </w:rPr>
        <w:t>context;</w:t>
      </w:r>
      <w:proofErr w:type="gramEnd"/>
    </w:p>
    <w:p w14:paraId="58030150" w14:textId="17C7213B" w:rsidR="00C55A3F" w:rsidRPr="00FA3FC5" w:rsidRDefault="00360081" w:rsidP="008509DC">
      <w:pPr>
        <w:pStyle w:val="Para1"/>
        <w:numPr>
          <w:ilvl w:val="0"/>
          <w:numId w:val="0"/>
        </w:numPr>
        <w:suppressLineNumbers/>
        <w:tabs>
          <w:tab w:val="left" w:pos="1440"/>
        </w:tabs>
        <w:suppressAutoHyphens/>
        <w:ind w:firstLine="720"/>
        <w:rPr>
          <w:kern w:val="22"/>
          <w:szCs w:val="22"/>
        </w:rPr>
      </w:pPr>
      <w:r w:rsidRPr="00FA3FC5">
        <w:rPr>
          <w:kern w:val="22"/>
          <w:szCs w:val="22"/>
        </w:rPr>
        <w:t>(c)</w:t>
      </w:r>
      <w:r w:rsidRPr="00FA3FC5">
        <w:rPr>
          <w:kern w:val="22"/>
          <w:szCs w:val="22"/>
        </w:rPr>
        <w:tab/>
      </w:r>
      <w:r w:rsidR="00C55A3F" w:rsidRPr="00FA3FC5">
        <w:rPr>
          <w:kern w:val="22"/>
          <w:szCs w:val="22"/>
        </w:rPr>
        <w:t>Knowledge refers to information that is transformed through cognitive processing, reflection and application resulting in</w:t>
      </w:r>
      <w:r w:rsidR="00C55A3F" w:rsidRPr="00FA3FC5">
        <w:rPr>
          <w:kern w:val="22"/>
        </w:rPr>
        <w:t xml:space="preserve"> </w:t>
      </w:r>
      <w:r w:rsidR="00C55A3F" w:rsidRPr="00FA3FC5">
        <w:rPr>
          <w:kern w:val="22"/>
          <w:szCs w:val="22"/>
        </w:rPr>
        <w:t>awareness or understanding by individuals or communities for a specific purpose or within a given context.</w:t>
      </w:r>
      <w:r w:rsidR="00C55A3F" w:rsidRPr="00FA3FC5">
        <w:rPr>
          <w:kern w:val="22"/>
        </w:rPr>
        <w:t xml:space="preserve"> </w:t>
      </w:r>
      <w:r w:rsidR="00C55A3F" w:rsidRPr="00FA3FC5">
        <w:rPr>
          <w:kern w:val="22"/>
          <w:szCs w:val="22"/>
        </w:rPr>
        <w:t xml:space="preserve">Knowledge can be gained through learning, experience or </w:t>
      </w:r>
      <w:proofErr w:type="gramStart"/>
      <w:r w:rsidR="00C55A3F" w:rsidRPr="00FA3FC5">
        <w:rPr>
          <w:kern w:val="22"/>
          <w:szCs w:val="22"/>
        </w:rPr>
        <w:t>practice;</w:t>
      </w:r>
      <w:proofErr w:type="gramEnd"/>
    </w:p>
    <w:p w14:paraId="06562BE3" w14:textId="0348B7FD" w:rsidR="00C55A3F" w:rsidRPr="00FA3FC5" w:rsidRDefault="00360081" w:rsidP="008509DC">
      <w:pPr>
        <w:pStyle w:val="Para1"/>
        <w:numPr>
          <w:ilvl w:val="0"/>
          <w:numId w:val="0"/>
        </w:numPr>
        <w:suppressLineNumbers/>
        <w:tabs>
          <w:tab w:val="left" w:pos="1440"/>
        </w:tabs>
        <w:suppressAutoHyphens/>
        <w:ind w:firstLine="720"/>
        <w:rPr>
          <w:kern w:val="22"/>
          <w:szCs w:val="22"/>
        </w:rPr>
      </w:pPr>
      <w:r w:rsidRPr="00FA3FC5">
        <w:rPr>
          <w:kern w:val="22"/>
          <w:szCs w:val="22"/>
        </w:rPr>
        <w:t>(d)</w:t>
      </w:r>
      <w:r w:rsidRPr="00FA3FC5">
        <w:rPr>
          <w:kern w:val="22"/>
          <w:szCs w:val="22"/>
        </w:rPr>
        <w:tab/>
      </w:r>
      <w:r w:rsidR="00C55A3F" w:rsidRPr="00FA3FC5">
        <w:rPr>
          <w:kern w:val="22"/>
          <w:szCs w:val="22"/>
        </w:rPr>
        <w:t xml:space="preserve">Wisdom relates to human intuition and insight based on repeated application of knowledge and years of experience. Wisdom is often codified into beliefs, traditions, </w:t>
      </w:r>
      <w:proofErr w:type="gramStart"/>
      <w:r w:rsidR="00C55A3F" w:rsidRPr="00FA3FC5">
        <w:rPr>
          <w:kern w:val="22"/>
          <w:szCs w:val="22"/>
        </w:rPr>
        <w:t>philosophies</w:t>
      </w:r>
      <w:proofErr w:type="gramEnd"/>
      <w:r w:rsidR="00C55A3F" w:rsidRPr="00FA3FC5">
        <w:rPr>
          <w:kern w:val="22"/>
          <w:szCs w:val="22"/>
        </w:rPr>
        <w:t xml:space="preserve"> and principles. Most of the traditional knowledge of indigenous peoples and local communities could be considered “wisdom”</w:t>
      </w:r>
      <w:r w:rsidR="00C55A3F" w:rsidRPr="00FA3FC5">
        <w:rPr>
          <w:kern w:val="22"/>
        </w:rPr>
        <w:t>.</w:t>
      </w:r>
    </w:p>
    <w:p w14:paraId="32DE646E" w14:textId="77777777" w:rsidR="00C55A3F" w:rsidRPr="00FA3FC5" w:rsidRDefault="00C55A3F" w:rsidP="00C55A3F">
      <w:pPr>
        <w:pStyle w:val="CBD-Para"/>
        <w:keepLines w:val="0"/>
        <w:widowControl w:val="0"/>
        <w:numPr>
          <w:ilvl w:val="0"/>
          <w:numId w:val="0"/>
        </w:numPr>
        <w:spacing w:before="240" w:after="240"/>
        <w:jc w:val="center"/>
        <w:rPr>
          <w:b/>
          <w:bCs/>
          <w:kern w:val="22"/>
          <w:lang w:val="en-GB"/>
        </w:rPr>
      </w:pPr>
      <w:r w:rsidRPr="00FA3FC5">
        <w:rPr>
          <w:b/>
          <w:bCs/>
          <w:kern w:val="22"/>
          <w:lang w:val="en-GB"/>
        </w:rPr>
        <w:t>Figure. The Data, Information, Knowledge and Wisdom (</w:t>
      </w:r>
      <w:r w:rsidRPr="00FA3FC5">
        <w:rPr>
          <w:b/>
          <w:bCs/>
          <w:noProof/>
          <w:kern w:val="22"/>
          <w:lang w:val="en-GB"/>
        </w:rPr>
        <w:t>DIKW</w:t>
      </w:r>
      <w:r w:rsidRPr="00FA3FC5">
        <w:rPr>
          <w:b/>
          <w:bCs/>
          <w:kern w:val="22"/>
          <w:lang w:val="en-GB"/>
        </w:rPr>
        <w:t>) Pyramid</w:t>
      </w:r>
    </w:p>
    <w:p w14:paraId="18BF95F2" w14:textId="77777777" w:rsidR="00C55A3F" w:rsidRPr="00FA3FC5" w:rsidRDefault="00C55A3F" w:rsidP="00C55A3F">
      <w:pPr>
        <w:pStyle w:val="CBD-Para"/>
        <w:keepLines w:val="0"/>
        <w:widowControl w:val="0"/>
        <w:numPr>
          <w:ilvl w:val="0"/>
          <w:numId w:val="0"/>
        </w:numPr>
        <w:spacing w:before="240" w:after="240"/>
        <w:jc w:val="center"/>
        <w:rPr>
          <w:i/>
          <w:iCs/>
          <w:kern w:val="22"/>
          <w:lang w:val="en-GB"/>
        </w:rPr>
      </w:pPr>
      <w:r w:rsidRPr="00E80CEA">
        <w:rPr>
          <w:noProof/>
          <w:lang w:val="en-GB"/>
        </w:rPr>
        <w:drawing>
          <wp:inline distT="0" distB="0" distL="0" distR="0" wp14:anchorId="29C86B37" wp14:editId="24F67FE6">
            <wp:extent cx="4400221" cy="2298700"/>
            <wp:effectExtent l="0" t="0" r="635" b="6350"/>
            <wp:docPr id="6" name="Picture 6" descr="The data-information-knowledge-wisdom (DIKW) hierarchy as a pyramid to manage knowledge. Reproduced with permission from Tedesch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4400221" cy="2298700"/>
                    </a:xfrm>
                    <a:prstGeom prst="rect">
                      <a:avLst/>
                    </a:prstGeom>
                  </pic:spPr>
                </pic:pic>
              </a:graphicData>
            </a:graphic>
          </wp:inline>
        </w:drawing>
      </w:r>
    </w:p>
    <w:p w14:paraId="08E8316B" w14:textId="2F999FBD" w:rsidR="00C55A3F" w:rsidRPr="00E80CEA" w:rsidRDefault="00C55A3F" w:rsidP="00FE0CDA">
      <w:r w:rsidRPr="00E80CEA">
        <w:rPr>
          <w:i/>
          <w:iCs/>
          <w:kern w:val="22"/>
        </w:rPr>
        <w:t>Source</w:t>
      </w:r>
      <w:r w:rsidRPr="00E80CEA">
        <w:rPr>
          <w:kern w:val="22"/>
        </w:rPr>
        <w:t xml:space="preserve">: </w:t>
      </w:r>
      <w:r w:rsidR="005A5418" w:rsidRPr="000F1222">
        <w:rPr>
          <w:rStyle w:val="al-author-name-more"/>
          <w:szCs w:val="22"/>
        </w:rPr>
        <w:t xml:space="preserve">Luis O. Tedeschi, </w:t>
      </w:r>
      <w:r w:rsidR="005A5418" w:rsidRPr="000F1222">
        <w:rPr>
          <w:szCs w:val="22"/>
        </w:rPr>
        <w:t>ASN-ASAS Symposium: Future of Data Analytics in Nutrition: Mathematical mode</w:t>
      </w:r>
      <w:r w:rsidR="00756B4A">
        <w:rPr>
          <w:szCs w:val="22"/>
        </w:rPr>
        <w:t>l</w:t>
      </w:r>
      <w:r w:rsidR="005A5418" w:rsidRPr="000F1222">
        <w:rPr>
          <w:szCs w:val="22"/>
        </w:rPr>
        <w:t xml:space="preserve">ling in ruminant nutrition: approaches and paradigms, extant models, and thoughts for upcoming predictive analytics. </w:t>
      </w:r>
      <w:r w:rsidR="005A5418" w:rsidRPr="000F1222">
        <w:rPr>
          <w:i/>
          <w:iCs/>
          <w:szCs w:val="22"/>
        </w:rPr>
        <w:t>Journal of Animal Science</w:t>
      </w:r>
      <w:r w:rsidR="005A5418" w:rsidRPr="000F1222">
        <w:rPr>
          <w:szCs w:val="22"/>
        </w:rPr>
        <w:t xml:space="preserve">, </w:t>
      </w:r>
      <w:r w:rsidR="005A5418">
        <w:t>v</w:t>
      </w:r>
      <w:r w:rsidR="005A5418" w:rsidRPr="000F1222">
        <w:rPr>
          <w:szCs w:val="22"/>
        </w:rPr>
        <w:t>ol</w:t>
      </w:r>
      <w:r w:rsidR="00B267B4">
        <w:t>.</w:t>
      </w:r>
      <w:r w:rsidR="005A5418" w:rsidRPr="000F1222">
        <w:rPr>
          <w:szCs w:val="22"/>
        </w:rPr>
        <w:t xml:space="preserve"> 97, Issue 5, May 2019, </w:t>
      </w:r>
      <w:r w:rsidR="005A5418">
        <w:t>pp. </w:t>
      </w:r>
      <w:r w:rsidR="005A5418" w:rsidRPr="000F1222">
        <w:rPr>
          <w:szCs w:val="22"/>
        </w:rPr>
        <w:t xml:space="preserve">1921–1944, </w:t>
      </w:r>
      <w:hyperlink r:id="rId21" w:history="1">
        <w:r w:rsidR="005A5418" w:rsidRPr="000F1222">
          <w:rPr>
            <w:color w:val="0000FF"/>
            <w:szCs w:val="22"/>
            <w:u w:val="single"/>
          </w:rPr>
          <w:t>https://doi.org/10.1093/jas/skz092</w:t>
        </w:r>
      </w:hyperlink>
      <w:r w:rsidR="005A5418">
        <w:t>.</w:t>
      </w:r>
    </w:p>
    <w:p w14:paraId="4EBC9ACE" w14:textId="5BC72E51" w:rsidR="00C55A3F" w:rsidRPr="00FA3FC5" w:rsidRDefault="00360081" w:rsidP="008509DC">
      <w:pPr>
        <w:pStyle w:val="Para1"/>
        <w:numPr>
          <w:ilvl w:val="0"/>
          <w:numId w:val="0"/>
        </w:numPr>
        <w:suppressLineNumbers/>
        <w:suppressAutoHyphens/>
        <w:rPr>
          <w:kern w:val="22"/>
          <w:szCs w:val="22"/>
        </w:rPr>
      </w:pPr>
      <w:r w:rsidRPr="00FA3FC5">
        <w:rPr>
          <w:kern w:val="22"/>
          <w:szCs w:val="22"/>
        </w:rPr>
        <w:t>12.</w:t>
      </w:r>
      <w:r w:rsidRPr="00FA3FC5">
        <w:rPr>
          <w:kern w:val="22"/>
          <w:szCs w:val="22"/>
        </w:rPr>
        <w:tab/>
      </w:r>
      <w:r w:rsidR="00C55A3F" w:rsidRPr="00FA3FC5">
        <w:rPr>
          <w:kern w:val="22"/>
          <w:szCs w:val="22"/>
        </w:rPr>
        <w:t xml:space="preserve">From the above definitions, </w:t>
      </w:r>
      <w:proofErr w:type="gramStart"/>
      <w:r w:rsidR="00C55A3F" w:rsidRPr="00FA3FC5">
        <w:rPr>
          <w:kern w:val="22"/>
          <w:szCs w:val="22"/>
        </w:rPr>
        <w:t>it is clear that the</w:t>
      </w:r>
      <w:proofErr w:type="gramEnd"/>
      <w:r w:rsidR="00C55A3F" w:rsidRPr="00FA3FC5">
        <w:rPr>
          <w:kern w:val="22"/>
          <w:szCs w:val="22"/>
        </w:rPr>
        <w:t xml:space="preserve"> knowledge management component encompasses, data management, information management and other related disciplines and practices, such as records management, document management, and content management. While these terms are sometimes used interchangeably, it is important to recognize that, in the context of this component, all these activities are constituent elements that contribute to different stages of the knowledge management cycle.</w:t>
      </w:r>
    </w:p>
    <w:p w14:paraId="348BAEDF" w14:textId="3AA80B52" w:rsidR="00C55A3F" w:rsidRPr="00FA3FC5" w:rsidRDefault="00360081" w:rsidP="008509DC">
      <w:pPr>
        <w:pStyle w:val="Para1"/>
        <w:numPr>
          <w:ilvl w:val="0"/>
          <w:numId w:val="0"/>
        </w:numPr>
        <w:suppressLineNumbers/>
        <w:suppressAutoHyphens/>
        <w:rPr>
          <w:kern w:val="22"/>
          <w:szCs w:val="22"/>
        </w:rPr>
      </w:pPr>
      <w:r w:rsidRPr="00FA3FC5">
        <w:rPr>
          <w:kern w:val="22"/>
          <w:szCs w:val="22"/>
        </w:rPr>
        <w:t>13.</w:t>
      </w:r>
      <w:r w:rsidRPr="00FA3FC5">
        <w:rPr>
          <w:kern w:val="22"/>
          <w:szCs w:val="22"/>
        </w:rPr>
        <w:tab/>
      </w:r>
      <w:r w:rsidR="00C55A3F" w:rsidRPr="00FA3FC5">
        <w:rPr>
          <w:kern w:val="22"/>
          <w:szCs w:val="22"/>
        </w:rPr>
        <w:t>The knowledge management component complements strategies and mechanisms already in place or in the process of being developed to support the implementation of the post-2020 global biodiversity framework. These include the framework for a global communications strategy, the long-term strategic framework for capacity</w:t>
      </w:r>
      <w:r w:rsidR="00B64BAF">
        <w:rPr>
          <w:kern w:val="22"/>
          <w:szCs w:val="22"/>
        </w:rPr>
        <w:t>-building and</w:t>
      </w:r>
      <w:r w:rsidR="00C55A3F" w:rsidRPr="00FA3FC5">
        <w:rPr>
          <w:kern w:val="22"/>
          <w:szCs w:val="22"/>
        </w:rPr>
        <w:t xml:space="preserve"> development, the proposals to enhance technical and scientific </w:t>
      </w:r>
      <w:r w:rsidR="00C55A3F" w:rsidRPr="00FA3FC5">
        <w:rPr>
          <w:kern w:val="22"/>
          <w:szCs w:val="22"/>
        </w:rPr>
        <w:lastRenderedPageBreak/>
        <w:t xml:space="preserve">cooperation in support of the post-2020 global biodiversity framework and the mechanisms for reporting, </w:t>
      </w:r>
      <w:proofErr w:type="gramStart"/>
      <w:r w:rsidR="00C55A3F" w:rsidRPr="00FA3FC5">
        <w:rPr>
          <w:kern w:val="22"/>
          <w:szCs w:val="22"/>
        </w:rPr>
        <w:t>assessment</w:t>
      </w:r>
      <w:proofErr w:type="gramEnd"/>
      <w:r w:rsidR="00C55A3F" w:rsidRPr="00FA3FC5">
        <w:rPr>
          <w:kern w:val="22"/>
          <w:szCs w:val="22"/>
        </w:rPr>
        <w:t xml:space="preserve"> and review of implementation.</w:t>
      </w:r>
    </w:p>
    <w:p w14:paraId="6DC07946" w14:textId="7DC2F117" w:rsidR="00C55A3F" w:rsidRPr="00204B6D" w:rsidRDefault="00360081" w:rsidP="008509DC">
      <w:pPr>
        <w:pStyle w:val="Para1"/>
        <w:numPr>
          <w:ilvl w:val="0"/>
          <w:numId w:val="0"/>
        </w:numPr>
        <w:suppressLineNumbers/>
        <w:suppressAutoHyphens/>
        <w:rPr>
          <w:kern w:val="22"/>
          <w:szCs w:val="22"/>
        </w:rPr>
      </w:pPr>
      <w:r w:rsidRPr="00204B6D">
        <w:rPr>
          <w:kern w:val="22"/>
          <w:szCs w:val="22"/>
        </w:rPr>
        <w:t>14.</w:t>
      </w:r>
      <w:r w:rsidRPr="00204B6D">
        <w:rPr>
          <w:kern w:val="22"/>
          <w:szCs w:val="22"/>
        </w:rPr>
        <w:tab/>
      </w:r>
      <w:r w:rsidR="00C55A3F" w:rsidRPr="00204B6D">
        <w:rPr>
          <w:kern w:val="22"/>
          <w:szCs w:val="22"/>
        </w:rPr>
        <w:t xml:space="preserve">This component covers various types of data, </w:t>
      </w:r>
      <w:proofErr w:type="gramStart"/>
      <w:r w:rsidR="00C55A3F" w:rsidRPr="00204B6D">
        <w:rPr>
          <w:kern w:val="22"/>
          <w:szCs w:val="22"/>
        </w:rPr>
        <w:t>information</w:t>
      </w:r>
      <w:proofErr w:type="gramEnd"/>
      <w:r w:rsidR="00C55A3F" w:rsidRPr="00204B6D">
        <w:rPr>
          <w:kern w:val="22"/>
          <w:szCs w:val="22"/>
        </w:rPr>
        <w:t xml:space="preserve"> and knowledge relevant for the conservation and sustainable use of biological diversity, ranging from scientific, technical, technological, legal and policy data and information to implementation-related information and knowledge, including case studies on experiences, best practices and lessons learned in the development and implementation of national biodiversity policies, plans and programmes. It also includes the decisions, recommendations and official documentation created by biodiversity-related conventions, other Rio conventions and related processes.</w:t>
      </w:r>
    </w:p>
    <w:p w14:paraId="0BF97196" w14:textId="370CB686" w:rsidR="00C55A3F" w:rsidRPr="00204B6D" w:rsidRDefault="00360081" w:rsidP="008509DC">
      <w:pPr>
        <w:pStyle w:val="Para1"/>
        <w:numPr>
          <w:ilvl w:val="0"/>
          <w:numId w:val="0"/>
        </w:numPr>
        <w:suppressLineNumbers/>
        <w:suppressAutoHyphens/>
        <w:rPr>
          <w:kern w:val="22"/>
          <w:szCs w:val="22"/>
        </w:rPr>
      </w:pPr>
      <w:r w:rsidRPr="00204B6D">
        <w:rPr>
          <w:kern w:val="22"/>
          <w:szCs w:val="22"/>
        </w:rPr>
        <w:t>15.</w:t>
      </w:r>
      <w:r w:rsidRPr="00204B6D">
        <w:rPr>
          <w:kern w:val="22"/>
          <w:szCs w:val="22"/>
        </w:rPr>
        <w:tab/>
      </w:r>
      <w:r w:rsidR="00C55A3F" w:rsidRPr="00E80CEA">
        <w:rPr>
          <w:kern w:val="22"/>
          <w:szCs w:val="22"/>
        </w:rPr>
        <w:t xml:space="preserve">The knowledge management component seeks to enhance interoperability, accessibility and use of relevant information and knowledge management systems, </w:t>
      </w:r>
      <w:proofErr w:type="gramStart"/>
      <w:r w:rsidR="00C55A3F" w:rsidRPr="00E80CEA">
        <w:rPr>
          <w:kern w:val="22"/>
          <w:szCs w:val="22"/>
        </w:rPr>
        <w:t>tools</w:t>
      </w:r>
      <w:proofErr w:type="gramEnd"/>
      <w:r w:rsidR="00C55A3F" w:rsidRPr="00E80CEA">
        <w:rPr>
          <w:kern w:val="22"/>
          <w:szCs w:val="22"/>
        </w:rPr>
        <w:t xml:space="preserve"> and mechanisms to support the post-2020 global biodiversity framework. These include but are not limited to the systems of biodiversity-related conventions, including the clearing-house mechanism of the Convention on Biological Diversity, the Biosafety Clearing-House and the Access and Benefit-sharing Clearing-House, the Ramsar Sites Information Service, and the CITES Trade Database.</w:t>
      </w:r>
      <w:r w:rsidR="00C55A3F" w:rsidRPr="00E80CEA">
        <w:rPr>
          <w:rStyle w:val="FootnoteReference"/>
          <w:kern w:val="22"/>
          <w:szCs w:val="22"/>
        </w:rPr>
        <w:footnoteReference w:id="16"/>
      </w:r>
      <w:r w:rsidR="00C55A3F" w:rsidRPr="00E80CEA">
        <w:rPr>
          <w:kern w:val="22"/>
          <w:szCs w:val="22"/>
        </w:rPr>
        <w:t xml:space="preserve"> Others include the United Nations Information Portal on Multilateral Environmental Agreements (</w:t>
      </w:r>
      <w:proofErr w:type="spellStart"/>
      <w:r w:rsidR="00C55A3F" w:rsidRPr="00E80CEA">
        <w:rPr>
          <w:kern w:val="22"/>
          <w:szCs w:val="22"/>
        </w:rPr>
        <w:t>InforMEA</w:t>
      </w:r>
      <w:proofErr w:type="spellEnd"/>
      <w:r w:rsidR="00C55A3F" w:rsidRPr="00E80CEA">
        <w:rPr>
          <w:kern w:val="22"/>
          <w:szCs w:val="22"/>
        </w:rPr>
        <w:t>),</w:t>
      </w:r>
      <w:r w:rsidR="00C55A3F" w:rsidRPr="00E80CEA">
        <w:rPr>
          <w:rStyle w:val="FootnoteReference"/>
          <w:kern w:val="22"/>
          <w:szCs w:val="22"/>
        </w:rPr>
        <w:footnoteReference w:id="17"/>
      </w:r>
      <w:r w:rsidR="00C55A3F" w:rsidRPr="00E80CEA">
        <w:rPr>
          <w:kern w:val="22"/>
          <w:szCs w:val="22"/>
        </w:rPr>
        <w:t xml:space="preserve"> the Species Information Service of the International Union for Conservation of Nature (IUCN),</w:t>
      </w:r>
      <w:r w:rsidR="00C55A3F" w:rsidRPr="00E80CEA">
        <w:rPr>
          <w:rStyle w:val="FootnoteReference"/>
          <w:kern w:val="22"/>
          <w:szCs w:val="22"/>
        </w:rPr>
        <w:footnoteReference w:id="18"/>
      </w:r>
      <w:r w:rsidR="00C55A3F" w:rsidRPr="00E80CEA">
        <w:rPr>
          <w:kern w:val="22"/>
          <w:szCs w:val="22"/>
        </w:rPr>
        <w:t xml:space="preserve"> the United Nations Biodiversity Lab,</w:t>
      </w:r>
      <w:r w:rsidR="00C55A3F" w:rsidRPr="00E80CEA">
        <w:rPr>
          <w:rStyle w:val="FootnoteReference"/>
          <w:kern w:val="22"/>
          <w:szCs w:val="22"/>
        </w:rPr>
        <w:footnoteReference w:id="19"/>
      </w:r>
      <w:r w:rsidR="00C55A3F" w:rsidRPr="00E80CEA">
        <w:rPr>
          <w:kern w:val="22"/>
          <w:szCs w:val="22"/>
        </w:rPr>
        <w:t xml:space="preserve"> the World Database on Protected Areas (WDPA), the Global Database on Protected Area Management Effectiveness (GDPAME), the registry of territories and areas conserved by indigenous peoples and local communities (ICCA Registry)</w:t>
      </w:r>
      <w:r w:rsidR="00C55A3F" w:rsidRPr="00E80CEA">
        <w:rPr>
          <w:rStyle w:val="FootnoteReference"/>
          <w:kern w:val="22"/>
          <w:szCs w:val="22"/>
        </w:rPr>
        <w:footnoteReference w:id="20"/>
      </w:r>
      <w:r w:rsidR="00C55A3F" w:rsidRPr="00E80CEA">
        <w:rPr>
          <w:kern w:val="22"/>
          <w:szCs w:val="22"/>
        </w:rPr>
        <w:t xml:space="preserve"> and others.</w:t>
      </w:r>
      <w:r w:rsidR="00C55A3F" w:rsidRPr="00E80CEA">
        <w:rPr>
          <w:rStyle w:val="FootnoteReference"/>
          <w:kern w:val="22"/>
          <w:szCs w:val="22"/>
        </w:rPr>
        <w:footnoteReference w:id="21"/>
      </w:r>
    </w:p>
    <w:p w14:paraId="7B874468" w14:textId="6FEB75A2" w:rsidR="00C55A3F" w:rsidRPr="00204B6D" w:rsidRDefault="00360081" w:rsidP="008509DC">
      <w:pPr>
        <w:pStyle w:val="Para1"/>
        <w:numPr>
          <w:ilvl w:val="0"/>
          <w:numId w:val="0"/>
        </w:numPr>
        <w:suppressLineNumbers/>
        <w:suppressAutoHyphens/>
        <w:rPr>
          <w:kern w:val="22"/>
          <w:szCs w:val="22"/>
        </w:rPr>
      </w:pPr>
      <w:r w:rsidRPr="00204B6D">
        <w:rPr>
          <w:kern w:val="22"/>
          <w:szCs w:val="22"/>
        </w:rPr>
        <w:t>16.</w:t>
      </w:r>
      <w:r w:rsidRPr="00204B6D">
        <w:rPr>
          <w:kern w:val="22"/>
          <w:szCs w:val="22"/>
        </w:rPr>
        <w:tab/>
      </w:r>
      <w:r w:rsidR="00C55A3F" w:rsidRPr="00204B6D">
        <w:rPr>
          <w:kern w:val="22"/>
          <w:szCs w:val="22"/>
        </w:rPr>
        <w:t xml:space="preserve">The knowledge management component also proposes actions to foster coordination, collaboration and complementarity between various initiatives and institutions supporting the generation, capture, management and use of biodiversity-related data, information and knowledge and encourage global data providers to support national stakeholders and national statistical systems, which are key to national monitoring. These include: the United Nations Environment Programme’s </w:t>
      </w:r>
      <w:r w:rsidR="00C55A3F" w:rsidRPr="00204B6D">
        <w:rPr>
          <w:kern w:val="22"/>
          <w:szCs w:val="22"/>
          <w:shd w:val="clear" w:color="auto" w:fill="FFFFFF"/>
        </w:rPr>
        <w:t>World Conservation Monitoring Centre</w:t>
      </w:r>
      <w:r w:rsidR="00C55A3F" w:rsidRPr="00204B6D">
        <w:rPr>
          <w:kern w:val="22"/>
          <w:szCs w:val="22"/>
        </w:rPr>
        <w:t>, the task force on knowledge and data under the Intergovernmental Science-Policy Platform on Biodiversity and Ecosystem Services (IPBES), the United Nations Collaborative Programme on Reducing Emissions from Deforestation and Forest Degradation</w:t>
      </w:r>
      <w:r w:rsidR="00C55A3F" w:rsidRPr="00E80CEA">
        <w:rPr>
          <w:szCs w:val="22"/>
        </w:rPr>
        <w:t xml:space="preserve"> </w:t>
      </w:r>
      <w:r w:rsidR="00C55A3F" w:rsidRPr="00204B6D">
        <w:rPr>
          <w:kern w:val="22"/>
          <w:szCs w:val="22"/>
        </w:rPr>
        <w:t xml:space="preserve">in Developing Countries (UN-REDD), the Global Biodiversity Information Facility (GBIF), </w:t>
      </w:r>
      <w:proofErr w:type="spellStart"/>
      <w:r w:rsidR="00C55A3F" w:rsidRPr="00E80CEA">
        <w:rPr>
          <w:kern w:val="22"/>
          <w:szCs w:val="22"/>
        </w:rPr>
        <w:t>Encyclopedia</w:t>
      </w:r>
      <w:proofErr w:type="spellEnd"/>
      <w:r w:rsidR="00C55A3F" w:rsidRPr="00204B6D">
        <w:rPr>
          <w:kern w:val="22"/>
          <w:szCs w:val="22"/>
        </w:rPr>
        <w:t xml:space="preserve"> of Life (EOL), the International Barcode of Life Initiative (</w:t>
      </w:r>
      <w:proofErr w:type="spellStart"/>
      <w:r w:rsidR="00C55A3F" w:rsidRPr="00204B6D">
        <w:rPr>
          <w:kern w:val="22"/>
          <w:szCs w:val="22"/>
        </w:rPr>
        <w:t>iBOL</w:t>
      </w:r>
      <w:proofErr w:type="spellEnd"/>
      <w:r w:rsidR="00C55A3F" w:rsidRPr="00204B6D">
        <w:rPr>
          <w:kern w:val="22"/>
          <w:szCs w:val="22"/>
        </w:rPr>
        <w:t>), the Group on Earth Observations Biodiversity Observation Network (GEO BON), the Digital Observatory for Protected Areas (DOPA), the Data and Reporting Tool (</w:t>
      </w:r>
      <w:proofErr w:type="spellStart"/>
      <w:r w:rsidR="00C55A3F" w:rsidRPr="00204B6D">
        <w:rPr>
          <w:kern w:val="22"/>
          <w:szCs w:val="22"/>
        </w:rPr>
        <w:t>DaRT</w:t>
      </w:r>
      <w:proofErr w:type="spellEnd"/>
      <w:r w:rsidR="00C55A3F" w:rsidRPr="00204B6D">
        <w:rPr>
          <w:kern w:val="22"/>
          <w:szCs w:val="22"/>
        </w:rPr>
        <w:t xml:space="preserve">), the Knowledge Hub of the United Nations Convention to Combat Desertification and the </w:t>
      </w:r>
      <w:r w:rsidR="00C23843">
        <w:rPr>
          <w:kern w:val="22"/>
          <w:szCs w:val="22"/>
        </w:rPr>
        <w:t>United Nations Statistics Division’s</w:t>
      </w:r>
      <w:r w:rsidR="00C55A3F" w:rsidRPr="00204B6D">
        <w:rPr>
          <w:kern w:val="22"/>
          <w:szCs w:val="22"/>
        </w:rPr>
        <w:t xml:space="preserve"> Open Sustainable Development Goals (SDG) Data Hub. These and other initiatives and institutions are described in information document CBD/SBI/3/INF/13.</w:t>
      </w:r>
    </w:p>
    <w:p w14:paraId="0F583D79" w14:textId="4C5B918C" w:rsidR="00C55A3F" w:rsidRPr="00FA3FC5" w:rsidRDefault="00360081" w:rsidP="00FE0CDA">
      <w:pPr>
        <w:pStyle w:val="Heading2"/>
        <w:suppressLineNumbers/>
        <w:tabs>
          <w:tab w:val="clear" w:pos="720"/>
        </w:tabs>
        <w:suppressAutoHyphens/>
        <w:ind w:left="714" w:hanging="357"/>
        <w:rPr>
          <w:kern w:val="22"/>
        </w:rPr>
      </w:pPr>
      <w:r w:rsidRPr="00FA3FC5">
        <w:rPr>
          <w:kern w:val="22"/>
        </w:rPr>
        <w:t>C.</w:t>
      </w:r>
      <w:r w:rsidRPr="00FA3FC5">
        <w:rPr>
          <w:kern w:val="22"/>
        </w:rPr>
        <w:tab/>
      </w:r>
      <w:r w:rsidR="00C55A3F" w:rsidRPr="00FA3FC5">
        <w:rPr>
          <w:kern w:val="22"/>
        </w:rPr>
        <w:t>Pillars of the knowledge management component</w:t>
      </w:r>
    </w:p>
    <w:p w14:paraId="473B0FD1" w14:textId="257D20AF" w:rsidR="00C55A3F" w:rsidRPr="00FA3FC5" w:rsidRDefault="00360081" w:rsidP="007472B3">
      <w:pPr>
        <w:pStyle w:val="Para1"/>
        <w:numPr>
          <w:ilvl w:val="0"/>
          <w:numId w:val="0"/>
        </w:numPr>
        <w:suppressLineNumbers/>
        <w:suppressAutoHyphens/>
        <w:rPr>
          <w:kern w:val="22"/>
          <w:szCs w:val="22"/>
        </w:rPr>
      </w:pPr>
      <w:r w:rsidRPr="00FA3FC5">
        <w:rPr>
          <w:kern w:val="22"/>
          <w:szCs w:val="22"/>
        </w:rPr>
        <w:t>17.</w:t>
      </w:r>
      <w:r w:rsidRPr="00FA3FC5">
        <w:rPr>
          <w:kern w:val="22"/>
          <w:szCs w:val="22"/>
        </w:rPr>
        <w:tab/>
      </w:r>
      <w:r w:rsidR="00C55A3F" w:rsidRPr="00FA3FC5">
        <w:rPr>
          <w:kern w:val="22"/>
        </w:rPr>
        <w:t>The knowledge management component comprises four pillars:</w:t>
      </w:r>
    </w:p>
    <w:p w14:paraId="3FDA9BFE" w14:textId="76188397" w:rsidR="00C55A3F" w:rsidRPr="00FA3FC5" w:rsidRDefault="00360081" w:rsidP="007472B3">
      <w:pPr>
        <w:pStyle w:val="Para1"/>
        <w:numPr>
          <w:ilvl w:val="0"/>
          <w:numId w:val="0"/>
        </w:numPr>
        <w:suppressLineNumbers/>
        <w:tabs>
          <w:tab w:val="left" w:pos="1440"/>
        </w:tabs>
        <w:suppressAutoHyphens/>
        <w:ind w:firstLine="720"/>
        <w:rPr>
          <w:color w:val="000000" w:themeColor="text1"/>
          <w:kern w:val="22"/>
        </w:rPr>
      </w:pPr>
      <w:r w:rsidRPr="00FA3FC5">
        <w:rPr>
          <w:color w:val="000000" w:themeColor="text1"/>
          <w:kern w:val="22"/>
        </w:rPr>
        <w:t>(a)</w:t>
      </w:r>
      <w:r w:rsidRPr="00FA3FC5">
        <w:rPr>
          <w:color w:val="000000" w:themeColor="text1"/>
          <w:kern w:val="22"/>
        </w:rPr>
        <w:tab/>
      </w:r>
      <w:r w:rsidR="00C55A3F" w:rsidRPr="00FA3FC5">
        <w:rPr>
          <w:rFonts w:eastAsia="Malgun Gothic"/>
          <w:i/>
          <w:iCs/>
          <w:kern w:val="22"/>
        </w:rPr>
        <w:t>People</w:t>
      </w:r>
      <w:r w:rsidR="00C55A3F" w:rsidRPr="00FA3FC5">
        <w:rPr>
          <w:rFonts w:eastAsia="Malgun Gothic"/>
          <w:kern w:val="22"/>
        </w:rPr>
        <w:t xml:space="preserve">:  This includes various actors (creators, custodians, managers, </w:t>
      </w:r>
      <w:proofErr w:type="gramStart"/>
      <w:r w:rsidR="00C55A3F" w:rsidRPr="00FA3FC5">
        <w:rPr>
          <w:rFonts w:eastAsia="Malgun Gothic"/>
          <w:kern w:val="22"/>
        </w:rPr>
        <w:t>curators</w:t>
      </w:r>
      <w:proofErr w:type="gramEnd"/>
      <w:r w:rsidR="00C55A3F" w:rsidRPr="00FA3FC5">
        <w:rPr>
          <w:rFonts w:eastAsia="Malgun Gothic"/>
          <w:kern w:val="22"/>
        </w:rPr>
        <w:t xml:space="preserve"> and users of biodiversity knowledge), who are the foundation of the knowledge management component. Their roles, responsibilities and expectations need to be clarified.</w:t>
      </w:r>
      <w:r w:rsidR="00C55A3F" w:rsidRPr="00FA3FC5">
        <w:rPr>
          <w:color w:val="000000" w:themeColor="text1"/>
          <w:kern w:val="22"/>
        </w:rPr>
        <w:t xml:space="preserve"> It is also important to promote and nurture a culture of knowledge sharing and to recognize and reward knowledge </w:t>
      </w:r>
      <w:proofErr w:type="gramStart"/>
      <w:r w:rsidR="00C55A3F" w:rsidRPr="00FA3FC5">
        <w:rPr>
          <w:color w:val="000000" w:themeColor="text1"/>
          <w:kern w:val="22"/>
        </w:rPr>
        <w:t>champions;</w:t>
      </w:r>
      <w:proofErr w:type="gramEnd"/>
    </w:p>
    <w:p w14:paraId="409F3BA9" w14:textId="73EA1445" w:rsidR="00C55A3F" w:rsidRPr="00FA3FC5" w:rsidRDefault="00360081" w:rsidP="007472B3">
      <w:pPr>
        <w:pStyle w:val="Para1"/>
        <w:numPr>
          <w:ilvl w:val="0"/>
          <w:numId w:val="0"/>
        </w:numPr>
        <w:suppressLineNumbers/>
        <w:tabs>
          <w:tab w:val="left" w:pos="1440"/>
        </w:tabs>
        <w:suppressAutoHyphens/>
        <w:ind w:firstLine="720"/>
        <w:rPr>
          <w:color w:val="000000" w:themeColor="text1"/>
          <w:kern w:val="22"/>
        </w:rPr>
      </w:pPr>
      <w:r w:rsidRPr="00FA3FC5">
        <w:rPr>
          <w:color w:val="000000" w:themeColor="text1"/>
          <w:kern w:val="22"/>
        </w:rPr>
        <w:lastRenderedPageBreak/>
        <w:t>(b)</w:t>
      </w:r>
      <w:r w:rsidRPr="00FA3FC5">
        <w:rPr>
          <w:color w:val="000000" w:themeColor="text1"/>
          <w:kern w:val="22"/>
        </w:rPr>
        <w:tab/>
      </w:r>
      <w:r w:rsidR="00C55A3F" w:rsidRPr="00FA3FC5">
        <w:rPr>
          <w:i/>
          <w:iCs/>
          <w:color w:val="000000" w:themeColor="text1"/>
          <w:kern w:val="22"/>
        </w:rPr>
        <w:t>Processes</w:t>
      </w:r>
      <w:r w:rsidR="00C55A3F" w:rsidRPr="00FA3FC5">
        <w:rPr>
          <w:color w:val="000000" w:themeColor="text1"/>
          <w:kern w:val="22"/>
        </w:rPr>
        <w:t xml:space="preserve">: This includes the processes, procedures and policies guiding knowledge generation, capture, management, sharing and utilization. This also entails vision, leadership and oversight, alignment of knowledge management with goals and provision of the required </w:t>
      </w:r>
      <w:proofErr w:type="gramStart"/>
      <w:r w:rsidR="00C55A3F" w:rsidRPr="00FA3FC5">
        <w:rPr>
          <w:color w:val="000000" w:themeColor="text1"/>
          <w:kern w:val="22"/>
        </w:rPr>
        <w:t>resources;</w:t>
      </w:r>
      <w:proofErr w:type="gramEnd"/>
    </w:p>
    <w:p w14:paraId="37C09AD0" w14:textId="70CFEDFE" w:rsidR="00C55A3F" w:rsidRPr="00FA3FC5" w:rsidRDefault="00360081" w:rsidP="007472B3">
      <w:pPr>
        <w:pStyle w:val="Para1"/>
        <w:numPr>
          <w:ilvl w:val="0"/>
          <w:numId w:val="0"/>
        </w:numPr>
        <w:suppressLineNumbers/>
        <w:tabs>
          <w:tab w:val="left" w:pos="1440"/>
        </w:tabs>
        <w:suppressAutoHyphens/>
        <w:ind w:firstLine="720"/>
        <w:rPr>
          <w:color w:val="000000" w:themeColor="text1"/>
          <w:kern w:val="22"/>
        </w:rPr>
      </w:pPr>
      <w:r w:rsidRPr="00FA3FC5">
        <w:rPr>
          <w:color w:val="000000" w:themeColor="text1"/>
          <w:kern w:val="22"/>
        </w:rPr>
        <w:t>(c)</w:t>
      </w:r>
      <w:r w:rsidRPr="00FA3FC5">
        <w:rPr>
          <w:color w:val="000000" w:themeColor="text1"/>
          <w:kern w:val="22"/>
        </w:rPr>
        <w:tab/>
      </w:r>
      <w:r w:rsidR="00C55A3F" w:rsidRPr="00FA3FC5">
        <w:rPr>
          <w:i/>
          <w:iCs/>
          <w:color w:val="000000" w:themeColor="text1"/>
          <w:kern w:val="22"/>
        </w:rPr>
        <w:t>Technology</w:t>
      </w:r>
      <w:r w:rsidR="00C55A3F" w:rsidRPr="00FA3FC5">
        <w:rPr>
          <w:color w:val="000000" w:themeColor="text1"/>
          <w:kern w:val="22"/>
        </w:rPr>
        <w:t xml:space="preserve">: Technology plays a key role in delivering and supporting </w:t>
      </w:r>
      <w:r w:rsidR="00C55A3F" w:rsidRPr="00FA3FC5">
        <w:rPr>
          <w:kern w:val="22"/>
          <w:szCs w:val="22"/>
        </w:rPr>
        <w:t>knowledge management</w:t>
      </w:r>
      <w:r w:rsidR="00C55A3F" w:rsidRPr="00FA3FC5" w:rsidDel="007D5491">
        <w:rPr>
          <w:kern w:val="22"/>
        </w:rPr>
        <w:t xml:space="preserve"> </w:t>
      </w:r>
      <w:r w:rsidR="00C55A3F" w:rsidRPr="00FA3FC5">
        <w:rPr>
          <w:color w:val="000000" w:themeColor="text1"/>
          <w:kern w:val="22"/>
        </w:rPr>
        <w:t>services. This includes technological tools, systems</w:t>
      </w:r>
      <w:r w:rsidR="00C55A3F" w:rsidRPr="00FA3FC5">
        <w:rPr>
          <w:color w:val="000000" w:themeColor="text1"/>
          <w:kern w:val="22"/>
          <w:vertAlign w:val="superscript"/>
        </w:rPr>
        <w:footnoteReference w:id="22"/>
      </w:r>
      <w:r w:rsidR="00C55A3F" w:rsidRPr="00FA3FC5">
        <w:rPr>
          <w:color w:val="000000" w:themeColor="text1"/>
          <w:kern w:val="22"/>
        </w:rPr>
        <w:t xml:space="preserve"> and platforms that enable relevant actors (the people) to collect, analyse, organize, store, retrieve and share knowledge related to </w:t>
      </w:r>
      <w:proofErr w:type="gramStart"/>
      <w:r w:rsidR="00C55A3F" w:rsidRPr="00FA3FC5">
        <w:rPr>
          <w:color w:val="000000" w:themeColor="text1"/>
          <w:kern w:val="22"/>
        </w:rPr>
        <w:t>biodiversity;</w:t>
      </w:r>
      <w:proofErr w:type="gramEnd"/>
    </w:p>
    <w:p w14:paraId="72FFDDEC" w14:textId="44BF0FDA" w:rsidR="00C55A3F" w:rsidRPr="00FA3FC5" w:rsidRDefault="00360081" w:rsidP="007472B3">
      <w:pPr>
        <w:pStyle w:val="Para1"/>
        <w:numPr>
          <w:ilvl w:val="0"/>
          <w:numId w:val="0"/>
        </w:numPr>
        <w:suppressLineNumbers/>
        <w:tabs>
          <w:tab w:val="left" w:pos="1440"/>
        </w:tabs>
        <w:suppressAutoHyphens/>
        <w:ind w:firstLine="720"/>
        <w:rPr>
          <w:color w:val="000000"/>
          <w:kern w:val="22"/>
        </w:rPr>
      </w:pPr>
      <w:r w:rsidRPr="00FA3FC5">
        <w:rPr>
          <w:color w:val="000000"/>
          <w:kern w:val="22"/>
        </w:rPr>
        <w:t>(d)</w:t>
      </w:r>
      <w:r w:rsidRPr="00FA3FC5">
        <w:rPr>
          <w:color w:val="000000"/>
          <w:kern w:val="22"/>
        </w:rPr>
        <w:tab/>
      </w:r>
      <w:r w:rsidR="00C55A3F" w:rsidRPr="00FA3FC5">
        <w:rPr>
          <w:i/>
          <w:iCs/>
          <w:color w:val="000000" w:themeColor="text1"/>
          <w:kern w:val="22"/>
        </w:rPr>
        <w:t>Content</w:t>
      </w:r>
      <w:r w:rsidR="00C55A3F" w:rsidRPr="00FA3FC5">
        <w:rPr>
          <w:color w:val="000000" w:themeColor="text1"/>
          <w:kern w:val="22"/>
        </w:rPr>
        <w:t>: This entails the</w:t>
      </w:r>
      <w:r w:rsidR="00C55A3F" w:rsidRPr="00FA3FC5">
        <w:rPr>
          <w:rFonts w:eastAsia="Malgun Gothic"/>
          <w:kern w:val="22"/>
        </w:rPr>
        <w:t xml:space="preserve"> scope of the biodiversity knowledge content and how it is managed — the taxonomy and metadata, the tools and templates, and the analysis and validation (for quality assurance), the cataloguing, </w:t>
      </w:r>
      <w:proofErr w:type="gramStart"/>
      <w:r w:rsidR="00C55A3F" w:rsidRPr="00FA3FC5">
        <w:rPr>
          <w:rFonts w:eastAsia="Malgun Gothic"/>
          <w:kern w:val="22"/>
        </w:rPr>
        <w:t>tagging</w:t>
      </w:r>
      <w:proofErr w:type="gramEnd"/>
      <w:r w:rsidR="00C55A3F" w:rsidRPr="00FA3FC5">
        <w:rPr>
          <w:rFonts w:eastAsia="Malgun Gothic"/>
          <w:kern w:val="22"/>
        </w:rPr>
        <w:t xml:space="preserve"> and indexing, digitization and organization of the information and knowledge resources to facilitate easy search and retrieval</w:t>
      </w:r>
      <w:r w:rsidR="00C55A3F" w:rsidRPr="00FA3FC5">
        <w:rPr>
          <w:color w:val="000000" w:themeColor="text1"/>
          <w:kern w:val="22"/>
        </w:rPr>
        <w:t>.</w:t>
      </w:r>
    </w:p>
    <w:p w14:paraId="5CF1A80F" w14:textId="176CD1F3" w:rsidR="00C55A3F" w:rsidRPr="00FA3FC5" w:rsidRDefault="00360081" w:rsidP="007472B3">
      <w:pPr>
        <w:pStyle w:val="Para1"/>
        <w:numPr>
          <w:ilvl w:val="0"/>
          <w:numId w:val="0"/>
        </w:numPr>
        <w:suppressLineNumbers/>
        <w:suppressAutoHyphens/>
        <w:rPr>
          <w:kern w:val="22"/>
          <w:szCs w:val="22"/>
        </w:rPr>
      </w:pPr>
      <w:r w:rsidRPr="00FA3FC5">
        <w:rPr>
          <w:kern w:val="22"/>
          <w:szCs w:val="22"/>
        </w:rPr>
        <w:t>18.</w:t>
      </w:r>
      <w:r w:rsidRPr="00FA3FC5">
        <w:rPr>
          <w:kern w:val="22"/>
          <w:szCs w:val="22"/>
        </w:rPr>
        <w:tab/>
      </w:r>
      <w:r w:rsidR="00C55A3F" w:rsidRPr="00FA3FC5">
        <w:rPr>
          <w:kern w:val="22"/>
        </w:rPr>
        <w:t xml:space="preserve">The above four pillars are interdependent and need to be addressed in a balanced and complementary manner. Knowledge management will not be effective if only the technology aspects are addressed and not the process and people-related aspects. The knowledge management component will be closely linked to biodiversity monitoring information systems and the </w:t>
      </w:r>
      <w:r w:rsidR="00C55A3F" w:rsidRPr="00FA3FC5">
        <w:rPr>
          <w:kern w:val="22"/>
          <w:szCs w:val="22"/>
        </w:rPr>
        <w:t>enhanced planning, reporting and review mechanism</w:t>
      </w:r>
      <w:r w:rsidR="00C55A3F" w:rsidRPr="00FA3FC5">
        <w:rPr>
          <w:kern w:val="22"/>
        </w:rPr>
        <w:t xml:space="preserve"> of the post-2020 global biodiversity framework to facilitate the achievement of the targets. It will also promote a whole system approach, including raw data, such as satellite data and citizen science, processed and geospatial data, such as land cover maps, the algorithms needed to process data, indicator data, analysis and predictive analytics and insights, and publications</w:t>
      </w:r>
      <w:bookmarkStart w:id="5" w:name="_Toc39228079"/>
      <w:r w:rsidR="00C55A3F" w:rsidRPr="00FA3FC5">
        <w:rPr>
          <w:kern w:val="22"/>
          <w:szCs w:val="22"/>
        </w:rPr>
        <w:t>.</w:t>
      </w:r>
    </w:p>
    <w:p w14:paraId="3DC93512" w14:textId="77777777" w:rsidR="00C55A3F" w:rsidRPr="00FA3FC5" w:rsidRDefault="00C55A3F" w:rsidP="00C55A3F">
      <w:pPr>
        <w:pStyle w:val="Heading1"/>
        <w:suppressLineNumbers/>
        <w:tabs>
          <w:tab w:val="clear" w:pos="720"/>
          <w:tab w:val="left" w:pos="426"/>
        </w:tabs>
        <w:suppressAutoHyphens/>
        <w:spacing w:before="120"/>
        <w:rPr>
          <w:rFonts w:ascii="Times New Roman Bold" w:hAnsi="Times New Roman Bold"/>
          <w:bCs/>
          <w:caps w:val="0"/>
          <w:kern w:val="22"/>
        </w:rPr>
      </w:pPr>
      <w:bookmarkStart w:id="6" w:name="_Toc39228081"/>
      <w:bookmarkStart w:id="7" w:name="_Hlk52838994"/>
      <w:bookmarkEnd w:id="4"/>
      <w:bookmarkEnd w:id="5"/>
      <w:r w:rsidRPr="00FA3FC5">
        <w:rPr>
          <w:rFonts w:ascii="Times New Roman Bold" w:hAnsi="Times New Roman Bold"/>
          <w:bCs/>
          <w:caps w:val="0"/>
          <w:kern w:val="22"/>
        </w:rPr>
        <w:t>II.</w:t>
      </w:r>
      <w:bookmarkEnd w:id="6"/>
      <w:r w:rsidRPr="00FA3FC5">
        <w:rPr>
          <w:rFonts w:ascii="Times New Roman Bold" w:hAnsi="Times New Roman Bold"/>
          <w:bCs/>
          <w:caps w:val="0"/>
          <w:kern w:val="22"/>
        </w:rPr>
        <w:tab/>
        <w:t>OBJECTIVES AND EXPECTED OUTCOME</w:t>
      </w:r>
      <w:r w:rsidRPr="00FA3FC5">
        <w:rPr>
          <w:rFonts w:ascii="Times New Roman Bold" w:hAnsi="Times New Roman Bold"/>
          <w:caps w:val="0"/>
          <w:kern w:val="22"/>
        </w:rPr>
        <w:t>S</w:t>
      </w:r>
    </w:p>
    <w:bookmarkEnd w:id="7"/>
    <w:p w14:paraId="6B05C369" w14:textId="01C25613" w:rsidR="00C55A3F" w:rsidRPr="00FA3FC5" w:rsidRDefault="00360081" w:rsidP="007472B3">
      <w:pPr>
        <w:pStyle w:val="Para1"/>
        <w:numPr>
          <w:ilvl w:val="0"/>
          <w:numId w:val="0"/>
        </w:numPr>
        <w:suppressLineNumbers/>
        <w:tabs>
          <w:tab w:val="left" w:pos="720"/>
        </w:tabs>
        <w:suppressAutoHyphens/>
        <w:rPr>
          <w:kern w:val="22"/>
          <w:szCs w:val="22"/>
        </w:rPr>
      </w:pPr>
      <w:r w:rsidRPr="00FA3FC5">
        <w:rPr>
          <w:kern w:val="22"/>
          <w:szCs w:val="22"/>
        </w:rPr>
        <w:t>19.</w:t>
      </w:r>
      <w:r w:rsidRPr="00FA3FC5">
        <w:rPr>
          <w:kern w:val="22"/>
          <w:szCs w:val="22"/>
        </w:rPr>
        <w:tab/>
      </w:r>
      <w:r w:rsidR="00C55A3F" w:rsidRPr="00FA3FC5">
        <w:rPr>
          <w:kern w:val="22"/>
          <w:szCs w:val="22"/>
        </w:rPr>
        <w:t xml:space="preserve">This knowledge management component is intended to guide knowledge management by the biodiversity community in support of the post-2020 global biodiversity framework. The proposed actions will be implemented and coordinated, as appropriate, by </w:t>
      </w:r>
      <w:r w:rsidR="00C55A3F" w:rsidRPr="00FA3FC5">
        <w:rPr>
          <w:kern w:val="22"/>
        </w:rPr>
        <w:t>government and non-government actors</w:t>
      </w:r>
      <w:r w:rsidR="00C55A3F" w:rsidRPr="00FA3FC5">
        <w:rPr>
          <w:kern w:val="22"/>
          <w:szCs w:val="22"/>
        </w:rPr>
        <w:t>, including Parties to the biodiversity-related conventions and processes, the Convention secretariats, partner organizations and other stakeholders. The component seeks to enhance the sharing of data, information and knowledge across biodiversity-related conventions and organizations.</w:t>
      </w:r>
    </w:p>
    <w:p w14:paraId="5726851C" w14:textId="21317781" w:rsidR="00C55A3F" w:rsidRPr="00FA3FC5" w:rsidRDefault="00360081" w:rsidP="007472B3">
      <w:pPr>
        <w:pStyle w:val="Para1"/>
        <w:numPr>
          <w:ilvl w:val="0"/>
          <w:numId w:val="0"/>
        </w:numPr>
        <w:suppressLineNumbers/>
        <w:tabs>
          <w:tab w:val="left" w:pos="720"/>
        </w:tabs>
        <w:suppressAutoHyphens/>
        <w:rPr>
          <w:kern w:val="22"/>
          <w:szCs w:val="22"/>
        </w:rPr>
      </w:pPr>
      <w:r w:rsidRPr="00FA3FC5">
        <w:rPr>
          <w:kern w:val="22"/>
          <w:szCs w:val="22"/>
        </w:rPr>
        <w:t>20.</w:t>
      </w:r>
      <w:r w:rsidRPr="00FA3FC5">
        <w:rPr>
          <w:kern w:val="22"/>
          <w:szCs w:val="22"/>
        </w:rPr>
        <w:tab/>
      </w:r>
      <w:r w:rsidR="00C55A3F" w:rsidRPr="00FA3FC5">
        <w:rPr>
          <w:kern w:val="22"/>
        </w:rPr>
        <w:t>The</w:t>
      </w:r>
      <w:r w:rsidR="00C55A3F" w:rsidRPr="00FA3FC5">
        <w:rPr>
          <w:rFonts w:eastAsia="Malgun Gothic"/>
          <w:kern w:val="22"/>
        </w:rPr>
        <w:t xml:space="preserve"> overall goal is to facilitate and support effective implementation of the post-2020 global biodiversity framework through enhancing the generation, collection, organization, sharing and utilization of relevant data, </w:t>
      </w:r>
      <w:proofErr w:type="gramStart"/>
      <w:r w:rsidR="00C55A3F" w:rsidRPr="00FA3FC5">
        <w:rPr>
          <w:rFonts w:eastAsia="Malgun Gothic"/>
          <w:kern w:val="22"/>
        </w:rPr>
        <w:t>information</w:t>
      </w:r>
      <w:proofErr w:type="gramEnd"/>
      <w:r w:rsidR="00C55A3F" w:rsidRPr="00FA3FC5">
        <w:rPr>
          <w:rFonts w:eastAsia="Malgun Gothic"/>
          <w:kern w:val="22"/>
        </w:rPr>
        <w:t xml:space="preserve"> and knowledge by the global community. </w:t>
      </w:r>
      <w:r w:rsidR="00C55A3F" w:rsidRPr="00FA3FC5">
        <w:rPr>
          <w:kern w:val="22"/>
        </w:rPr>
        <w:t xml:space="preserve">This would require building a culture of knowledge sharing and fostering collaborative networks and online communities of practice. It would also require analysing, </w:t>
      </w:r>
      <w:proofErr w:type="gramStart"/>
      <w:r w:rsidR="00C55A3F" w:rsidRPr="00FA3FC5">
        <w:rPr>
          <w:kern w:val="22"/>
        </w:rPr>
        <w:t>sharing</w:t>
      </w:r>
      <w:proofErr w:type="gramEnd"/>
      <w:r w:rsidR="00C55A3F" w:rsidRPr="00FA3FC5">
        <w:rPr>
          <w:kern w:val="22"/>
        </w:rPr>
        <w:t xml:space="preserve"> and leveraging experiences and lessons learned from various biodiversity knowledge management initiatives. In addition, national planning and the monitoring of national plans and commitments is essential for identifying where action is needed. The knowledge management component should directly contribute to the monitoring of the post-2020 global biodiversity framework and ensure that data and indictors are at the centre of national reporting.</w:t>
      </w:r>
    </w:p>
    <w:p w14:paraId="7BCD67A6" w14:textId="297FA6DF" w:rsidR="00C55A3F" w:rsidRPr="00FA3FC5" w:rsidRDefault="00360081" w:rsidP="00FE0CDA">
      <w:pPr>
        <w:pStyle w:val="Heading2"/>
        <w:suppressLineNumbers/>
        <w:tabs>
          <w:tab w:val="clear" w:pos="720"/>
        </w:tabs>
        <w:suppressAutoHyphens/>
        <w:ind w:left="714" w:hanging="357"/>
        <w:rPr>
          <w:kern w:val="22"/>
        </w:rPr>
      </w:pPr>
      <w:r w:rsidRPr="00FA3FC5">
        <w:rPr>
          <w:kern w:val="22"/>
        </w:rPr>
        <w:t>A.</w:t>
      </w:r>
      <w:r w:rsidRPr="00FA3FC5">
        <w:rPr>
          <w:kern w:val="22"/>
        </w:rPr>
        <w:tab/>
      </w:r>
      <w:r w:rsidR="00C55A3F" w:rsidRPr="00FA3FC5">
        <w:rPr>
          <w:kern w:val="22"/>
        </w:rPr>
        <w:t>Specific objectives</w:t>
      </w:r>
    </w:p>
    <w:p w14:paraId="120E3B67" w14:textId="10F531AE" w:rsidR="00C55A3F" w:rsidRPr="00FA3FC5" w:rsidRDefault="00360081" w:rsidP="007472B3">
      <w:pPr>
        <w:pStyle w:val="Para1"/>
        <w:numPr>
          <w:ilvl w:val="0"/>
          <w:numId w:val="0"/>
        </w:numPr>
        <w:suppressLineNumbers/>
        <w:tabs>
          <w:tab w:val="left" w:pos="720"/>
        </w:tabs>
        <w:suppressAutoHyphens/>
        <w:rPr>
          <w:kern w:val="22"/>
        </w:rPr>
      </w:pPr>
      <w:r w:rsidRPr="00FA3FC5">
        <w:rPr>
          <w:kern w:val="22"/>
        </w:rPr>
        <w:t>21.</w:t>
      </w:r>
      <w:r w:rsidRPr="00FA3FC5">
        <w:rPr>
          <w:kern w:val="22"/>
        </w:rPr>
        <w:tab/>
      </w:r>
      <w:r w:rsidR="00C55A3F" w:rsidRPr="00FA3FC5">
        <w:rPr>
          <w:kern w:val="22"/>
          <w:szCs w:val="22"/>
        </w:rPr>
        <w:t>The</w:t>
      </w:r>
      <w:r w:rsidR="00C55A3F" w:rsidRPr="00FA3FC5">
        <w:rPr>
          <w:kern w:val="22"/>
        </w:rPr>
        <w:t xml:space="preserve"> specific objectives of the knowledge management component are to enable government and non-government actors to have easy and timely access to quality data, </w:t>
      </w:r>
      <w:proofErr w:type="gramStart"/>
      <w:r w:rsidR="00C55A3F" w:rsidRPr="00FA3FC5">
        <w:rPr>
          <w:kern w:val="22"/>
        </w:rPr>
        <w:t>information</w:t>
      </w:r>
      <w:proofErr w:type="gramEnd"/>
      <w:r w:rsidR="00C55A3F" w:rsidRPr="00FA3FC5">
        <w:rPr>
          <w:kern w:val="22"/>
        </w:rPr>
        <w:t xml:space="preserve"> and knowledge to do their work and also enable the biodiversity information providers to collaborate, share and harness the information together across various platforms, treaties and related processes by:</w:t>
      </w:r>
    </w:p>
    <w:p w14:paraId="470987B4" w14:textId="7FE86199"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(a)</w:t>
      </w:r>
      <w:r w:rsidRPr="00FA3FC5">
        <w:rPr>
          <w:kern w:val="22"/>
          <w:lang w:val="en-GB"/>
        </w:rPr>
        <w:tab/>
      </w:r>
      <w:r w:rsidR="00C55A3F" w:rsidRPr="00FA3FC5">
        <w:rPr>
          <w:kern w:val="22"/>
          <w:lang w:val="en-GB"/>
        </w:rPr>
        <w:t xml:space="preserve">Creating enabling environments and mechanisms for improved generation, management, sharing and utilization of biodiversity-related data, information and </w:t>
      </w:r>
      <w:proofErr w:type="gramStart"/>
      <w:r w:rsidR="00C55A3F" w:rsidRPr="00FA3FC5">
        <w:rPr>
          <w:kern w:val="22"/>
          <w:lang w:val="en-GB"/>
        </w:rPr>
        <w:t>knowledge;</w:t>
      </w:r>
      <w:proofErr w:type="gramEnd"/>
    </w:p>
    <w:p w14:paraId="53A7E173" w14:textId="319D7042"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(b)</w:t>
      </w:r>
      <w:r w:rsidRPr="00FA3FC5">
        <w:rPr>
          <w:kern w:val="22"/>
          <w:lang w:val="en-GB"/>
        </w:rPr>
        <w:tab/>
      </w:r>
      <w:r w:rsidR="00C55A3F" w:rsidRPr="00FA3FC5">
        <w:rPr>
          <w:kern w:val="22"/>
          <w:lang w:val="en-GB"/>
        </w:rPr>
        <w:t xml:space="preserve">Leveraging existing relevant biodiversity knowledge management systems, initiatives and networks through coordinated and collaborative multi-stakeholder </w:t>
      </w:r>
      <w:proofErr w:type="gramStart"/>
      <w:r w:rsidR="00C55A3F" w:rsidRPr="00FA3FC5">
        <w:rPr>
          <w:kern w:val="22"/>
          <w:lang w:val="en-GB"/>
        </w:rPr>
        <w:t>processes;</w:t>
      </w:r>
      <w:proofErr w:type="gramEnd"/>
    </w:p>
    <w:p w14:paraId="6A80E98B" w14:textId="646C80FE"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(c)</w:t>
      </w:r>
      <w:r w:rsidRPr="00FA3FC5">
        <w:rPr>
          <w:kern w:val="22"/>
          <w:lang w:val="en-GB"/>
        </w:rPr>
        <w:tab/>
      </w:r>
      <w:r w:rsidR="00C55A3F" w:rsidRPr="00FA3FC5">
        <w:rPr>
          <w:kern w:val="22"/>
          <w:lang w:val="en-GB"/>
        </w:rPr>
        <w:t xml:space="preserve">Improving discoverability and accessibility of biodiversity-related data, information and knowledge across multiple </w:t>
      </w:r>
      <w:proofErr w:type="gramStart"/>
      <w:r w:rsidR="00C55A3F" w:rsidRPr="00FA3FC5">
        <w:rPr>
          <w:kern w:val="22"/>
          <w:lang w:val="en-GB"/>
        </w:rPr>
        <w:t>sources;</w:t>
      </w:r>
      <w:proofErr w:type="gramEnd"/>
    </w:p>
    <w:p w14:paraId="6E8C617E" w14:textId="733F74B0"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lastRenderedPageBreak/>
        <w:t>(d)</w:t>
      </w:r>
      <w:r w:rsidRPr="00FA3FC5">
        <w:rPr>
          <w:kern w:val="22"/>
          <w:lang w:val="en-GB"/>
        </w:rPr>
        <w:tab/>
      </w:r>
      <w:r w:rsidR="00C55A3F" w:rsidRPr="00FA3FC5">
        <w:rPr>
          <w:kern w:val="22"/>
          <w:lang w:val="en-GB"/>
        </w:rPr>
        <w:t>Encouraging and enabling relevant stakeholders to participate in biodiversity knowledge</w:t>
      </w:r>
      <w:r w:rsidR="291AAE35" w:rsidRPr="00FA3FC5">
        <w:rPr>
          <w:kern w:val="22"/>
          <w:lang w:val="en-GB"/>
        </w:rPr>
        <w:t xml:space="preserve"> </w:t>
      </w:r>
      <w:r w:rsidR="00C55A3F" w:rsidRPr="00FA3FC5">
        <w:rPr>
          <w:kern w:val="22"/>
          <w:lang w:val="en-GB"/>
        </w:rPr>
        <w:t>sharing</w:t>
      </w:r>
      <w:r w:rsidR="00C55A3F" w:rsidRPr="00FA3FC5">
        <w:rPr>
          <w:kern w:val="22"/>
          <w:lang w:val="en-GB"/>
        </w:rPr>
        <w:noBreakHyphen/>
        <w:t xml:space="preserve"> processes and </w:t>
      </w:r>
      <w:proofErr w:type="gramStart"/>
      <w:r w:rsidR="00C55A3F" w:rsidRPr="00FA3FC5">
        <w:rPr>
          <w:kern w:val="22"/>
          <w:lang w:val="en-GB"/>
        </w:rPr>
        <w:t>networks;</w:t>
      </w:r>
      <w:proofErr w:type="gramEnd"/>
    </w:p>
    <w:p w14:paraId="1A852379" w14:textId="7086823E"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(e)</w:t>
      </w:r>
      <w:r w:rsidRPr="00FA3FC5">
        <w:rPr>
          <w:kern w:val="22"/>
          <w:lang w:val="en-GB"/>
        </w:rPr>
        <w:tab/>
      </w:r>
      <w:r w:rsidR="00C55A3F" w:rsidRPr="00FA3FC5">
        <w:rPr>
          <w:kern w:val="22"/>
          <w:lang w:val="en-GB"/>
        </w:rPr>
        <w:t xml:space="preserve">Strengthening the capacities of relevant stakeholders to access and utilize existing biodiversity-related data, information and knowledge at the national, regional and international </w:t>
      </w:r>
      <w:proofErr w:type="gramStart"/>
      <w:r w:rsidR="00C55A3F" w:rsidRPr="00FA3FC5">
        <w:rPr>
          <w:kern w:val="22"/>
          <w:lang w:val="en-GB"/>
        </w:rPr>
        <w:t>levels;</w:t>
      </w:r>
      <w:proofErr w:type="gramEnd"/>
    </w:p>
    <w:p w14:paraId="00AEA6D0" w14:textId="23042184"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(f)</w:t>
      </w:r>
      <w:r w:rsidRPr="00FA3FC5">
        <w:rPr>
          <w:kern w:val="22"/>
          <w:lang w:val="en-GB"/>
        </w:rPr>
        <w:tab/>
      </w:r>
      <w:r w:rsidR="00C55A3F" w:rsidRPr="00FA3FC5">
        <w:rPr>
          <w:kern w:val="22"/>
          <w:lang w:val="en-GB"/>
        </w:rPr>
        <w:t xml:space="preserve">Facilitating monitoring and </w:t>
      </w:r>
      <w:proofErr w:type="gramStart"/>
      <w:r w:rsidR="00C55A3F" w:rsidRPr="00FA3FC5">
        <w:rPr>
          <w:kern w:val="22"/>
          <w:lang w:val="en-GB"/>
        </w:rPr>
        <w:t>assessment;</w:t>
      </w:r>
      <w:proofErr w:type="gramEnd"/>
    </w:p>
    <w:p w14:paraId="47422279" w14:textId="5204F3A7" w:rsidR="00C55A3F" w:rsidRPr="00FA3FC5" w:rsidRDefault="00360081" w:rsidP="007472B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(g)</w:t>
      </w:r>
      <w:r w:rsidRPr="00FA3FC5">
        <w:rPr>
          <w:kern w:val="22"/>
          <w:lang w:val="en-GB"/>
        </w:rPr>
        <w:tab/>
      </w:r>
      <w:r w:rsidR="00C55A3F" w:rsidRPr="00FA3FC5">
        <w:rPr>
          <w:kern w:val="22"/>
          <w:lang w:val="en-GB"/>
        </w:rPr>
        <w:t xml:space="preserve">Promoting national and global data sharing and dialogues, as well open data, open metadata and quality </w:t>
      </w:r>
      <w:proofErr w:type="gramStart"/>
      <w:r w:rsidR="00C55A3F" w:rsidRPr="00FA3FC5">
        <w:rPr>
          <w:kern w:val="22"/>
          <w:lang w:val="en-GB"/>
        </w:rPr>
        <w:t>assurance;</w:t>
      </w:r>
      <w:proofErr w:type="gramEnd"/>
    </w:p>
    <w:p w14:paraId="4F315C8A" w14:textId="65498F22"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(h)</w:t>
      </w:r>
      <w:r w:rsidRPr="00FA3FC5">
        <w:rPr>
          <w:kern w:val="22"/>
          <w:lang w:val="en-GB"/>
        </w:rPr>
        <w:tab/>
      </w:r>
      <w:r w:rsidR="00C55A3F" w:rsidRPr="00FA3FC5">
        <w:rPr>
          <w:kern w:val="22"/>
          <w:lang w:val="en-GB"/>
        </w:rPr>
        <w:t>Enhancing synergies among biodiversity-related conventions to facilitate more coordinated national reporting.</w:t>
      </w:r>
    </w:p>
    <w:p w14:paraId="33B8049B" w14:textId="180079B3" w:rsidR="00C55A3F" w:rsidRPr="00FA3FC5" w:rsidRDefault="00360081" w:rsidP="007472B3">
      <w:pPr>
        <w:pStyle w:val="Para1"/>
        <w:numPr>
          <w:ilvl w:val="0"/>
          <w:numId w:val="0"/>
        </w:numPr>
        <w:suppressLineNumbers/>
        <w:tabs>
          <w:tab w:val="left" w:pos="720"/>
        </w:tabs>
        <w:suppressAutoHyphens/>
        <w:rPr>
          <w:b/>
          <w:bCs/>
          <w:iCs/>
          <w:snapToGrid/>
          <w:kern w:val="22"/>
          <w:szCs w:val="24"/>
        </w:rPr>
      </w:pPr>
      <w:r w:rsidRPr="00FA3FC5">
        <w:rPr>
          <w:bCs/>
          <w:iCs/>
          <w:snapToGrid/>
          <w:kern w:val="22"/>
          <w:szCs w:val="24"/>
        </w:rPr>
        <w:t>22.</w:t>
      </w:r>
      <w:r w:rsidRPr="00FA3FC5">
        <w:rPr>
          <w:bCs/>
          <w:iCs/>
          <w:snapToGrid/>
          <w:kern w:val="22"/>
          <w:szCs w:val="24"/>
        </w:rPr>
        <w:tab/>
      </w:r>
      <w:r w:rsidR="00C55A3F" w:rsidRPr="00FA3FC5">
        <w:rPr>
          <w:kern w:val="22"/>
          <w:szCs w:val="22"/>
        </w:rPr>
        <w:t>These objectives are complementary to those set out in the long-term strategic framework for capacity</w:t>
      </w:r>
      <w:r w:rsidR="00B64BAF">
        <w:rPr>
          <w:kern w:val="22"/>
          <w:szCs w:val="22"/>
        </w:rPr>
        <w:t>-building and</w:t>
      </w:r>
      <w:r w:rsidR="00C55A3F" w:rsidRPr="00FA3FC5">
        <w:rPr>
          <w:kern w:val="22"/>
          <w:szCs w:val="22"/>
        </w:rPr>
        <w:t xml:space="preserve"> development (CBD/SBI/3/7/Add.1), the proposals for enhancing technical and scientific cooperation (CBD/SBI/3/7/Add.2) and proposals for an enhanced planning, reporting and review mechanism of the post-2020 global biodiversity framework (CBD/SBI/3/11).</w:t>
      </w:r>
    </w:p>
    <w:p w14:paraId="35958C6B" w14:textId="5C6B35EC" w:rsidR="00C55A3F" w:rsidRPr="00FA3FC5" w:rsidRDefault="00360081" w:rsidP="00FE0CDA">
      <w:pPr>
        <w:pStyle w:val="Heading2"/>
        <w:suppressLineNumbers/>
        <w:tabs>
          <w:tab w:val="clear" w:pos="720"/>
        </w:tabs>
        <w:suppressAutoHyphens/>
        <w:ind w:left="714" w:hanging="357"/>
        <w:rPr>
          <w:kern w:val="22"/>
        </w:rPr>
      </w:pPr>
      <w:r w:rsidRPr="00FA3FC5">
        <w:rPr>
          <w:kern w:val="22"/>
        </w:rPr>
        <w:t>B.</w:t>
      </w:r>
      <w:r w:rsidRPr="00FA3FC5">
        <w:rPr>
          <w:kern w:val="22"/>
        </w:rPr>
        <w:tab/>
      </w:r>
      <w:r w:rsidR="00C55A3F" w:rsidRPr="00FA3FC5">
        <w:rPr>
          <w:kern w:val="22"/>
        </w:rPr>
        <w:t>Expected outcomes and milestones</w:t>
      </w:r>
    </w:p>
    <w:p w14:paraId="4538C41B" w14:textId="4A91F4DA" w:rsidR="00C55A3F" w:rsidRPr="00FA3FC5" w:rsidRDefault="00360081" w:rsidP="007472B3">
      <w:pPr>
        <w:pStyle w:val="Para1"/>
        <w:numPr>
          <w:ilvl w:val="0"/>
          <w:numId w:val="0"/>
        </w:numPr>
        <w:suppressLineNumbers/>
        <w:tabs>
          <w:tab w:val="left" w:pos="720"/>
        </w:tabs>
        <w:suppressAutoHyphens/>
        <w:rPr>
          <w:kern w:val="22"/>
        </w:rPr>
      </w:pPr>
      <w:r w:rsidRPr="00FA3FC5">
        <w:rPr>
          <w:kern w:val="22"/>
        </w:rPr>
        <w:t>23.</w:t>
      </w:r>
      <w:r w:rsidRPr="00FA3FC5">
        <w:rPr>
          <w:kern w:val="22"/>
        </w:rPr>
        <w:tab/>
      </w:r>
      <w:r w:rsidR="00C55A3F" w:rsidRPr="00FA3FC5">
        <w:rPr>
          <w:kern w:val="22"/>
        </w:rPr>
        <w:t xml:space="preserve">The </w:t>
      </w:r>
      <w:r w:rsidR="00C55A3F" w:rsidRPr="00FA3FC5">
        <w:rPr>
          <w:kern w:val="22"/>
          <w:szCs w:val="22"/>
        </w:rPr>
        <w:t>implementation</w:t>
      </w:r>
      <w:r w:rsidR="00C55A3F" w:rsidRPr="00FA3FC5">
        <w:rPr>
          <w:kern w:val="22"/>
        </w:rPr>
        <w:t xml:space="preserve"> of the knowledge management component is expected to result in:</w:t>
      </w:r>
    </w:p>
    <w:p w14:paraId="2DC8147B" w14:textId="6C0D0551"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(a)</w:t>
      </w:r>
      <w:r w:rsidRPr="00FA3FC5">
        <w:rPr>
          <w:kern w:val="22"/>
          <w:lang w:val="en-GB"/>
        </w:rPr>
        <w:tab/>
      </w:r>
      <w:r w:rsidR="00C55A3F" w:rsidRPr="00FA3FC5">
        <w:rPr>
          <w:kern w:val="22"/>
          <w:lang w:val="en-GB"/>
        </w:rPr>
        <w:t xml:space="preserve">Increased availability and accessibility of relevant data, information and knowledge at all </w:t>
      </w:r>
      <w:proofErr w:type="gramStart"/>
      <w:r w:rsidR="00C55A3F" w:rsidRPr="00FA3FC5">
        <w:rPr>
          <w:kern w:val="22"/>
          <w:lang w:val="en-GB"/>
        </w:rPr>
        <w:t>levels;</w:t>
      </w:r>
      <w:proofErr w:type="gramEnd"/>
    </w:p>
    <w:p w14:paraId="6FC66FE6" w14:textId="25273445"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(b)</w:t>
      </w:r>
      <w:r w:rsidRPr="00FA3FC5">
        <w:rPr>
          <w:kern w:val="22"/>
          <w:lang w:val="en-GB"/>
        </w:rPr>
        <w:tab/>
      </w:r>
      <w:r w:rsidR="00C55A3F" w:rsidRPr="00FA3FC5">
        <w:rPr>
          <w:kern w:val="22"/>
          <w:lang w:val="en-GB"/>
        </w:rPr>
        <w:t xml:space="preserve">Increased uptake and utilization of data, information and knowledge to support the implementation of the post-2020 global biodiversity </w:t>
      </w:r>
      <w:proofErr w:type="gramStart"/>
      <w:r w:rsidR="00C55A3F" w:rsidRPr="00FA3FC5">
        <w:rPr>
          <w:kern w:val="22"/>
          <w:lang w:val="en-GB"/>
        </w:rPr>
        <w:t>framework;</w:t>
      </w:r>
      <w:proofErr w:type="gramEnd"/>
    </w:p>
    <w:p w14:paraId="2ABFB3C1" w14:textId="76BF54DA"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(c)</w:t>
      </w:r>
      <w:r w:rsidRPr="00FA3FC5">
        <w:rPr>
          <w:kern w:val="22"/>
          <w:lang w:val="en-GB"/>
        </w:rPr>
        <w:tab/>
      </w:r>
      <w:r w:rsidR="00C55A3F" w:rsidRPr="00FA3FC5">
        <w:rPr>
          <w:kern w:val="22"/>
          <w:lang w:val="en-GB"/>
        </w:rPr>
        <w:t xml:space="preserve">Increased capacity of Governments and relevant stakeholders to capture, manage and utilize biodiversity-related data, information and </w:t>
      </w:r>
      <w:proofErr w:type="gramStart"/>
      <w:r w:rsidR="00C55A3F" w:rsidRPr="00FA3FC5">
        <w:rPr>
          <w:kern w:val="22"/>
          <w:lang w:val="en-GB"/>
        </w:rPr>
        <w:t>knowledge;</w:t>
      </w:r>
      <w:proofErr w:type="gramEnd"/>
    </w:p>
    <w:p w14:paraId="175FCDDB" w14:textId="2707F143"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(d)</w:t>
      </w:r>
      <w:r w:rsidRPr="00FA3FC5">
        <w:rPr>
          <w:kern w:val="22"/>
          <w:lang w:val="en-GB"/>
        </w:rPr>
        <w:tab/>
      </w:r>
      <w:r w:rsidR="00C55A3F" w:rsidRPr="00FA3FC5">
        <w:rPr>
          <w:kern w:val="22"/>
          <w:lang w:val="en-GB"/>
        </w:rPr>
        <w:t xml:space="preserve">Increased number of active biodiversity knowledge management support networks and communities of </w:t>
      </w:r>
      <w:proofErr w:type="gramStart"/>
      <w:r w:rsidR="00C55A3F" w:rsidRPr="00FA3FC5">
        <w:rPr>
          <w:kern w:val="22"/>
          <w:lang w:val="en-GB"/>
        </w:rPr>
        <w:t>practice;</w:t>
      </w:r>
      <w:proofErr w:type="gramEnd"/>
    </w:p>
    <w:p w14:paraId="5168FCC3" w14:textId="615F7B3E"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(e)</w:t>
      </w:r>
      <w:r w:rsidRPr="00FA3FC5">
        <w:rPr>
          <w:kern w:val="22"/>
          <w:lang w:val="en-GB"/>
        </w:rPr>
        <w:tab/>
      </w:r>
      <w:r w:rsidR="00C55A3F" w:rsidRPr="00FA3FC5">
        <w:rPr>
          <w:kern w:val="22"/>
          <w:lang w:val="en-GB"/>
        </w:rPr>
        <w:t xml:space="preserve">Enhanced real-time access to data and information for national planning and reporting in the context of biodiversity-related conventions and for global reviews, including in the context of </w:t>
      </w:r>
      <w:proofErr w:type="gramStart"/>
      <w:r w:rsidR="00C55A3F" w:rsidRPr="00FA3FC5">
        <w:rPr>
          <w:kern w:val="22"/>
          <w:lang w:val="en-GB"/>
        </w:rPr>
        <w:t>IPBES;</w:t>
      </w:r>
      <w:proofErr w:type="gramEnd"/>
    </w:p>
    <w:p w14:paraId="43B59324" w14:textId="2A2B7CCD" w:rsidR="00C55A3F" w:rsidRPr="00FA3FC5" w:rsidRDefault="00360081" w:rsidP="007472B3">
      <w:pPr>
        <w:pStyle w:val="CBD-Para-a"/>
        <w:numPr>
          <w:ilvl w:val="0"/>
          <w:numId w:val="0"/>
        </w:numPr>
        <w:tabs>
          <w:tab w:val="clear" w:pos="2160"/>
          <w:tab w:val="left" w:pos="1276"/>
        </w:tabs>
        <w:ind w:firstLine="720"/>
        <w:rPr>
          <w:kern w:val="22"/>
          <w:lang w:val="en-GB"/>
        </w:rPr>
      </w:pPr>
      <w:r w:rsidRPr="00FA3FC5">
        <w:rPr>
          <w:kern w:val="22"/>
          <w:lang w:val="en-GB"/>
        </w:rPr>
        <w:t>(f)</w:t>
      </w:r>
      <w:r w:rsidRPr="00FA3FC5">
        <w:rPr>
          <w:kern w:val="22"/>
          <w:lang w:val="en-GB"/>
        </w:rPr>
        <w:tab/>
      </w:r>
      <w:r w:rsidR="00C55A3F" w:rsidRPr="00FA3FC5">
        <w:rPr>
          <w:kern w:val="22"/>
          <w:lang w:val="en-GB"/>
        </w:rPr>
        <w:t>Increased information sharing across biodiversity-related conventions and organizations.</w:t>
      </w:r>
    </w:p>
    <w:p w14:paraId="27DA9ECD" w14:textId="743B835D" w:rsidR="00C55A3F" w:rsidRPr="00FA3FC5" w:rsidRDefault="00360081" w:rsidP="007472B3">
      <w:pPr>
        <w:pStyle w:val="Para1"/>
        <w:numPr>
          <w:ilvl w:val="0"/>
          <w:numId w:val="0"/>
        </w:numPr>
        <w:suppressLineNumbers/>
        <w:tabs>
          <w:tab w:val="left" w:pos="720"/>
        </w:tabs>
        <w:suppressAutoHyphens/>
        <w:rPr>
          <w:kern w:val="22"/>
        </w:rPr>
      </w:pPr>
      <w:r w:rsidRPr="00FA3FC5">
        <w:rPr>
          <w:kern w:val="22"/>
        </w:rPr>
        <w:t>24.</w:t>
      </w:r>
      <w:r w:rsidRPr="00FA3FC5">
        <w:rPr>
          <w:kern w:val="22"/>
        </w:rPr>
        <w:tab/>
      </w:r>
      <w:r w:rsidR="00C55A3F" w:rsidRPr="00FA3FC5">
        <w:rPr>
          <w:kern w:val="22"/>
          <w:szCs w:val="22"/>
        </w:rPr>
        <w:t>Ultimately</w:t>
      </w:r>
      <w:r w:rsidR="00C55A3F" w:rsidRPr="00FA3FC5">
        <w:rPr>
          <w:kern w:val="22"/>
        </w:rPr>
        <w:t>, it is expected that the above improvements will enable Governments, indigenous peoples and local communities, and all stakeholders, as appropriate, to:</w:t>
      </w:r>
    </w:p>
    <w:p w14:paraId="090AE655" w14:textId="6AE87E20"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(a)</w:t>
      </w:r>
      <w:r w:rsidRPr="00FA3FC5">
        <w:rPr>
          <w:kern w:val="22"/>
          <w:lang w:val="en-GB"/>
        </w:rPr>
        <w:tab/>
      </w:r>
      <w:r w:rsidR="00C55A3F" w:rsidRPr="00FA3FC5">
        <w:rPr>
          <w:rFonts w:eastAsia="Malgun Gothic"/>
          <w:kern w:val="22"/>
          <w:lang w:val="en-GB"/>
        </w:rPr>
        <w:t>Improve</w:t>
      </w:r>
      <w:r w:rsidR="00C55A3F" w:rsidRPr="00FA3FC5">
        <w:rPr>
          <w:kern w:val="22"/>
          <w:lang w:val="en-GB"/>
        </w:rPr>
        <w:t xml:space="preserve"> implementation and decision-making through more effective use of available data, information and </w:t>
      </w:r>
      <w:proofErr w:type="gramStart"/>
      <w:r w:rsidR="00C55A3F" w:rsidRPr="00FA3FC5">
        <w:rPr>
          <w:kern w:val="22"/>
          <w:lang w:val="en-GB"/>
        </w:rPr>
        <w:t>knowledge;</w:t>
      </w:r>
      <w:proofErr w:type="gramEnd"/>
    </w:p>
    <w:p w14:paraId="023305C7" w14:textId="634F0E67"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(b)</w:t>
      </w:r>
      <w:r w:rsidRPr="00FA3FC5">
        <w:rPr>
          <w:kern w:val="22"/>
          <w:lang w:val="en-GB"/>
        </w:rPr>
        <w:tab/>
      </w:r>
      <w:r w:rsidR="00C55A3F" w:rsidRPr="00FA3FC5">
        <w:rPr>
          <w:kern w:val="22"/>
          <w:lang w:val="en-GB"/>
        </w:rPr>
        <w:t>Increase efficiency by accessing and leveraging previous work rather than repeating it, and</w:t>
      </w:r>
      <w:r w:rsidR="00C55A3F" w:rsidRPr="00FA3FC5" w:rsidDel="00D36F73">
        <w:rPr>
          <w:kern w:val="22"/>
          <w:lang w:val="en-GB"/>
        </w:rPr>
        <w:t xml:space="preserve"> </w:t>
      </w:r>
      <w:r w:rsidR="00C55A3F" w:rsidRPr="00FA3FC5">
        <w:rPr>
          <w:kern w:val="22"/>
          <w:lang w:val="en-GB"/>
        </w:rPr>
        <w:t xml:space="preserve">learning from the experiences of </w:t>
      </w:r>
      <w:proofErr w:type="gramStart"/>
      <w:r w:rsidR="00C55A3F" w:rsidRPr="00FA3FC5">
        <w:rPr>
          <w:kern w:val="22"/>
          <w:lang w:val="en-GB"/>
        </w:rPr>
        <w:t>others;</w:t>
      </w:r>
      <w:proofErr w:type="gramEnd"/>
    </w:p>
    <w:p w14:paraId="7A714DED" w14:textId="41A7F42C"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(c)</w:t>
      </w:r>
      <w:r w:rsidRPr="00FA3FC5">
        <w:rPr>
          <w:kern w:val="22"/>
          <w:lang w:val="en-GB"/>
        </w:rPr>
        <w:tab/>
      </w:r>
      <w:r w:rsidR="00C55A3F" w:rsidRPr="00FA3FC5">
        <w:rPr>
          <w:kern w:val="22"/>
          <w:lang w:val="en-GB"/>
        </w:rPr>
        <w:t xml:space="preserve">Reduce inefficiencies in service delivery by getting the information needed in a timely manner or by reducing the amount of time spent searching for </w:t>
      </w:r>
      <w:proofErr w:type="gramStart"/>
      <w:r w:rsidR="00C55A3F" w:rsidRPr="00FA3FC5">
        <w:rPr>
          <w:kern w:val="22"/>
          <w:lang w:val="en-GB"/>
        </w:rPr>
        <w:t>information;</w:t>
      </w:r>
      <w:proofErr w:type="gramEnd"/>
    </w:p>
    <w:p w14:paraId="67C76480" w14:textId="40380F18"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(d)</w:t>
      </w:r>
      <w:r w:rsidRPr="00FA3FC5">
        <w:rPr>
          <w:kern w:val="22"/>
          <w:lang w:val="en-GB"/>
        </w:rPr>
        <w:tab/>
      </w:r>
      <w:r w:rsidR="00C55A3F" w:rsidRPr="00FA3FC5">
        <w:rPr>
          <w:kern w:val="22"/>
          <w:lang w:val="en-GB"/>
        </w:rPr>
        <w:t xml:space="preserve">Improve communication and professional and organizational development by increasing learning across governments and </w:t>
      </w:r>
      <w:proofErr w:type="gramStart"/>
      <w:r w:rsidR="00C55A3F" w:rsidRPr="00FA3FC5">
        <w:rPr>
          <w:kern w:val="22"/>
          <w:lang w:val="en-GB"/>
        </w:rPr>
        <w:t>organizations;</w:t>
      </w:r>
      <w:proofErr w:type="gramEnd"/>
    </w:p>
    <w:p w14:paraId="67676687" w14:textId="02423000" w:rsidR="00C55A3F" w:rsidRPr="00FA3FC5" w:rsidRDefault="00360081" w:rsidP="007472B3">
      <w:pPr>
        <w:pStyle w:val="CBD-Para-a"/>
        <w:keepLines w:val="0"/>
        <w:numPr>
          <w:ilvl w:val="0"/>
          <w:numId w:val="0"/>
        </w:numPr>
        <w:tabs>
          <w:tab w:val="clear" w:pos="2160"/>
          <w:tab w:val="left" w:pos="1276"/>
        </w:tabs>
        <w:ind w:firstLine="720"/>
        <w:rPr>
          <w:kern w:val="22"/>
          <w:lang w:val="en-GB"/>
        </w:rPr>
      </w:pPr>
      <w:r w:rsidRPr="00FA3FC5">
        <w:rPr>
          <w:kern w:val="22"/>
          <w:lang w:val="en-GB"/>
        </w:rPr>
        <w:t>(e)</w:t>
      </w:r>
      <w:r w:rsidRPr="00FA3FC5">
        <w:rPr>
          <w:kern w:val="22"/>
          <w:lang w:val="en-GB"/>
        </w:rPr>
        <w:tab/>
      </w:r>
      <w:r w:rsidR="00C55A3F" w:rsidRPr="00FA3FC5">
        <w:rPr>
          <w:kern w:val="22"/>
          <w:lang w:val="en-GB"/>
        </w:rPr>
        <w:t>Facilitate innovation by leveraging existing knowledge resources to create new products.</w:t>
      </w:r>
    </w:p>
    <w:p w14:paraId="04D535B1" w14:textId="77777777" w:rsidR="00C55A3F" w:rsidRPr="00FA3FC5" w:rsidRDefault="00C55A3F" w:rsidP="00C55A3F">
      <w:pPr>
        <w:pStyle w:val="Heading1"/>
        <w:suppressLineNumbers/>
        <w:tabs>
          <w:tab w:val="clear" w:pos="720"/>
          <w:tab w:val="left" w:pos="426"/>
        </w:tabs>
        <w:suppressAutoHyphens/>
        <w:spacing w:before="120"/>
        <w:rPr>
          <w:rFonts w:ascii="Times New Roman Bold" w:hAnsi="Times New Roman Bold"/>
          <w:bCs/>
          <w:caps w:val="0"/>
          <w:kern w:val="22"/>
        </w:rPr>
      </w:pPr>
      <w:r w:rsidRPr="00FA3FC5">
        <w:rPr>
          <w:rFonts w:ascii="Times New Roman Bold" w:hAnsi="Times New Roman Bold"/>
          <w:bCs/>
          <w:caps w:val="0"/>
          <w:kern w:val="22"/>
        </w:rPr>
        <w:t>III.</w:t>
      </w:r>
      <w:r w:rsidRPr="00FA3FC5">
        <w:rPr>
          <w:rFonts w:ascii="Times New Roman Bold" w:hAnsi="Times New Roman Bold"/>
          <w:bCs/>
          <w:caps w:val="0"/>
          <w:kern w:val="22"/>
        </w:rPr>
        <w:tab/>
        <w:t>STRATEGIES TO ENHANCE BIODIVERSITY KNOWLEDGE MANAGEMENT</w:t>
      </w:r>
    </w:p>
    <w:p w14:paraId="02798951" w14:textId="7BB5A32F" w:rsidR="00C55A3F" w:rsidRPr="00FA3FC5" w:rsidRDefault="00360081" w:rsidP="007472B3">
      <w:pPr>
        <w:pStyle w:val="Para1"/>
        <w:numPr>
          <w:ilvl w:val="0"/>
          <w:numId w:val="0"/>
        </w:numPr>
        <w:suppressLineNumbers/>
        <w:tabs>
          <w:tab w:val="left" w:pos="720"/>
        </w:tabs>
        <w:suppressAutoHyphens/>
        <w:rPr>
          <w:kern w:val="22"/>
          <w:szCs w:val="22"/>
        </w:rPr>
      </w:pPr>
      <w:r w:rsidRPr="00FA3FC5">
        <w:rPr>
          <w:kern w:val="22"/>
          <w:szCs w:val="22"/>
        </w:rPr>
        <w:t>25.</w:t>
      </w:r>
      <w:r w:rsidRPr="00FA3FC5">
        <w:rPr>
          <w:kern w:val="22"/>
          <w:szCs w:val="22"/>
        </w:rPr>
        <w:tab/>
      </w:r>
      <w:r w:rsidR="00C55A3F" w:rsidRPr="00FA3FC5">
        <w:rPr>
          <w:rFonts w:eastAsia="Malgun Gothic"/>
          <w:kern w:val="22"/>
        </w:rPr>
        <w:t xml:space="preserve">This </w:t>
      </w:r>
      <w:r w:rsidR="00C55A3F" w:rsidRPr="00FA3FC5">
        <w:rPr>
          <w:kern w:val="22"/>
        </w:rPr>
        <w:t>section</w:t>
      </w:r>
      <w:r w:rsidR="00C55A3F" w:rsidRPr="00FA3FC5">
        <w:rPr>
          <w:rFonts w:eastAsia="Malgun Gothic"/>
          <w:kern w:val="22"/>
        </w:rPr>
        <w:t xml:space="preserve"> outlines broad categories of strategies to be undertaken by Parties, relevant </w:t>
      </w:r>
      <w:proofErr w:type="gramStart"/>
      <w:r w:rsidR="00C55A3F" w:rsidRPr="00FA3FC5">
        <w:rPr>
          <w:rFonts w:eastAsia="Malgun Gothic"/>
          <w:kern w:val="22"/>
        </w:rPr>
        <w:t>organizations</w:t>
      </w:r>
      <w:proofErr w:type="gramEnd"/>
      <w:r w:rsidR="00C55A3F" w:rsidRPr="00FA3FC5">
        <w:rPr>
          <w:rFonts w:eastAsia="Malgun Gothic"/>
          <w:kern w:val="22"/>
        </w:rPr>
        <w:t xml:space="preserve"> and convention secretariats, as appropriate, to enhance the following stages of the knowledge management cycle in </w:t>
      </w:r>
      <w:r w:rsidR="00C55A3F" w:rsidRPr="00FA3FC5">
        <w:rPr>
          <w:kern w:val="22"/>
        </w:rPr>
        <w:t xml:space="preserve">support of the post-2020 global biodiversity framework. The key specific strategic actions to facilitate the implementation of this component, including the proposed timeframes and an indicative list of lead implementers of the respective actions are presented in annex I. The proposed strategic actions are grouped under the following stages of the </w:t>
      </w:r>
      <w:r w:rsidR="00C55A3F" w:rsidRPr="00FA3FC5">
        <w:rPr>
          <w:rFonts w:eastAsia="Malgun Gothic"/>
          <w:kern w:val="22"/>
        </w:rPr>
        <w:t>knowledge management cycle: k</w:t>
      </w:r>
      <w:r w:rsidR="00C55A3F" w:rsidRPr="00FA3FC5">
        <w:rPr>
          <w:kern w:val="22"/>
        </w:rPr>
        <w:t xml:space="preserve">nowledge generation and synthesis; knowledge discovery and collection; knowledge organization and sharing; use/application of </w:t>
      </w:r>
      <w:r w:rsidR="00C55A3F" w:rsidRPr="00FA3FC5">
        <w:rPr>
          <w:kern w:val="22"/>
        </w:rPr>
        <w:lastRenderedPageBreak/>
        <w:t>knowledge; and knowledge audit and review to identify knowledge gaps and improve national planning and priority setting, while considering global priorities.</w:t>
      </w:r>
    </w:p>
    <w:p w14:paraId="0B959CE1" w14:textId="25AAE219" w:rsidR="00C55A3F" w:rsidRPr="00FA3FC5" w:rsidRDefault="00360081" w:rsidP="00FE0CDA">
      <w:pPr>
        <w:pStyle w:val="Heading2"/>
        <w:suppressLineNumbers/>
        <w:tabs>
          <w:tab w:val="clear" w:pos="720"/>
        </w:tabs>
        <w:suppressAutoHyphens/>
        <w:ind w:left="714" w:hanging="357"/>
        <w:rPr>
          <w:kern w:val="22"/>
        </w:rPr>
      </w:pPr>
      <w:bookmarkStart w:id="8" w:name="_Toc39228094"/>
      <w:r w:rsidRPr="00FA3FC5">
        <w:rPr>
          <w:kern w:val="22"/>
        </w:rPr>
        <w:t>A.</w:t>
      </w:r>
      <w:r w:rsidRPr="00FA3FC5">
        <w:rPr>
          <w:kern w:val="22"/>
        </w:rPr>
        <w:tab/>
      </w:r>
      <w:r w:rsidR="00C55A3F" w:rsidRPr="00FA3FC5">
        <w:rPr>
          <w:kern w:val="22"/>
        </w:rPr>
        <w:t>Promoting knowledge generation and synthesis</w:t>
      </w:r>
      <w:bookmarkEnd w:id="8"/>
    </w:p>
    <w:p w14:paraId="05B01CEA" w14:textId="42FE024B" w:rsidR="00C55A3F" w:rsidRPr="00FA3FC5" w:rsidRDefault="00360081" w:rsidP="007472B3">
      <w:pPr>
        <w:pStyle w:val="Para1"/>
        <w:numPr>
          <w:ilvl w:val="0"/>
          <w:numId w:val="0"/>
        </w:numPr>
        <w:suppressLineNumbers/>
        <w:suppressAutoHyphens/>
        <w:rPr>
          <w:kern w:val="22"/>
          <w:szCs w:val="22"/>
        </w:rPr>
      </w:pPr>
      <w:r w:rsidRPr="00FA3FC5">
        <w:rPr>
          <w:kern w:val="22"/>
          <w:szCs w:val="22"/>
        </w:rPr>
        <w:t>26.</w:t>
      </w:r>
      <w:r w:rsidRPr="00FA3FC5">
        <w:rPr>
          <w:kern w:val="22"/>
          <w:szCs w:val="22"/>
        </w:rPr>
        <w:tab/>
      </w:r>
      <w:r w:rsidR="00C55A3F" w:rsidRPr="00FA3FC5">
        <w:rPr>
          <w:kern w:val="22"/>
        </w:rPr>
        <w:t xml:space="preserve">Knowledge generation and synthesis encompass the creation and advancement of new knowledge and the building of an evidence base, primarily through research and academic initiatives, as well as analysis of information provided by Governments, relevant </w:t>
      </w:r>
      <w:proofErr w:type="gramStart"/>
      <w:r w:rsidR="00C55A3F" w:rsidRPr="00FA3FC5">
        <w:rPr>
          <w:kern w:val="22"/>
        </w:rPr>
        <w:t>organizations</w:t>
      </w:r>
      <w:proofErr w:type="gramEnd"/>
      <w:r w:rsidR="00C55A3F" w:rsidRPr="00FA3FC5">
        <w:rPr>
          <w:kern w:val="22"/>
        </w:rPr>
        <w:t xml:space="preserve"> and other sources. Examples of organizations and processes contributing to the generation and synthesis of biodiversity-related information and knowledge include university research institutions, GEO-BON, IPBES,</w:t>
      </w:r>
      <w:r w:rsidR="00C55A3F" w:rsidRPr="00FA3FC5">
        <w:rPr>
          <w:rStyle w:val="FootnoteReference"/>
          <w:kern w:val="22"/>
        </w:rPr>
        <w:footnoteReference w:id="23"/>
      </w:r>
      <w:r w:rsidR="00C55A3F" w:rsidRPr="00FA3FC5">
        <w:rPr>
          <w:kern w:val="22"/>
        </w:rPr>
        <w:t xml:space="preserve"> global assessments by the Food and Agriculture Organization of the United Nations (FAO), UNEP-WCMC and others.</w:t>
      </w:r>
    </w:p>
    <w:p w14:paraId="5051F7D1" w14:textId="35898F4C" w:rsidR="00C55A3F" w:rsidRPr="00FA3FC5" w:rsidRDefault="00360081" w:rsidP="00FE0CDA">
      <w:pPr>
        <w:pStyle w:val="Heading2"/>
        <w:suppressLineNumbers/>
        <w:tabs>
          <w:tab w:val="clear" w:pos="720"/>
        </w:tabs>
        <w:suppressAutoHyphens/>
        <w:ind w:left="714" w:hanging="357"/>
        <w:rPr>
          <w:kern w:val="22"/>
        </w:rPr>
      </w:pPr>
      <w:bookmarkStart w:id="9" w:name="_Toc39228095"/>
      <w:r w:rsidRPr="00FA3FC5">
        <w:rPr>
          <w:kern w:val="22"/>
        </w:rPr>
        <w:t>B.</w:t>
      </w:r>
      <w:r w:rsidRPr="00FA3FC5">
        <w:rPr>
          <w:kern w:val="22"/>
        </w:rPr>
        <w:tab/>
      </w:r>
      <w:r w:rsidR="00C55A3F" w:rsidRPr="00FA3FC5">
        <w:rPr>
          <w:kern w:val="22"/>
        </w:rPr>
        <w:t>Facilitating knowledge discovery and collection</w:t>
      </w:r>
      <w:bookmarkEnd w:id="9"/>
    </w:p>
    <w:p w14:paraId="739CEE0F" w14:textId="7F5D3364" w:rsidR="00C55A3F" w:rsidRPr="00FA3FC5" w:rsidRDefault="00360081" w:rsidP="007472B3">
      <w:pPr>
        <w:pStyle w:val="Para1"/>
        <w:numPr>
          <w:ilvl w:val="0"/>
          <w:numId w:val="0"/>
        </w:numPr>
        <w:suppressLineNumbers/>
        <w:suppressAutoHyphens/>
        <w:rPr>
          <w:kern w:val="22"/>
          <w:szCs w:val="22"/>
        </w:rPr>
      </w:pPr>
      <w:r w:rsidRPr="00FA3FC5">
        <w:rPr>
          <w:kern w:val="22"/>
          <w:szCs w:val="22"/>
        </w:rPr>
        <w:t>27.</w:t>
      </w:r>
      <w:r w:rsidRPr="00FA3FC5">
        <w:rPr>
          <w:kern w:val="22"/>
          <w:szCs w:val="22"/>
        </w:rPr>
        <w:tab/>
      </w:r>
      <w:r w:rsidR="00C55A3F" w:rsidRPr="00FA3FC5">
        <w:rPr>
          <w:kern w:val="22"/>
        </w:rPr>
        <w:t>Knowledge discovery and collection are a critical element of this component.</w:t>
      </w:r>
      <w:r w:rsidR="00C55A3F" w:rsidRPr="00FA3FC5">
        <w:rPr>
          <w:rStyle w:val="FootnoteReference"/>
          <w:kern w:val="22"/>
        </w:rPr>
        <w:footnoteReference w:id="24"/>
      </w:r>
      <w:r w:rsidR="00C55A3F" w:rsidRPr="00FA3FC5">
        <w:rPr>
          <w:kern w:val="22"/>
        </w:rPr>
        <w:t xml:space="preserve"> As knowledge generation grows and massive amounts of data, information and knowledge are stored in digital libraries and databases around the world, it becomes a challenge to identify and access them. There is a need to understand the breadth of what is being collected across the spectrum of sources and keep track of relevant sources. Some of the sources are publicly available while others are maintained as for-pay and/or private resources. There are </w:t>
      </w:r>
      <w:proofErr w:type="gramStart"/>
      <w:r w:rsidR="00C55A3F" w:rsidRPr="00FA3FC5">
        <w:rPr>
          <w:kern w:val="22"/>
        </w:rPr>
        <w:t>a number of</w:t>
      </w:r>
      <w:proofErr w:type="gramEnd"/>
      <w:r w:rsidR="00C55A3F" w:rsidRPr="00FA3FC5">
        <w:rPr>
          <w:kern w:val="22"/>
        </w:rPr>
        <w:t xml:space="preserve"> ongoing efforts to identify and compile existing sources of biodiversity data, information and knowledge, including those identified in the UNEP-WCMC compendia referred to above. Those efforts need to be broadened and expanded to support the post-2020 global biodiversity framework.</w:t>
      </w:r>
    </w:p>
    <w:p w14:paraId="6665A64A" w14:textId="2797A337" w:rsidR="00C55A3F" w:rsidRPr="00FA3FC5" w:rsidRDefault="00360081" w:rsidP="00FE0CDA">
      <w:pPr>
        <w:pStyle w:val="Heading2"/>
        <w:suppressLineNumbers/>
        <w:tabs>
          <w:tab w:val="clear" w:pos="720"/>
        </w:tabs>
        <w:suppressAutoHyphens/>
        <w:ind w:left="714" w:hanging="357"/>
        <w:rPr>
          <w:kern w:val="22"/>
        </w:rPr>
      </w:pPr>
      <w:r w:rsidRPr="00FA3FC5">
        <w:rPr>
          <w:kern w:val="22"/>
        </w:rPr>
        <w:t>C.</w:t>
      </w:r>
      <w:r w:rsidRPr="00FA3FC5">
        <w:rPr>
          <w:kern w:val="22"/>
        </w:rPr>
        <w:tab/>
      </w:r>
      <w:r w:rsidR="00C55A3F" w:rsidRPr="00FA3FC5">
        <w:rPr>
          <w:kern w:val="22"/>
        </w:rPr>
        <w:t>Enhancing knowledge organization and sharing</w:t>
      </w:r>
    </w:p>
    <w:p w14:paraId="64A95400" w14:textId="6F834DAD" w:rsidR="00C55A3F" w:rsidRPr="00FA3FC5" w:rsidRDefault="00360081" w:rsidP="007472B3">
      <w:pPr>
        <w:pStyle w:val="Para1"/>
        <w:numPr>
          <w:ilvl w:val="0"/>
          <w:numId w:val="0"/>
        </w:numPr>
        <w:suppressLineNumbers/>
        <w:suppressAutoHyphens/>
        <w:rPr>
          <w:kern w:val="22"/>
          <w:szCs w:val="22"/>
        </w:rPr>
      </w:pPr>
      <w:r w:rsidRPr="00FA3FC5">
        <w:rPr>
          <w:kern w:val="22"/>
          <w:szCs w:val="22"/>
        </w:rPr>
        <w:t>28.</w:t>
      </w:r>
      <w:r w:rsidRPr="00FA3FC5">
        <w:rPr>
          <w:kern w:val="22"/>
          <w:szCs w:val="22"/>
        </w:rPr>
        <w:tab/>
      </w:r>
      <w:r w:rsidR="00C55A3F" w:rsidRPr="00FA3FC5">
        <w:rPr>
          <w:kern w:val="22"/>
          <w:szCs w:val="22"/>
        </w:rPr>
        <w:t xml:space="preserve">The knowledge generated or collected must be organized, </w:t>
      </w:r>
      <w:proofErr w:type="gramStart"/>
      <w:r w:rsidR="00C55A3F" w:rsidRPr="00FA3FC5">
        <w:rPr>
          <w:kern w:val="22"/>
          <w:szCs w:val="22"/>
        </w:rPr>
        <w:t>catalogued</w:t>
      </w:r>
      <w:proofErr w:type="gramEnd"/>
      <w:r w:rsidR="00C55A3F" w:rsidRPr="00FA3FC5">
        <w:rPr>
          <w:kern w:val="22"/>
          <w:szCs w:val="22"/>
        </w:rPr>
        <w:t xml:space="preserve"> and mapped using appropriate metadata and descriptors for easy searchability, accessibility and retrieval. Key players, such as GBIF, GEO</w:t>
      </w:r>
      <w:r w:rsidR="00726A7A">
        <w:rPr>
          <w:kern w:val="22"/>
          <w:szCs w:val="22"/>
        </w:rPr>
        <w:noBreakHyphen/>
      </w:r>
      <w:r w:rsidR="00C55A3F" w:rsidRPr="00FA3FC5">
        <w:rPr>
          <w:kern w:val="22"/>
          <w:szCs w:val="22"/>
        </w:rPr>
        <w:t xml:space="preserve">BON, </w:t>
      </w:r>
      <w:proofErr w:type="spellStart"/>
      <w:r w:rsidR="00C55A3F" w:rsidRPr="00FA3FC5">
        <w:rPr>
          <w:kern w:val="22"/>
          <w:szCs w:val="22"/>
        </w:rPr>
        <w:t>InforMEA</w:t>
      </w:r>
      <w:proofErr w:type="spellEnd"/>
      <w:r w:rsidR="00C55A3F" w:rsidRPr="00FA3FC5">
        <w:rPr>
          <w:kern w:val="22"/>
          <w:szCs w:val="22"/>
        </w:rPr>
        <w:t xml:space="preserve"> and UNEP-WCMC, have developed standards that can be further elaborated and shared. Increasing access to information can be addressed by ensuring full and complete metadata tagging, including subject tagging of knowledge objects. Consistent use of shared terminology increases findability, as does full-text indexing. Increasing the interoperability of search systems and standardization and the use of common descriptors will allow for better findability of information.</w:t>
      </w:r>
    </w:p>
    <w:p w14:paraId="4F086C26" w14:textId="31329D35" w:rsidR="00C55A3F" w:rsidRPr="00FA3FC5" w:rsidRDefault="00360081" w:rsidP="007472B3">
      <w:pPr>
        <w:pStyle w:val="Para1"/>
        <w:numPr>
          <w:ilvl w:val="0"/>
          <w:numId w:val="0"/>
        </w:numPr>
        <w:suppressLineNumbers/>
        <w:suppressAutoHyphens/>
        <w:rPr>
          <w:kern w:val="22"/>
          <w:szCs w:val="22"/>
        </w:rPr>
      </w:pPr>
      <w:r w:rsidRPr="00FA3FC5">
        <w:rPr>
          <w:kern w:val="22"/>
          <w:szCs w:val="22"/>
        </w:rPr>
        <w:t>29.</w:t>
      </w:r>
      <w:r w:rsidRPr="00FA3FC5">
        <w:rPr>
          <w:kern w:val="22"/>
          <w:szCs w:val="22"/>
        </w:rPr>
        <w:tab/>
      </w:r>
      <w:r w:rsidR="00C55A3F" w:rsidRPr="00FA3FC5">
        <w:rPr>
          <w:kern w:val="22"/>
          <w:szCs w:val="22"/>
        </w:rPr>
        <w:t xml:space="preserve">While there are many existing collections of biodiversity data, </w:t>
      </w:r>
      <w:proofErr w:type="gramStart"/>
      <w:r w:rsidR="00C55A3F" w:rsidRPr="00FA3FC5">
        <w:rPr>
          <w:kern w:val="22"/>
          <w:szCs w:val="22"/>
        </w:rPr>
        <w:t>information</w:t>
      </w:r>
      <w:proofErr w:type="gramEnd"/>
      <w:r w:rsidR="00C55A3F" w:rsidRPr="00FA3FC5">
        <w:rPr>
          <w:kern w:val="22"/>
          <w:szCs w:val="22"/>
        </w:rPr>
        <w:t xml:space="preserve"> and knowledge, finding and sharing them remains difficult. In addition, not all information is made available in an open-access manner, making it difficult for all stakeholders, most especially for those in developing countries to access and use it. Further work is needed to make it easier for users to find and access available information and knowledge in comprehensible formats. The latter could be achieved by taking advantage of modern technologies to enhance data, information and knowledge integration and visualization of search results. Following international standards and best practices, biodiversity-related convention secretariats have developed a variety of “common formats” that are used to describe frequently collected information.</w:t>
      </w:r>
    </w:p>
    <w:p w14:paraId="1129DA14" w14:textId="56E52E6B" w:rsidR="00C55A3F" w:rsidRPr="00FA3FC5" w:rsidRDefault="00360081" w:rsidP="00FE0CDA">
      <w:pPr>
        <w:pStyle w:val="Heading2"/>
        <w:suppressLineNumbers/>
        <w:tabs>
          <w:tab w:val="clear" w:pos="720"/>
        </w:tabs>
        <w:suppressAutoHyphens/>
        <w:spacing w:after="0"/>
        <w:ind w:left="714" w:hanging="357"/>
        <w:rPr>
          <w:kern w:val="22"/>
        </w:rPr>
      </w:pPr>
      <w:r w:rsidRPr="00FA3FC5">
        <w:rPr>
          <w:kern w:val="22"/>
        </w:rPr>
        <w:t>D.</w:t>
      </w:r>
      <w:r w:rsidRPr="00FA3FC5">
        <w:rPr>
          <w:kern w:val="22"/>
        </w:rPr>
        <w:tab/>
      </w:r>
      <w:r w:rsidR="00C55A3F" w:rsidRPr="00FA3FC5">
        <w:rPr>
          <w:kern w:val="22"/>
        </w:rPr>
        <w:t>Promoting the effective use and application of knowledge</w:t>
      </w:r>
    </w:p>
    <w:p w14:paraId="0D9FF6CD" w14:textId="6CA6D278" w:rsidR="00C55A3F" w:rsidRPr="00FA3FC5" w:rsidRDefault="00360081" w:rsidP="00BF3163">
      <w:pPr>
        <w:pStyle w:val="Para1"/>
        <w:numPr>
          <w:ilvl w:val="0"/>
          <w:numId w:val="0"/>
        </w:numPr>
        <w:suppressLineNumbers/>
        <w:suppressAutoHyphens/>
        <w:rPr>
          <w:kern w:val="22"/>
          <w:szCs w:val="22"/>
        </w:rPr>
      </w:pPr>
      <w:r w:rsidRPr="00FA3FC5">
        <w:rPr>
          <w:kern w:val="22"/>
          <w:szCs w:val="22"/>
        </w:rPr>
        <w:t>30.</w:t>
      </w:r>
      <w:r w:rsidRPr="00FA3FC5">
        <w:rPr>
          <w:kern w:val="22"/>
          <w:szCs w:val="22"/>
        </w:rPr>
        <w:tab/>
      </w:r>
      <w:r w:rsidR="00C55A3F" w:rsidRPr="00FA3FC5">
        <w:rPr>
          <w:kern w:val="22"/>
          <w:szCs w:val="22"/>
        </w:rPr>
        <w:t xml:space="preserve">As noted above, collectively, Governments, organizations and other stakeholders have a wealth of biodiversity data, information and knowledge stored in databases, </w:t>
      </w:r>
      <w:proofErr w:type="gramStart"/>
      <w:r w:rsidR="00C55A3F" w:rsidRPr="00FA3FC5">
        <w:rPr>
          <w:kern w:val="22"/>
          <w:szCs w:val="22"/>
        </w:rPr>
        <w:t>libraries</w:t>
      </w:r>
      <w:proofErr w:type="gramEnd"/>
      <w:r w:rsidR="00C55A3F" w:rsidRPr="00FA3FC5">
        <w:rPr>
          <w:kern w:val="22"/>
          <w:szCs w:val="22"/>
        </w:rPr>
        <w:t xml:space="preserve"> and other repositories. However, this wealth of data is only of value if it is shared and effectively used to support biodiversity planning, policy development, decision-making, implementation, monitoring, review and reporting processes.</w:t>
      </w:r>
    </w:p>
    <w:p w14:paraId="4CCBDF87" w14:textId="2E1EBF8A" w:rsidR="00C55A3F" w:rsidRPr="00FA3FC5" w:rsidRDefault="00360081" w:rsidP="00BF3163">
      <w:pPr>
        <w:pStyle w:val="Para1"/>
        <w:numPr>
          <w:ilvl w:val="0"/>
          <w:numId w:val="0"/>
        </w:numPr>
        <w:suppressLineNumbers/>
        <w:suppressAutoHyphens/>
        <w:rPr>
          <w:kern w:val="22"/>
          <w:szCs w:val="22"/>
        </w:rPr>
      </w:pPr>
      <w:r w:rsidRPr="00FA3FC5">
        <w:rPr>
          <w:kern w:val="22"/>
          <w:szCs w:val="22"/>
        </w:rPr>
        <w:t>31.</w:t>
      </w:r>
      <w:r w:rsidRPr="00FA3FC5">
        <w:rPr>
          <w:kern w:val="22"/>
          <w:szCs w:val="22"/>
        </w:rPr>
        <w:tab/>
      </w:r>
      <w:r w:rsidR="00C55A3F" w:rsidRPr="00FA3FC5">
        <w:rPr>
          <w:kern w:val="22"/>
          <w:szCs w:val="22"/>
        </w:rPr>
        <w:t xml:space="preserve">Various initiatives, such as IPBES and the Connect Project, have made progress in providing support for Governments and stakeholders to integrate biodiversity data into decision-making. The objective of the Connect Project is to ensure that biodiversity is </w:t>
      </w:r>
      <w:proofErr w:type="gramStart"/>
      <w:r w:rsidR="00C55A3F" w:rsidRPr="00FA3FC5">
        <w:rPr>
          <w:kern w:val="22"/>
          <w:szCs w:val="22"/>
        </w:rPr>
        <w:t>taken into account</w:t>
      </w:r>
      <w:proofErr w:type="gramEnd"/>
      <w:r w:rsidR="00C55A3F" w:rsidRPr="00FA3FC5">
        <w:rPr>
          <w:kern w:val="22"/>
          <w:szCs w:val="22"/>
        </w:rPr>
        <w:t xml:space="preserve"> in decision-making across government sectors by improving development decision makers’ access to and use of biodiversity information and embedding biodiversity information within national development decision</w:t>
      </w:r>
      <w:r w:rsidR="00C55A3F" w:rsidRPr="00FA3FC5">
        <w:rPr>
          <w:kern w:val="22"/>
          <w:szCs w:val="22"/>
        </w:rPr>
        <w:noBreakHyphen/>
        <w:t xml:space="preserve">making processes. Such </w:t>
      </w:r>
      <w:r w:rsidR="00C55A3F" w:rsidRPr="00FA3FC5">
        <w:rPr>
          <w:kern w:val="22"/>
          <w:szCs w:val="22"/>
        </w:rPr>
        <w:lastRenderedPageBreak/>
        <w:t>initiatives need to promote contextualization and utilization of existing information knowledge to support policy, planning, decision-making, implementation, monitoring and reporting.</w:t>
      </w:r>
    </w:p>
    <w:p w14:paraId="444B1BB4" w14:textId="14AE724F" w:rsidR="00C55A3F" w:rsidRPr="00FA3FC5" w:rsidRDefault="00360081" w:rsidP="00FE0CDA">
      <w:pPr>
        <w:pStyle w:val="Heading2"/>
        <w:suppressLineNumbers/>
        <w:tabs>
          <w:tab w:val="clear" w:pos="720"/>
        </w:tabs>
        <w:suppressAutoHyphens/>
        <w:ind w:left="714" w:hanging="357"/>
        <w:rPr>
          <w:kern w:val="22"/>
        </w:rPr>
      </w:pPr>
      <w:bookmarkStart w:id="10" w:name="_Toc39228096"/>
      <w:r w:rsidRPr="00FA3FC5">
        <w:rPr>
          <w:kern w:val="22"/>
        </w:rPr>
        <w:t>E.</w:t>
      </w:r>
      <w:r w:rsidRPr="00FA3FC5">
        <w:rPr>
          <w:kern w:val="22"/>
        </w:rPr>
        <w:tab/>
      </w:r>
      <w:r w:rsidR="00C55A3F" w:rsidRPr="00FA3FC5">
        <w:rPr>
          <w:kern w:val="22"/>
        </w:rPr>
        <w:t>Conducting knowledge audits and review</w:t>
      </w:r>
      <w:bookmarkEnd w:id="10"/>
      <w:r w:rsidR="00C55A3F" w:rsidRPr="00FA3FC5">
        <w:rPr>
          <w:kern w:val="22"/>
        </w:rPr>
        <w:t>s</w:t>
      </w:r>
    </w:p>
    <w:p w14:paraId="1072A42E" w14:textId="0D3A67D8" w:rsidR="00C55A3F" w:rsidRPr="00FA3FC5" w:rsidRDefault="00360081" w:rsidP="00BF3163">
      <w:pPr>
        <w:pStyle w:val="Para1"/>
        <w:numPr>
          <w:ilvl w:val="0"/>
          <w:numId w:val="0"/>
        </w:numPr>
        <w:suppressLineNumbers/>
        <w:suppressAutoHyphens/>
        <w:rPr>
          <w:kern w:val="22"/>
          <w:szCs w:val="22"/>
        </w:rPr>
      </w:pPr>
      <w:r w:rsidRPr="00FA3FC5">
        <w:rPr>
          <w:kern w:val="22"/>
          <w:szCs w:val="22"/>
        </w:rPr>
        <w:t>32.</w:t>
      </w:r>
      <w:r w:rsidRPr="00FA3FC5">
        <w:rPr>
          <w:kern w:val="22"/>
          <w:szCs w:val="22"/>
        </w:rPr>
        <w:tab/>
      </w:r>
      <w:r w:rsidR="00C55A3F" w:rsidRPr="00FA3FC5">
        <w:rPr>
          <w:kern w:val="22"/>
        </w:rPr>
        <w:t xml:space="preserve">Knowledge audits and reviews will be conducted periodically to assess how the knowledge management component is contributing to the achievement of the goals and targets of the post-2020 global biodiversity framework, to identify knowledge gaps and improve national planning and priority setting, while considering global priorities. Different methods, including the strengths, weaknesses, </w:t>
      </w:r>
      <w:proofErr w:type="gramStart"/>
      <w:r w:rsidR="00C55A3F" w:rsidRPr="00FA3FC5">
        <w:rPr>
          <w:kern w:val="22"/>
        </w:rPr>
        <w:t>opportunities</w:t>
      </w:r>
      <w:proofErr w:type="gramEnd"/>
      <w:r w:rsidR="00C55A3F" w:rsidRPr="00FA3FC5">
        <w:rPr>
          <w:kern w:val="22"/>
        </w:rPr>
        <w:t xml:space="preserve"> and threats (SWOT) analysis, will be used, as appropriate</w:t>
      </w:r>
      <w:r w:rsidR="00C55A3F" w:rsidRPr="00FA3FC5">
        <w:rPr>
          <w:kern w:val="22"/>
          <w:szCs w:val="22"/>
        </w:rPr>
        <w:t>.</w:t>
      </w:r>
    </w:p>
    <w:p w14:paraId="19113FBF" w14:textId="77777777" w:rsidR="00C55A3F" w:rsidRPr="00FA3FC5" w:rsidRDefault="00C55A3F" w:rsidP="00C55A3F">
      <w:pPr>
        <w:pStyle w:val="Heading1"/>
        <w:suppressLineNumbers/>
        <w:tabs>
          <w:tab w:val="clear" w:pos="720"/>
          <w:tab w:val="left" w:pos="426"/>
        </w:tabs>
        <w:suppressAutoHyphens/>
        <w:spacing w:before="120"/>
        <w:rPr>
          <w:rFonts w:ascii="Times New Roman Bold" w:hAnsi="Times New Roman Bold"/>
          <w:bCs/>
          <w:caps w:val="0"/>
          <w:kern w:val="22"/>
        </w:rPr>
      </w:pPr>
      <w:r w:rsidRPr="00FA3FC5">
        <w:rPr>
          <w:rFonts w:ascii="Times New Roman Bold" w:hAnsi="Times New Roman Bold"/>
          <w:bCs/>
          <w:caps w:val="0"/>
          <w:kern w:val="22"/>
        </w:rPr>
        <w:t>IV.</w:t>
      </w:r>
      <w:r w:rsidRPr="00FA3FC5">
        <w:rPr>
          <w:rFonts w:ascii="Times New Roman Bold" w:hAnsi="Times New Roman Bold"/>
          <w:bCs/>
          <w:caps w:val="0"/>
          <w:kern w:val="22"/>
        </w:rPr>
        <w:tab/>
        <w:t>IMPLEMENTATION OF THE KNOWLEDGE MANAGEMENT COMPONENT</w:t>
      </w:r>
    </w:p>
    <w:p w14:paraId="45C73D5B" w14:textId="5EC6D731" w:rsidR="00C55A3F" w:rsidRPr="00FA3FC5" w:rsidRDefault="00360081" w:rsidP="00BF3163">
      <w:pPr>
        <w:pStyle w:val="Para1"/>
        <w:numPr>
          <w:ilvl w:val="0"/>
          <w:numId w:val="0"/>
        </w:numPr>
        <w:suppressLineNumbers/>
        <w:tabs>
          <w:tab w:val="left" w:pos="720"/>
        </w:tabs>
        <w:suppressAutoHyphens/>
        <w:rPr>
          <w:kern w:val="22"/>
          <w:szCs w:val="22"/>
        </w:rPr>
      </w:pPr>
      <w:r w:rsidRPr="00FA3FC5">
        <w:rPr>
          <w:kern w:val="22"/>
          <w:szCs w:val="22"/>
        </w:rPr>
        <w:t>33.</w:t>
      </w:r>
      <w:r w:rsidRPr="00FA3FC5">
        <w:rPr>
          <w:kern w:val="22"/>
          <w:szCs w:val="22"/>
        </w:rPr>
        <w:tab/>
      </w:r>
      <w:r w:rsidR="00C55A3F" w:rsidRPr="00FA3FC5">
        <w:rPr>
          <w:kern w:val="22"/>
        </w:rPr>
        <w:t xml:space="preserve">The knowledge management component will be operationalized by Governments and relevant stakeholders in line with their strategic priorities to implement the post-2020 global biodiversity framework. Possible actions to facilitate the implementation of this component are presented in annex II. These build on the key actions for enhancing synergies and cooperation among the biodiversity-related conventions and international organizations in the area of information and knowledge management identified in decision </w:t>
      </w:r>
      <w:hyperlink r:id="rId22" w:history="1">
        <w:r w:rsidR="00C55A3F" w:rsidRPr="00FA3FC5">
          <w:rPr>
            <w:rStyle w:val="Hyperlink"/>
            <w:kern w:val="22"/>
            <w:sz w:val="22"/>
          </w:rPr>
          <w:t>XIII/24</w:t>
        </w:r>
      </w:hyperlink>
      <w:r w:rsidR="00C55A3F" w:rsidRPr="00FA3FC5">
        <w:rPr>
          <w:kern w:val="22"/>
        </w:rPr>
        <w:t>. Those actions will be implemented in manner complementary to the long-term strategic framework for capacity</w:t>
      </w:r>
      <w:r w:rsidR="00A10CA5">
        <w:rPr>
          <w:kern w:val="22"/>
        </w:rPr>
        <w:t>-building and</w:t>
      </w:r>
      <w:r w:rsidR="00C55A3F" w:rsidRPr="00FA3FC5">
        <w:rPr>
          <w:kern w:val="22"/>
        </w:rPr>
        <w:t xml:space="preserve"> development, the proposals to strengthen technical and scientific cooperation, the framework for a global communications strategy, the data strategy for the Secretariat of the Convention on Biological Diversity and the </w:t>
      </w:r>
      <w:r w:rsidR="00C55A3F" w:rsidRPr="00FA3FC5">
        <w:rPr>
          <w:kern w:val="22"/>
          <w:szCs w:val="22"/>
        </w:rPr>
        <w:t>enhanced planning, reporting and review mechanism</w:t>
      </w:r>
      <w:r w:rsidR="00C55A3F" w:rsidRPr="00FA3FC5">
        <w:rPr>
          <w:kern w:val="22"/>
        </w:rPr>
        <w:t xml:space="preserve"> of the post-2020 global biodiversity framework.</w:t>
      </w:r>
    </w:p>
    <w:p w14:paraId="0789A407" w14:textId="102461C1" w:rsidR="00C55A3F" w:rsidRPr="00FA3FC5" w:rsidRDefault="00360081" w:rsidP="00BF3163">
      <w:pPr>
        <w:pStyle w:val="Para1"/>
        <w:numPr>
          <w:ilvl w:val="0"/>
          <w:numId w:val="0"/>
        </w:numPr>
        <w:suppressLineNumbers/>
        <w:tabs>
          <w:tab w:val="left" w:pos="720"/>
        </w:tabs>
        <w:suppressAutoHyphens/>
        <w:rPr>
          <w:kern w:val="22"/>
          <w:szCs w:val="22"/>
        </w:rPr>
      </w:pPr>
      <w:r w:rsidRPr="00FA3FC5">
        <w:rPr>
          <w:kern w:val="22"/>
          <w:szCs w:val="22"/>
        </w:rPr>
        <w:t>34.</w:t>
      </w:r>
      <w:r w:rsidRPr="00FA3FC5">
        <w:rPr>
          <w:kern w:val="22"/>
          <w:szCs w:val="22"/>
        </w:rPr>
        <w:tab/>
      </w:r>
      <w:r w:rsidR="00C55A3F" w:rsidRPr="00FA3FC5">
        <w:rPr>
          <w:kern w:val="22"/>
        </w:rPr>
        <w:t xml:space="preserve">Enhanced knowledge management will require effective collaboration, cooperation and coordination among Governments and relevant organizations in biodiversity data, </w:t>
      </w:r>
      <w:proofErr w:type="gramStart"/>
      <w:r w:rsidR="00C55A3F" w:rsidRPr="00FA3FC5">
        <w:rPr>
          <w:kern w:val="22"/>
        </w:rPr>
        <w:t>information</w:t>
      </w:r>
      <w:proofErr w:type="gramEnd"/>
      <w:r w:rsidR="00C55A3F" w:rsidRPr="00FA3FC5">
        <w:rPr>
          <w:kern w:val="22"/>
        </w:rPr>
        <w:t xml:space="preserve"> and knowledge processes. It may also require input and support from relevant institutional bodies and mechanisms to Governments and other key actors (including knowledge creators, managers, brokers, </w:t>
      </w:r>
      <w:proofErr w:type="gramStart"/>
      <w:r w:rsidR="00C55A3F" w:rsidRPr="00FA3FC5">
        <w:rPr>
          <w:kern w:val="22"/>
        </w:rPr>
        <w:t>practitioners</w:t>
      </w:r>
      <w:proofErr w:type="gramEnd"/>
      <w:r w:rsidR="00C55A3F" w:rsidRPr="00FA3FC5">
        <w:rPr>
          <w:kern w:val="22"/>
        </w:rPr>
        <w:t xml:space="preserve"> and users) involved. Such support could be provided, as appropriate, by:</w:t>
      </w:r>
    </w:p>
    <w:p w14:paraId="46665D76" w14:textId="1B47D21F" w:rsidR="00C55A3F" w:rsidRPr="00FA3FC5" w:rsidRDefault="00360081" w:rsidP="00BF316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(a)</w:t>
      </w:r>
      <w:r w:rsidRPr="00FA3FC5">
        <w:rPr>
          <w:kern w:val="22"/>
          <w:lang w:val="en-GB"/>
        </w:rPr>
        <w:tab/>
      </w:r>
      <w:r w:rsidR="00C55A3F" w:rsidRPr="00FA3FC5">
        <w:rPr>
          <w:kern w:val="22"/>
          <w:lang w:val="en-GB"/>
        </w:rPr>
        <w:t xml:space="preserve">Existing advisory committees, such as the Steering Committee of the MEA Information and Knowledge Management Initiative led by </w:t>
      </w:r>
      <w:r w:rsidR="00E5325F">
        <w:rPr>
          <w:kern w:val="22"/>
          <w:lang w:val="en-GB"/>
        </w:rPr>
        <w:t>the United Nations Environment Programme (UNEP</w:t>
      </w:r>
      <w:proofErr w:type="gramStart"/>
      <w:r w:rsidR="00E5325F">
        <w:rPr>
          <w:kern w:val="22"/>
          <w:lang w:val="en-GB"/>
        </w:rPr>
        <w:t>)</w:t>
      </w:r>
      <w:r w:rsidR="00C55A3F" w:rsidRPr="00FA3FC5">
        <w:rPr>
          <w:kern w:val="22"/>
          <w:lang w:val="en-GB"/>
        </w:rPr>
        <w:t>;</w:t>
      </w:r>
      <w:proofErr w:type="gramEnd"/>
    </w:p>
    <w:p w14:paraId="601C4531" w14:textId="4F00FB35" w:rsidR="00C55A3F" w:rsidRPr="00FA3FC5" w:rsidRDefault="00360081" w:rsidP="00BF316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(b)</w:t>
      </w:r>
      <w:r w:rsidRPr="00FA3FC5">
        <w:rPr>
          <w:kern w:val="22"/>
          <w:lang w:val="en-GB"/>
        </w:rPr>
        <w:tab/>
      </w:r>
      <w:r w:rsidR="00C55A3F" w:rsidRPr="00FA3FC5">
        <w:rPr>
          <w:kern w:val="22"/>
          <w:lang w:val="en-GB"/>
        </w:rPr>
        <w:t>Advisory groups, such as the Informal Advisory Group on Technical and Scientific Cooperation</w:t>
      </w:r>
      <w:r w:rsidR="00C55A3F" w:rsidRPr="00FA3FC5">
        <w:rPr>
          <w:rStyle w:val="FootnoteReference"/>
          <w:kern w:val="22"/>
          <w:lang w:val="en-GB"/>
        </w:rPr>
        <w:footnoteReference w:id="25"/>
      </w:r>
      <w:r w:rsidR="00C55A3F" w:rsidRPr="00FA3FC5">
        <w:rPr>
          <w:kern w:val="22"/>
          <w:lang w:val="en-GB"/>
        </w:rPr>
        <w:t xml:space="preserve"> to be established pursuant to decision </w:t>
      </w:r>
      <w:hyperlink r:id="rId23" w:history="1">
        <w:r w:rsidR="00C55A3F" w:rsidRPr="00FA3FC5">
          <w:rPr>
            <w:rStyle w:val="Hyperlink"/>
            <w:kern w:val="22"/>
            <w:sz w:val="22"/>
            <w:lang w:val="en-GB"/>
          </w:rPr>
          <w:t>14/24 B</w:t>
        </w:r>
      </w:hyperlink>
      <w:r w:rsidR="00C55A3F" w:rsidRPr="00FA3FC5">
        <w:rPr>
          <w:kern w:val="22"/>
          <w:lang w:val="en-GB"/>
        </w:rPr>
        <w:t>, paragraph </w:t>
      </w:r>
      <w:proofErr w:type="gramStart"/>
      <w:r w:rsidR="00C55A3F" w:rsidRPr="00FA3FC5">
        <w:rPr>
          <w:kern w:val="22"/>
          <w:lang w:val="en-GB"/>
        </w:rPr>
        <w:t>5;</w:t>
      </w:r>
      <w:proofErr w:type="gramEnd"/>
    </w:p>
    <w:p w14:paraId="37975406" w14:textId="0BAB8B05" w:rsidR="00C55A3F" w:rsidRPr="00FA3FC5" w:rsidRDefault="00360081" w:rsidP="00BF316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(c)</w:t>
      </w:r>
      <w:r w:rsidRPr="00FA3FC5">
        <w:rPr>
          <w:kern w:val="22"/>
          <w:lang w:val="en-GB"/>
        </w:rPr>
        <w:tab/>
      </w:r>
      <w:r w:rsidR="00C55A3F" w:rsidRPr="00FA3FC5">
        <w:rPr>
          <w:kern w:val="22"/>
          <w:lang w:val="en-GB"/>
        </w:rPr>
        <w:t>Informal networks, such as the Alliance for Biodiversity Knowledge,</w:t>
      </w:r>
      <w:r w:rsidR="00C55A3F" w:rsidRPr="00FA3FC5">
        <w:rPr>
          <w:rStyle w:val="FootnoteReference"/>
          <w:kern w:val="22"/>
          <w:lang w:val="en-GB"/>
        </w:rPr>
        <w:footnoteReference w:id="26"/>
      </w:r>
      <w:r w:rsidR="00C55A3F" w:rsidRPr="00FA3FC5">
        <w:rPr>
          <w:kern w:val="22"/>
          <w:lang w:val="en-GB"/>
        </w:rPr>
        <w:t xml:space="preserve"> which brings together stakeholders working on the collection, curation or sharing of biodiversity data, information and </w:t>
      </w:r>
      <w:proofErr w:type="gramStart"/>
      <w:r w:rsidR="00C55A3F" w:rsidRPr="00FA3FC5">
        <w:rPr>
          <w:kern w:val="22"/>
          <w:lang w:val="en-GB"/>
        </w:rPr>
        <w:t>knowledge;</w:t>
      </w:r>
      <w:proofErr w:type="gramEnd"/>
    </w:p>
    <w:p w14:paraId="437F413F" w14:textId="67BAFDE8" w:rsidR="00C55A3F" w:rsidRPr="00FA3FC5" w:rsidRDefault="00360081" w:rsidP="00BF316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(d)</w:t>
      </w:r>
      <w:r w:rsidRPr="00FA3FC5">
        <w:rPr>
          <w:kern w:val="22"/>
          <w:lang w:val="en-GB"/>
        </w:rPr>
        <w:tab/>
      </w:r>
      <w:r w:rsidR="00C55A3F" w:rsidRPr="00FA3FC5">
        <w:rPr>
          <w:kern w:val="22"/>
          <w:lang w:val="en-GB"/>
        </w:rPr>
        <w:t xml:space="preserve">The expanded Biodiversity Indicators Partnership (BIP) which will include more users and foster collaboration with the United Nations Statistical </w:t>
      </w:r>
      <w:proofErr w:type="gramStart"/>
      <w:r w:rsidR="00C55A3F" w:rsidRPr="00FA3FC5">
        <w:rPr>
          <w:kern w:val="22"/>
          <w:lang w:val="en-GB"/>
        </w:rPr>
        <w:t>Commission;</w:t>
      </w:r>
      <w:proofErr w:type="gramEnd"/>
    </w:p>
    <w:p w14:paraId="03F6EA47" w14:textId="0B1CB791" w:rsidR="00C55A3F" w:rsidRPr="00FA3FC5" w:rsidRDefault="00360081" w:rsidP="00BF3163">
      <w:pPr>
        <w:pStyle w:val="CBD-Para-a"/>
        <w:keepLines w:val="0"/>
        <w:numPr>
          <w:ilvl w:val="0"/>
          <w:numId w:val="0"/>
        </w:numPr>
        <w:suppressLineNumbers/>
        <w:tabs>
          <w:tab w:val="clear" w:pos="2160"/>
          <w:tab w:val="left" w:pos="1276"/>
        </w:tabs>
        <w:suppressAutoHyphens/>
        <w:ind w:firstLine="720"/>
        <w:rPr>
          <w:kern w:val="22"/>
          <w:lang w:val="en-GB"/>
        </w:rPr>
      </w:pPr>
      <w:r w:rsidRPr="00FA3FC5">
        <w:rPr>
          <w:kern w:val="22"/>
          <w:lang w:val="en-GB"/>
        </w:rPr>
        <w:t>(e)</w:t>
      </w:r>
      <w:r w:rsidRPr="00FA3FC5">
        <w:rPr>
          <w:kern w:val="22"/>
          <w:lang w:val="en-GB"/>
        </w:rPr>
        <w:tab/>
      </w:r>
      <w:r w:rsidR="00C55A3F" w:rsidRPr="00FA3FC5">
        <w:rPr>
          <w:kern w:val="22"/>
          <w:lang w:val="en-GB"/>
        </w:rPr>
        <w:t>An informal coalition or partnership involving relevant organizations, such as UNEP, the United Nations Development Programme (UNDP), the Global Biodiversity Information Facility (GBIF), and GEO BON.</w:t>
      </w:r>
    </w:p>
    <w:p w14:paraId="328657D9" w14:textId="516E2F63" w:rsidR="00C55A3F" w:rsidRPr="00FA3FC5" w:rsidRDefault="00360081" w:rsidP="00BF3163">
      <w:pPr>
        <w:pStyle w:val="Para1"/>
        <w:numPr>
          <w:ilvl w:val="0"/>
          <w:numId w:val="0"/>
        </w:numPr>
        <w:suppressLineNumbers/>
        <w:tabs>
          <w:tab w:val="left" w:pos="720"/>
        </w:tabs>
        <w:suppressAutoHyphens/>
        <w:rPr>
          <w:kern w:val="22"/>
          <w:szCs w:val="22"/>
        </w:rPr>
      </w:pPr>
      <w:r w:rsidRPr="00FA3FC5">
        <w:rPr>
          <w:kern w:val="22"/>
          <w:szCs w:val="22"/>
        </w:rPr>
        <w:t>35.</w:t>
      </w:r>
      <w:r w:rsidRPr="00FA3FC5">
        <w:rPr>
          <w:kern w:val="22"/>
          <w:szCs w:val="22"/>
        </w:rPr>
        <w:tab/>
      </w:r>
      <w:r w:rsidR="00C55A3F" w:rsidRPr="00FA3FC5">
        <w:rPr>
          <w:kern w:val="22"/>
          <w:szCs w:val="22"/>
        </w:rPr>
        <w:t>Relevant</w:t>
      </w:r>
      <w:r w:rsidR="00C55A3F" w:rsidRPr="00FA3FC5">
        <w:rPr>
          <w:kern w:val="22"/>
        </w:rPr>
        <w:t xml:space="preserve"> k</w:t>
      </w:r>
      <w:r w:rsidR="00C55A3F" w:rsidRPr="00FA3FC5">
        <w:rPr>
          <w:kern w:val="22"/>
          <w:szCs w:val="22"/>
        </w:rPr>
        <w:t>nowledge management</w:t>
      </w:r>
      <w:r w:rsidR="00C55A3F" w:rsidRPr="00FA3FC5">
        <w:rPr>
          <w:kern w:val="22"/>
        </w:rPr>
        <w:t xml:space="preserve"> organizations, initiatives and processes will be leveraged to support the effective implementation of the knowledge management component of the post-2020 global biodiversity framework. An interactive online database of such organizations, initiatives and processes will be established to help foster coordination, collaboration and complementarity in the generation, collection, management, sharing and use of biodiversity-related data, </w:t>
      </w:r>
      <w:proofErr w:type="gramStart"/>
      <w:r w:rsidR="00C55A3F" w:rsidRPr="00FA3FC5">
        <w:rPr>
          <w:kern w:val="22"/>
        </w:rPr>
        <w:t>information</w:t>
      </w:r>
      <w:proofErr w:type="gramEnd"/>
      <w:r w:rsidR="00C55A3F" w:rsidRPr="00FA3FC5">
        <w:rPr>
          <w:kern w:val="22"/>
        </w:rPr>
        <w:t xml:space="preserve"> and knowledge</w:t>
      </w:r>
      <w:r w:rsidR="00C55A3F" w:rsidRPr="00FA3FC5">
        <w:rPr>
          <w:kern w:val="22"/>
          <w:szCs w:val="22"/>
        </w:rPr>
        <w:t>.</w:t>
      </w:r>
    </w:p>
    <w:p w14:paraId="66E4E032" w14:textId="77777777" w:rsidR="00C55A3F" w:rsidRPr="00FA3FC5" w:rsidRDefault="00C55A3F" w:rsidP="00C55A3F">
      <w:pPr>
        <w:pStyle w:val="Heading1"/>
        <w:suppressLineNumbers/>
        <w:tabs>
          <w:tab w:val="clear" w:pos="720"/>
          <w:tab w:val="left" w:pos="1134"/>
        </w:tabs>
        <w:suppressAutoHyphens/>
        <w:kinsoku w:val="0"/>
        <w:overflowPunct w:val="0"/>
        <w:autoSpaceDE w:val="0"/>
        <w:autoSpaceDN w:val="0"/>
        <w:spacing w:before="120"/>
        <w:ind w:left="720"/>
        <w:rPr>
          <w:rFonts w:ascii="Times New Roman Bold" w:hAnsi="Times New Roman Bold"/>
          <w:caps w:val="0"/>
          <w:kern w:val="22"/>
        </w:rPr>
      </w:pPr>
      <w:r w:rsidRPr="00FA3FC5">
        <w:rPr>
          <w:rFonts w:ascii="Times New Roman Bold" w:hAnsi="Times New Roman Bold"/>
          <w:caps w:val="0"/>
          <w:kern w:val="22"/>
        </w:rPr>
        <w:t>V.</w:t>
      </w:r>
      <w:r w:rsidRPr="00FA3FC5">
        <w:rPr>
          <w:rFonts w:ascii="Times New Roman Bold" w:hAnsi="Times New Roman Bold"/>
          <w:caps w:val="0"/>
          <w:kern w:val="22"/>
        </w:rPr>
        <w:tab/>
        <w:t>MONITORING AND REVIEW</w:t>
      </w:r>
    </w:p>
    <w:p w14:paraId="7579B920" w14:textId="2D54B4DF" w:rsidR="00C55A3F" w:rsidRPr="00FA3FC5" w:rsidRDefault="00BF3163" w:rsidP="00BF3163">
      <w:pPr>
        <w:pStyle w:val="Para1"/>
        <w:numPr>
          <w:ilvl w:val="0"/>
          <w:numId w:val="0"/>
        </w:numPr>
        <w:suppressLineNumbers/>
        <w:tabs>
          <w:tab w:val="left" w:pos="720"/>
        </w:tabs>
        <w:suppressAutoHyphens/>
        <w:sectPr w:rsidR="00C55A3F" w:rsidRPr="00FA3FC5" w:rsidSect="003671CC">
          <w:headerReference w:type="even" r:id="rId24"/>
          <w:headerReference w:type="default" r:id="rId25"/>
          <w:pgSz w:w="12240" w:h="15840"/>
          <w:pgMar w:top="567" w:right="1389" w:bottom="1134" w:left="1389" w:header="565" w:footer="709" w:gutter="0"/>
          <w:cols w:space="708"/>
          <w:titlePg/>
          <w:docGrid w:linePitch="360"/>
        </w:sectPr>
      </w:pPr>
      <w:r>
        <w:t>[</w:t>
      </w:r>
      <w:r w:rsidR="00360081" w:rsidRPr="00FA3FC5">
        <w:t>36.</w:t>
      </w:r>
      <w:r w:rsidR="00360081" w:rsidRPr="00FA3FC5">
        <w:tab/>
      </w:r>
      <w:r w:rsidR="00C55A3F" w:rsidRPr="00FA3FC5">
        <w:rPr>
          <w:kern w:val="22"/>
        </w:rPr>
        <w:t xml:space="preserve">The implementation of the knowledge management component will be monitored using the information provided by Parties in their national reports to the respective biodiversity-related conventions and by organizations through their voluntary submissions to the secretariats of the biodiversity-related </w:t>
      </w:r>
      <w:r w:rsidR="00C55A3F" w:rsidRPr="00FA3FC5">
        <w:rPr>
          <w:kern w:val="22"/>
        </w:rPr>
        <w:lastRenderedPageBreak/>
        <w:t xml:space="preserve">conventions. </w:t>
      </w:r>
      <w:bookmarkStart w:id="11" w:name="_Hlk49788243"/>
      <w:bookmarkStart w:id="12" w:name="_Hlk50341369"/>
      <w:r w:rsidR="00C55A3F" w:rsidRPr="00FA3FC5">
        <w:rPr>
          <w:kern w:val="22"/>
        </w:rPr>
        <w:t>A headline indicator for knowledge management will be included in the monitoring framework for the post-2020 global biodiversity framework</w:t>
      </w:r>
      <w:bookmarkStart w:id="13" w:name="_Hlk49788308"/>
      <w:bookmarkEnd w:id="11"/>
      <w:r w:rsidR="00C55A3F" w:rsidRPr="00FA3FC5">
        <w:rPr>
          <w:kern w:val="22"/>
        </w:rPr>
        <w:t xml:space="preserve">, and a complementary set of indicators </w:t>
      </w:r>
      <w:bookmarkEnd w:id="13"/>
      <w:r w:rsidR="00C55A3F" w:rsidRPr="00FA3FC5">
        <w:rPr>
          <w:kern w:val="22"/>
        </w:rPr>
        <w:t xml:space="preserve">which government and non-government actors can also adapt and use to monitor, assess and report on the outcomes and impact of their knowledge management efforts at the national and regional levels will be developed by the Secretariat in collaboration with experts and practitioners from Parties and relevant organizations. The information generated from the monitoring process will inform the review and updating of the </w:t>
      </w:r>
      <w:bookmarkEnd w:id="12"/>
      <w:r w:rsidR="00C55A3F" w:rsidRPr="00FA3FC5">
        <w:rPr>
          <w:kern w:val="22"/>
        </w:rPr>
        <w:t>knowledge management component, as appropriate, in 2030.]</w:t>
      </w:r>
    </w:p>
    <w:p w14:paraId="59BFEE18" w14:textId="47FF21AE" w:rsidR="00C55A3F" w:rsidRPr="00FA3FC5" w:rsidRDefault="00D35A05" w:rsidP="00C55A3F">
      <w:pPr>
        <w:keepNext/>
        <w:spacing w:after="120"/>
        <w:jc w:val="center"/>
        <w:rPr>
          <w:i/>
          <w:iCs/>
          <w:kern w:val="22"/>
        </w:rPr>
      </w:pPr>
      <w:r w:rsidRPr="00FA3FC5">
        <w:rPr>
          <w:i/>
          <w:iCs/>
          <w:kern w:val="22"/>
        </w:rPr>
        <w:lastRenderedPageBreak/>
        <w:t>Appendix</w:t>
      </w:r>
      <w:r w:rsidR="00C55A3F" w:rsidRPr="00FA3FC5">
        <w:rPr>
          <w:i/>
          <w:iCs/>
          <w:kern w:val="22"/>
        </w:rPr>
        <w:t xml:space="preserve"> I</w:t>
      </w:r>
    </w:p>
    <w:p w14:paraId="331DF718" w14:textId="77777777" w:rsidR="00C55A3F" w:rsidRPr="00FA3FC5" w:rsidRDefault="00C55A3F" w:rsidP="00C55A3F">
      <w:pPr>
        <w:keepNext/>
        <w:ind w:left="1440" w:right="1181"/>
        <w:jc w:val="center"/>
        <w:rPr>
          <w:b/>
          <w:bCs/>
          <w:kern w:val="22"/>
        </w:rPr>
      </w:pPr>
      <w:r w:rsidRPr="00FA3FC5">
        <w:rPr>
          <w:b/>
          <w:bCs/>
          <w:kern w:val="22"/>
        </w:rPr>
        <w:t>STRATEGIC ACTIONS TO ENHANCE KNOWLEDGE MANAGEMENT FOR THE EFFECTIVE IMPLEMENTATION OF THE POST-2020 GLOBAL BIODIVERSITY FRAMEWORK</w:t>
      </w:r>
    </w:p>
    <w:p w14:paraId="1F9D2E89" w14:textId="77777777" w:rsidR="00C55A3F" w:rsidRPr="00FA3FC5" w:rsidRDefault="00C55A3F" w:rsidP="00C55A3F">
      <w:pPr>
        <w:keepNext/>
        <w:jc w:val="left"/>
        <w:rPr>
          <w:kern w:val="2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207"/>
        <w:gridCol w:w="893"/>
        <w:gridCol w:w="1476"/>
      </w:tblGrid>
      <w:tr w:rsidR="00C55A3F" w:rsidRPr="00FA3FC5" w14:paraId="5F445FF4" w14:textId="77777777" w:rsidTr="00E80CEA">
        <w:trPr>
          <w:cantSplit/>
          <w:tblHeader/>
          <w:jc w:val="center"/>
        </w:trPr>
        <w:tc>
          <w:tcPr>
            <w:tcW w:w="1696" w:type="dxa"/>
            <w:tcBorders>
              <w:bottom w:val="nil"/>
            </w:tcBorders>
            <w:shd w:val="clear" w:color="auto" w:fill="auto"/>
            <w:vAlign w:val="center"/>
          </w:tcPr>
          <w:p w14:paraId="6C0EF6F0" w14:textId="77777777" w:rsidR="00C55A3F" w:rsidRPr="00FA3FC5" w:rsidRDefault="00C55A3F" w:rsidP="003671CC">
            <w:pPr>
              <w:keepNext/>
              <w:spacing w:before="60" w:after="60"/>
              <w:jc w:val="center"/>
              <w:rPr>
                <w:rFonts w:eastAsia="MS Mincho"/>
                <w:b/>
                <w:noProof/>
                <w:snapToGrid w:val="0"/>
                <w:spacing w:val="-12"/>
                <w:kern w:val="22"/>
                <w:sz w:val="21"/>
                <w:szCs w:val="21"/>
              </w:rPr>
            </w:pPr>
            <w:r w:rsidRPr="00FA3FC5">
              <w:rPr>
                <w:rFonts w:eastAsia="MS Mincho"/>
                <w:b/>
                <w:noProof/>
                <w:snapToGrid w:val="0"/>
                <w:spacing w:val="-12"/>
                <w:kern w:val="22"/>
                <w:sz w:val="21"/>
                <w:szCs w:val="21"/>
              </w:rPr>
              <w:t>Strategic area</w:t>
            </w:r>
          </w:p>
        </w:tc>
        <w:tc>
          <w:tcPr>
            <w:tcW w:w="5476" w:type="dxa"/>
            <w:tcBorders>
              <w:bottom w:val="nil"/>
            </w:tcBorders>
            <w:shd w:val="clear" w:color="auto" w:fill="auto"/>
            <w:vAlign w:val="center"/>
          </w:tcPr>
          <w:p w14:paraId="152445BC" w14:textId="77777777" w:rsidR="00C55A3F" w:rsidRPr="00FA3FC5" w:rsidRDefault="00C55A3F" w:rsidP="003671CC">
            <w:pPr>
              <w:keepNext/>
              <w:spacing w:before="60" w:after="60"/>
              <w:jc w:val="center"/>
              <w:rPr>
                <w:rFonts w:eastAsia="MS Mincho"/>
                <w:b/>
                <w:noProof/>
                <w:snapToGrid w:val="0"/>
                <w:kern w:val="22"/>
                <w:sz w:val="21"/>
                <w:szCs w:val="21"/>
              </w:rPr>
            </w:pPr>
            <w:r w:rsidRPr="00FA3FC5">
              <w:rPr>
                <w:rFonts w:eastAsia="MS Mincho"/>
                <w:b/>
                <w:noProof/>
                <w:snapToGrid w:val="0"/>
                <w:kern w:val="22"/>
                <w:sz w:val="21"/>
                <w:szCs w:val="21"/>
              </w:rPr>
              <w:t>Strategic action</w:t>
            </w:r>
          </w:p>
        </w:tc>
        <w:tc>
          <w:tcPr>
            <w:tcW w:w="893" w:type="dxa"/>
            <w:tcBorders>
              <w:bottom w:val="nil"/>
            </w:tcBorders>
            <w:vAlign w:val="center"/>
          </w:tcPr>
          <w:p w14:paraId="2B93EA2E" w14:textId="77777777" w:rsidR="00C55A3F" w:rsidRPr="00FA3FC5" w:rsidRDefault="00C55A3F" w:rsidP="003671CC">
            <w:pPr>
              <w:keepNext/>
              <w:spacing w:before="60" w:after="60"/>
              <w:jc w:val="center"/>
              <w:rPr>
                <w:rFonts w:eastAsia="MS Mincho"/>
                <w:b/>
                <w:noProof/>
                <w:snapToGrid w:val="0"/>
                <w:kern w:val="22"/>
                <w:sz w:val="21"/>
                <w:szCs w:val="21"/>
              </w:rPr>
            </w:pPr>
            <w:r w:rsidRPr="00FA3FC5">
              <w:rPr>
                <w:rFonts w:eastAsia="MS Mincho"/>
                <w:b/>
                <w:noProof/>
                <w:snapToGrid w:val="0"/>
                <w:kern w:val="22"/>
                <w:sz w:val="21"/>
                <w:szCs w:val="21"/>
              </w:rPr>
              <w:t>Time frame</w:t>
            </w:r>
            <w:r w:rsidRPr="00FA3FC5">
              <w:rPr>
                <w:rStyle w:val="FootnoteReference"/>
                <w:rFonts w:eastAsia="MS Mincho"/>
                <w:b/>
                <w:noProof/>
                <w:snapToGrid w:val="0"/>
                <w:kern w:val="22"/>
                <w:sz w:val="21"/>
                <w:szCs w:val="21"/>
              </w:rPr>
              <w:footnoteReference w:id="27"/>
            </w:r>
          </w:p>
        </w:tc>
        <w:tc>
          <w:tcPr>
            <w:tcW w:w="1476" w:type="dxa"/>
            <w:tcBorders>
              <w:bottom w:val="nil"/>
            </w:tcBorders>
            <w:shd w:val="clear" w:color="auto" w:fill="auto"/>
            <w:vAlign w:val="center"/>
          </w:tcPr>
          <w:p w14:paraId="648BB8FB" w14:textId="77777777" w:rsidR="00C55A3F" w:rsidRPr="00FA3FC5" w:rsidRDefault="00C55A3F" w:rsidP="003671CC">
            <w:pPr>
              <w:keepNext/>
              <w:spacing w:before="60" w:after="60"/>
              <w:jc w:val="center"/>
              <w:rPr>
                <w:rFonts w:eastAsia="MS Mincho"/>
                <w:b/>
                <w:noProof/>
                <w:snapToGrid w:val="0"/>
                <w:kern w:val="22"/>
                <w:sz w:val="21"/>
                <w:szCs w:val="21"/>
              </w:rPr>
            </w:pPr>
            <w:r w:rsidRPr="00FA3FC5">
              <w:rPr>
                <w:rFonts w:eastAsia="MS Mincho"/>
                <w:b/>
                <w:noProof/>
                <w:snapToGrid w:val="0"/>
                <w:kern w:val="22"/>
                <w:sz w:val="21"/>
                <w:szCs w:val="21"/>
              </w:rPr>
              <w:t>Potential contributors</w:t>
            </w:r>
            <w:r w:rsidRPr="00FA3FC5">
              <w:rPr>
                <w:rStyle w:val="FootnoteReference"/>
                <w:rFonts w:eastAsia="MS Mincho"/>
                <w:b/>
                <w:noProof/>
                <w:snapToGrid w:val="0"/>
                <w:kern w:val="22"/>
                <w:sz w:val="21"/>
                <w:szCs w:val="21"/>
              </w:rPr>
              <w:footnoteReference w:id="28"/>
            </w:r>
          </w:p>
        </w:tc>
      </w:tr>
      <w:tr w:rsidR="00C55A3F" w:rsidRPr="00FA3FC5" w14:paraId="60025628" w14:textId="77777777" w:rsidTr="00E80CEA">
        <w:trPr>
          <w:cantSplit/>
          <w:jc w:val="center"/>
        </w:trPr>
        <w:tc>
          <w:tcPr>
            <w:tcW w:w="1696" w:type="dxa"/>
            <w:vMerge w:val="restart"/>
            <w:shd w:val="clear" w:color="auto" w:fill="auto"/>
          </w:tcPr>
          <w:p w14:paraId="5D220D9F" w14:textId="2357EDD3" w:rsidR="00C55A3F" w:rsidRPr="00FE0CDA" w:rsidRDefault="00360081" w:rsidP="00F71CAE">
            <w:pPr>
              <w:keepNext/>
              <w:ind w:left="430" w:hanging="430"/>
              <w:jc w:val="left"/>
              <w:rPr>
                <w:rFonts w:eastAsia="MS Mincho"/>
                <w:bCs/>
                <w:noProof/>
                <w:snapToGrid w:val="0"/>
                <w:spacing w:val="-12"/>
                <w:kern w:val="22"/>
                <w:sz w:val="21"/>
                <w:szCs w:val="21"/>
              </w:rPr>
            </w:pPr>
            <w:r w:rsidRPr="00FA3FC5">
              <w:rPr>
                <w:rFonts w:asciiTheme="majorBidi" w:eastAsia="MS Mincho" w:hAnsiTheme="majorBidi" w:cstheme="majorBidi"/>
                <w:bCs/>
                <w:noProof/>
                <w:snapToGrid w:val="0"/>
                <w:spacing w:val="-12"/>
                <w:kern w:val="22"/>
                <w:sz w:val="21"/>
                <w:szCs w:val="21"/>
              </w:rPr>
              <w:t>A.</w:t>
            </w:r>
            <w:r w:rsidRPr="00FA3FC5">
              <w:rPr>
                <w:rFonts w:asciiTheme="majorBidi" w:eastAsia="MS Mincho" w:hAnsiTheme="majorBidi" w:cstheme="majorBidi"/>
                <w:bCs/>
                <w:noProof/>
                <w:snapToGrid w:val="0"/>
                <w:spacing w:val="-12"/>
                <w:kern w:val="22"/>
                <w:sz w:val="21"/>
                <w:szCs w:val="21"/>
              </w:rPr>
              <w:tab/>
            </w:r>
            <w:r w:rsidR="00C55A3F" w:rsidRPr="00FE0CDA">
              <w:rPr>
                <w:rFonts w:eastAsia="MS Mincho"/>
                <w:bCs/>
                <w:noProof/>
                <w:snapToGrid w:val="0"/>
                <w:kern w:val="22"/>
                <w:sz w:val="21"/>
                <w:szCs w:val="21"/>
              </w:rPr>
              <w:t>Promoting knowledge generation and synthesis</w:t>
            </w:r>
          </w:p>
        </w:tc>
        <w:tc>
          <w:tcPr>
            <w:tcW w:w="5476" w:type="dxa"/>
            <w:tcBorders>
              <w:bottom w:val="nil"/>
            </w:tcBorders>
            <w:shd w:val="clear" w:color="auto" w:fill="auto"/>
          </w:tcPr>
          <w:p w14:paraId="7E7181DF" w14:textId="30F1B3C2" w:rsidR="00C55A3F" w:rsidRPr="00FE0CDA" w:rsidRDefault="00360081" w:rsidP="00F71CAE">
            <w:pPr>
              <w:keepNext/>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FE0CDA">
              <w:rPr>
                <w:rFonts w:eastAsia="MS Mincho"/>
                <w:bCs/>
                <w:noProof/>
                <w:snapToGrid w:val="0"/>
                <w:kern w:val="22"/>
                <w:sz w:val="21"/>
                <w:szCs w:val="21"/>
              </w:rPr>
              <w:t>Identification of gaps in biodiversity knowledge and options for addressing them</w:t>
            </w:r>
          </w:p>
        </w:tc>
        <w:tc>
          <w:tcPr>
            <w:tcW w:w="893" w:type="dxa"/>
            <w:tcBorders>
              <w:bottom w:val="nil"/>
            </w:tcBorders>
          </w:tcPr>
          <w:p w14:paraId="6390448A"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30A25E24"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0DB89100" w14:textId="77777777" w:rsidTr="00E80CEA">
        <w:trPr>
          <w:cantSplit/>
          <w:jc w:val="center"/>
        </w:trPr>
        <w:tc>
          <w:tcPr>
            <w:tcW w:w="1696" w:type="dxa"/>
            <w:vMerge/>
            <w:shd w:val="clear" w:color="auto" w:fill="auto"/>
          </w:tcPr>
          <w:p w14:paraId="54B01685"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025CCBEE" w14:textId="58A2B09C" w:rsidR="00C55A3F" w:rsidRPr="00F71CAE" w:rsidRDefault="00360081" w:rsidP="00F71CAE">
            <w:pPr>
              <w:keepNext/>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F71CAE">
              <w:rPr>
                <w:rFonts w:eastAsia="MS Mincho"/>
                <w:bCs/>
                <w:noProof/>
                <w:snapToGrid w:val="0"/>
                <w:kern w:val="22"/>
                <w:sz w:val="21"/>
                <w:szCs w:val="21"/>
              </w:rPr>
              <w:t>Expansion of collaboration among organizations and institutions to promote knowledge generation</w:t>
            </w:r>
          </w:p>
        </w:tc>
        <w:tc>
          <w:tcPr>
            <w:tcW w:w="893" w:type="dxa"/>
            <w:tcBorders>
              <w:bottom w:val="nil"/>
            </w:tcBorders>
          </w:tcPr>
          <w:p w14:paraId="3D08143F"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79FD83DC"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709D5212" w14:textId="77777777" w:rsidTr="00E80CEA">
        <w:trPr>
          <w:cantSplit/>
          <w:jc w:val="center"/>
        </w:trPr>
        <w:tc>
          <w:tcPr>
            <w:tcW w:w="1696" w:type="dxa"/>
            <w:vMerge/>
            <w:shd w:val="clear" w:color="auto" w:fill="auto"/>
          </w:tcPr>
          <w:p w14:paraId="7C9F6D0F"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0B27E445" w14:textId="7C4BE3BE" w:rsidR="00C55A3F" w:rsidRPr="00F71CAE" w:rsidRDefault="00360081" w:rsidP="00F71CAE">
            <w:pPr>
              <w:keepNext/>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F71CAE">
              <w:rPr>
                <w:rFonts w:eastAsia="MS Mincho"/>
                <w:bCs/>
                <w:noProof/>
                <w:snapToGrid w:val="0"/>
                <w:kern w:val="22"/>
                <w:sz w:val="21"/>
                <w:szCs w:val="21"/>
              </w:rPr>
              <w:t>Enhancement of outreach to relevant research and academic communities and other institutions to encourage them to share relevant research data, information and knowledge</w:t>
            </w:r>
          </w:p>
        </w:tc>
        <w:tc>
          <w:tcPr>
            <w:tcW w:w="893" w:type="dxa"/>
            <w:tcBorders>
              <w:bottom w:val="nil"/>
            </w:tcBorders>
          </w:tcPr>
          <w:p w14:paraId="146CDC72"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2F51CFCA"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72547798" w14:textId="77777777" w:rsidTr="00E80CEA">
        <w:trPr>
          <w:cantSplit/>
          <w:jc w:val="center"/>
        </w:trPr>
        <w:tc>
          <w:tcPr>
            <w:tcW w:w="1696" w:type="dxa"/>
            <w:vMerge/>
            <w:shd w:val="clear" w:color="auto" w:fill="auto"/>
          </w:tcPr>
          <w:p w14:paraId="5E6266A3"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00085CDA" w14:textId="6709D617" w:rsidR="00C55A3F" w:rsidRPr="00F71CAE" w:rsidRDefault="00360081" w:rsidP="00F71CAE">
            <w:pPr>
              <w:keepNext/>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(d)</w:t>
            </w:r>
            <w:r w:rsidRPr="00FA3FC5">
              <w:rPr>
                <w:rFonts w:eastAsia="MS Mincho"/>
                <w:bCs/>
                <w:noProof/>
                <w:snapToGrid w:val="0"/>
                <w:kern w:val="22"/>
                <w:sz w:val="21"/>
                <w:szCs w:val="21"/>
              </w:rPr>
              <w:tab/>
            </w:r>
            <w:r w:rsidR="00C55A3F" w:rsidRPr="00F71CAE">
              <w:rPr>
                <w:rFonts w:eastAsia="MS Mincho"/>
                <w:bCs/>
                <w:noProof/>
                <w:snapToGrid w:val="0"/>
                <w:kern w:val="22"/>
                <w:sz w:val="21"/>
                <w:szCs w:val="21"/>
              </w:rPr>
              <w:t>Developing local and national capacity for knowledge generation through citizen science by incentivizing the collection of data, information and knowledge at the local level</w:t>
            </w:r>
          </w:p>
        </w:tc>
        <w:tc>
          <w:tcPr>
            <w:tcW w:w="893" w:type="dxa"/>
            <w:tcBorders>
              <w:bottom w:val="nil"/>
            </w:tcBorders>
          </w:tcPr>
          <w:p w14:paraId="5BDEBE4E"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0B37AF80"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20A74E61" w14:textId="77777777" w:rsidTr="00E80CEA">
        <w:trPr>
          <w:cantSplit/>
          <w:jc w:val="center"/>
        </w:trPr>
        <w:tc>
          <w:tcPr>
            <w:tcW w:w="1696" w:type="dxa"/>
            <w:vMerge/>
            <w:shd w:val="clear" w:color="auto" w:fill="auto"/>
          </w:tcPr>
          <w:p w14:paraId="2D7D07F8"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30A7716A" w14:textId="11C588A4" w:rsidR="00C55A3F" w:rsidRPr="00F71CAE" w:rsidRDefault="00360081" w:rsidP="00F71CAE">
            <w:pPr>
              <w:keepNext/>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(e)</w:t>
            </w:r>
            <w:r w:rsidRPr="00FA3FC5">
              <w:rPr>
                <w:rFonts w:eastAsia="MS Mincho"/>
                <w:bCs/>
                <w:noProof/>
                <w:snapToGrid w:val="0"/>
                <w:kern w:val="22"/>
                <w:sz w:val="21"/>
                <w:szCs w:val="21"/>
              </w:rPr>
              <w:tab/>
            </w:r>
            <w:r w:rsidR="00C55A3F" w:rsidRPr="00F71CAE">
              <w:rPr>
                <w:rFonts w:eastAsia="MS Mincho"/>
                <w:bCs/>
                <w:noProof/>
                <w:snapToGrid w:val="0"/>
                <w:kern w:val="22"/>
                <w:sz w:val="21"/>
                <w:szCs w:val="21"/>
              </w:rPr>
              <w:t>Enhancement of the use of all types of big data, including remote sensing and IoT, as well as ensuring data standards and sharing</w:t>
            </w:r>
          </w:p>
        </w:tc>
        <w:tc>
          <w:tcPr>
            <w:tcW w:w="893" w:type="dxa"/>
            <w:tcBorders>
              <w:bottom w:val="nil"/>
            </w:tcBorders>
          </w:tcPr>
          <w:p w14:paraId="22B6AB74"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54DC409B"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0B22A464" w14:textId="77777777" w:rsidTr="00E80CEA">
        <w:trPr>
          <w:cantSplit/>
          <w:jc w:val="center"/>
        </w:trPr>
        <w:tc>
          <w:tcPr>
            <w:tcW w:w="1696" w:type="dxa"/>
            <w:vMerge w:val="restart"/>
            <w:shd w:val="clear" w:color="auto" w:fill="auto"/>
          </w:tcPr>
          <w:p w14:paraId="4D76B16F" w14:textId="770B992E" w:rsidR="00C55A3F" w:rsidRPr="00F71CAE" w:rsidRDefault="00360081" w:rsidP="00F71CAE">
            <w:pPr>
              <w:keepNext/>
              <w:ind w:left="430" w:hanging="430"/>
              <w:jc w:val="left"/>
              <w:rPr>
                <w:rFonts w:eastAsia="MS Mincho"/>
                <w:b/>
                <w:noProof/>
                <w:snapToGrid w:val="0"/>
                <w:spacing w:val="-12"/>
                <w:kern w:val="22"/>
                <w:sz w:val="21"/>
                <w:szCs w:val="21"/>
              </w:rPr>
            </w:pPr>
            <w:r w:rsidRPr="00FA3FC5">
              <w:rPr>
                <w:rFonts w:asciiTheme="majorBidi" w:eastAsia="MS Mincho" w:hAnsiTheme="majorBidi" w:cstheme="majorBidi"/>
                <w:noProof/>
                <w:snapToGrid w:val="0"/>
                <w:spacing w:val="-12"/>
                <w:kern w:val="22"/>
                <w:sz w:val="21"/>
                <w:szCs w:val="21"/>
              </w:rPr>
              <w:t>B.</w:t>
            </w:r>
            <w:r w:rsidRPr="00FA3FC5">
              <w:rPr>
                <w:rFonts w:asciiTheme="majorBidi" w:eastAsia="MS Mincho" w:hAnsiTheme="majorBidi" w:cstheme="majorBidi"/>
                <w:noProof/>
                <w:snapToGrid w:val="0"/>
                <w:spacing w:val="-12"/>
                <w:kern w:val="22"/>
                <w:sz w:val="21"/>
                <w:szCs w:val="21"/>
              </w:rPr>
              <w:tab/>
            </w:r>
            <w:r w:rsidR="00C55A3F" w:rsidRPr="00F71CAE">
              <w:rPr>
                <w:rFonts w:eastAsia="MS Mincho"/>
                <w:bCs/>
                <w:noProof/>
                <w:snapToGrid w:val="0"/>
                <w:kern w:val="22"/>
                <w:sz w:val="21"/>
                <w:szCs w:val="21"/>
              </w:rPr>
              <w:t>Facilitating knowledge discovery and collection</w:t>
            </w:r>
          </w:p>
        </w:tc>
        <w:tc>
          <w:tcPr>
            <w:tcW w:w="5476" w:type="dxa"/>
            <w:tcBorders>
              <w:bottom w:val="nil"/>
            </w:tcBorders>
            <w:shd w:val="clear" w:color="auto" w:fill="auto"/>
          </w:tcPr>
          <w:p w14:paraId="5D81D321" w14:textId="56C8D868" w:rsidR="00C55A3F" w:rsidRPr="00F71CAE" w:rsidRDefault="00360081" w:rsidP="00F71CAE">
            <w:pPr>
              <w:keepNext/>
              <w:spacing w:after="60"/>
              <w:ind w:left="350" w:hanging="360"/>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F71CAE">
              <w:rPr>
                <w:kern w:val="22"/>
                <w:sz w:val="21"/>
                <w:szCs w:val="21"/>
              </w:rPr>
              <w:t xml:space="preserve">Development or enhancement of web-based tools to identify and collect information and knowledge from various sources in an interactive, </w:t>
            </w:r>
            <w:proofErr w:type="gramStart"/>
            <w:r w:rsidR="00C55A3F" w:rsidRPr="00F71CAE">
              <w:rPr>
                <w:kern w:val="22"/>
                <w:sz w:val="21"/>
                <w:szCs w:val="21"/>
              </w:rPr>
              <w:t>real-time</w:t>
            </w:r>
            <w:proofErr w:type="gramEnd"/>
            <w:r w:rsidR="00C55A3F" w:rsidRPr="00F71CAE">
              <w:rPr>
                <w:kern w:val="22"/>
                <w:sz w:val="21"/>
                <w:szCs w:val="21"/>
              </w:rPr>
              <w:t xml:space="preserve"> and user-friendly manner</w:t>
            </w:r>
            <w:r w:rsidR="00C55A3F" w:rsidRPr="00FA3FC5">
              <w:rPr>
                <w:rStyle w:val="FootnoteReference"/>
                <w:kern w:val="22"/>
                <w:sz w:val="21"/>
                <w:szCs w:val="21"/>
              </w:rPr>
              <w:footnoteReference w:id="29"/>
            </w:r>
          </w:p>
        </w:tc>
        <w:tc>
          <w:tcPr>
            <w:tcW w:w="893" w:type="dxa"/>
            <w:tcBorders>
              <w:bottom w:val="nil"/>
            </w:tcBorders>
          </w:tcPr>
          <w:p w14:paraId="588D70BA"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452A844F"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6C431AF2" w14:textId="77777777" w:rsidTr="00E80CEA">
        <w:trPr>
          <w:cantSplit/>
          <w:jc w:val="center"/>
        </w:trPr>
        <w:tc>
          <w:tcPr>
            <w:tcW w:w="1696" w:type="dxa"/>
            <w:vMerge/>
            <w:shd w:val="clear" w:color="auto" w:fill="auto"/>
          </w:tcPr>
          <w:p w14:paraId="4B095410"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3FEACB72" w14:textId="043BD368" w:rsidR="00C55A3F" w:rsidRPr="00F71CAE" w:rsidRDefault="00360081" w:rsidP="00F71CAE">
            <w:pPr>
              <w:keepNext/>
              <w:spacing w:after="60"/>
              <w:ind w:left="35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F71CAE">
              <w:rPr>
                <w:rFonts w:eastAsia="MS Mincho"/>
                <w:bCs/>
                <w:noProof/>
                <w:snapToGrid w:val="0"/>
                <w:kern w:val="22"/>
                <w:sz w:val="21"/>
                <w:szCs w:val="21"/>
              </w:rPr>
              <w:t>Promotion of knowledge discovery tools and techniques, including data mining and machine learning tools, as appropriate</w:t>
            </w:r>
          </w:p>
        </w:tc>
        <w:tc>
          <w:tcPr>
            <w:tcW w:w="893" w:type="dxa"/>
            <w:tcBorders>
              <w:bottom w:val="nil"/>
            </w:tcBorders>
          </w:tcPr>
          <w:p w14:paraId="2D8BA1E4"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60CE7A9F"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5CDD63A1" w14:textId="77777777" w:rsidTr="00E80CEA">
        <w:trPr>
          <w:cantSplit/>
          <w:jc w:val="center"/>
        </w:trPr>
        <w:tc>
          <w:tcPr>
            <w:tcW w:w="1696" w:type="dxa"/>
            <w:vMerge/>
            <w:shd w:val="clear" w:color="auto" w:fill="auto"/>
          </w:tcPr>
          <w:p w14:paraId="656DB969" w14:textId="77777777" w:rsidR="00C55A3F" w:rsidRPr="00FA3FC5" w:rsidRDefault="00C55A3F" w:rsidP="003671CC">
            <w:pPr>
              <w:keepNext/>
              <w:jc w:val="center"/>
              <w:rPr>
                <w:rFonts w:eastAsia="MS Mincho"/>
                <w:b/>
                <w:noProof/>
                <w:snapToGrid w:val="0"/>
                <w:spacing w:val="-12"/>
                <w:kern w:val="22"/>
                <w:sz w:val="21"/>
                <w:szCs w:val="21"/>
              </w:rPr>
            </w:pPr>
          </w:p>
        </w:tc>
        <w:tc>
          <w:tcPr>
            <w:tcW w:w="5476" w:type="dxa"/>
            <w:tcBorders>
              <w:bottom w:val="nil"/>
            </w:tcBorders>
            <w:shd w:val="clear" w:color="auto" w:fill="auto"/>
          </w:tcPr>
          <w:p w14:paraId="3D6EE8F5" w14:textId="1790D2CB" w:rsidR="00C55A3F" w:rsidRPr="00F71CAE" w:rsidRDefault="00360081" w:rsidP="00F71CAE">
            <w:pPr>
              <w:keepNext/>
              <w:spacing w:after="60"/>
              <w:ind w:left="350" w:hanging="360"/>
              <w:jc w:val="left"/>
              <w:rPr>
                <w:kern w:val="22"/>
                <w:sz w:val="21"/>
                <w:szCs w:val="21"/>
              </w:rPr>
            </w:pPr>
            <w:r w:rsidRPr="00FA3FC5">
              <w:rPr>
                <w:kern w:val="22"/>
                <w:sz w:val="21"/>
                <w:szCs w:val="21"/>
              </w:rPr>
              <w:t>(c)</w:t>
            </w:r>
            <w:r w:rsidRPr="00FA3FC5">
              <w:rPr>
                <w:kern w:val="22"/>
                <w:sz w:val="21"/>
                <w:szCs w:val="21"/>
              </w:rPr>
              <w:tab/>
            </w:r>
            <w:r w:rsidR="00C55A3F" w:rsidRPr="00F71CAE">
              <w:rPr>
                <w:kern w:val="22"/>
                <w:sz w:val="21"/>
                <w:szCs w:val="21"/>
              </w:rPr>
              <w:t xml:space="preserve">Engagement of relevant stakeholders, including knowledge creators, </w:t>
            </w:r>
            <w:proofErr w:type="gramStart"/>
            <w:r w:rsidR="00C55A3F" w:rsidRPr="00F71CAE">
              <w:rPr>
                <w:kern w:val="22"/>
                <w:sz w:val="21"/>
                <w:szCs w:val="21"/>
              </w:rPr>
              <w:t>brokers</w:t>
            </w:r>
            <w:proofErr w:type="gramEnd"/>
            <w:r w:rsidR="00C55A3F" w:rsidRPr="00F71CAE">
              <w:rPr>
                <w:kern w:val="22"/>
                <w:sz w:val="21"/>
                <w:szCs w:val="21"/>
              </w:rPr>
              <w:t xml:space="preserve"> and users in implementing agencies, conservation organizations, academic institutions, and others at the national and subnational levels in the creation and collation of knowledge</w:t>
            </w:r>
          </w:p>
        </w:tc>
        <w:tc>
          <w:tcPr>
            <w:tcW w:w="893" w:type="dxa"/>
            <w:tcBorders>
              <w:bottom w:val="nil"/>
            </w:tcBorders>
          </w:tcPr>
          <w:p w14:paraId="62EBC37D" w14:textId="77777777" w:rsidR="00C55A3F" w:rsidRPr="00FA3FC5" w:rsidRDefault="00C55A3F" w:rsidP="003671CC">
            <w:pPr>
              <w:keepNext/>
              <w:jc w:val="center"/>
              <w:rPr>
                <w:rFonts w:eastAsia="MS Mincho"/>
                <w:bCs/>
                <w:noProof/>
                <w:snapToGrid w:val="0"/>
                <w:kern w:val="22"/>
                <w:sz w:val="21"/>
                <w:szCs w:val="21"/>
              </w:rPr>
            </w:pPr>
          </w:p>
        </w:tc>
        <w:tc>
          <w:tcPr>
            <w:tcW w:w="1476" w:type="dxa"/>
            <w:tcBorders>
              <w:bottom w:val="nil"/>
            </w:tcBorders>
            <w:shd w:val="clear" w:color="auto" w:fill="auto"/>
          </w:tcPr>
          <w:p w14:paraId="09B76D01" w14:textId="77777777" w:rsidR="00C55A3F" w:rsidRPr="00FA3FC5" w:rsidRDefault="00C55A3F" w:rsidP="003671CC">
            <w:pPr>
              <w:keepNext/>
              <w:jc w:val="left"/>
              <w:rPr>
                <w:rFonts w:eastAsia="MS Mincho"/>
                <w:bCs/>
                <w:noProof/>
                <w:snapToGrid w:val="0"/>
                <w:kern w:val="22"/>
                <w:sz w:val="21"/>
                <w:szCs w:val="21"/>
              </w:rPr>
            </w:pPr>
          </w:p>
        </w:tc>
      </w:tr>
      <w:tr w:rsidR="00C55A3F" w:rsidRPr="00FA3FC5" w14:paraId="32C01C0B" w14:textId="77777777" w:rsidTr="00E80CEA">
        <w:trPr>
          <w:cantSplit/>
          <w:jc w:val="center"/>
        </w:trPr>
        <w:tc>
          <w:tcPr>
            <w:tcW w:w="1696" w:type="dxa"/>
            <w:vMerge/>
            <w:shd w:val="clear" w:color="auto" w:fill="auto"/>
          </w:tcPr>
          <w:p w14:paraId="3443EE08" w14:textId="77777777" w:rsidR="00C55A3F" w:rsidRPr="00FA3FC5" w:rsidRDefault="00C55A3F" w:rsidP="003671CC">
            <w:pPr>
              <w:widowControl w:val="0"/>
              <w:jc w:val="center"/>
              <w:rPr>
                <w:rFonts w:eastAsia="MS Mincho"/>
                <w:b/>
                <w:noProof/>
                <w:snapToGrid w:val="0"/>
                <w:spacing w:val="-12"/>
                <w:kern w:val="22"/>
                <w:sz w:val="21"/>
                <w:szCs w:val="21"/>
              </w:rPr>
            </w:pPr>
          </w:p>
        </w:tc>
        <w:tc>
          <w:tcPr>
            <w:tcW w:w="5476" w:type="dxa"/>
            <w:tcBorders>
              <w:bottom w:val="nil"/>
            </w:tcBorders>
            <w:shd w:val="clear" w:color="auto" w:fill="auto"/>
          </w:tcPr>
          <w:p w14:paraId="2D0F7AE1" w14:textId="09A65D71" w:rsidR="00C55A3F" w:rsidRPr="00F71CAE" w:rsidRDefault="00360081" w:rsidP="00F71CAE">
            <w:pPr>
              <w:widowControl w:val="0"/>
              <w:spacing w:after="60"/>
              <w:ind w:left="346" w:hanging="360"/>
              <w:jc w:val="left"/>
              <w:rPr>
                <w:kern w:val="22"/>
                <w:sz w:val="21"/>
                <w:szCs w:val="21"/>
              </w:rPr>
            </w:pPr>
            <w:r w:rsidRPr="00FA3FC5">
              <w:rPr>
                <w:kern w:val="22"/>
                <w:sz w:val="21"/>
                <w:szCs w:val="21"/>
              </w:rPr>
              <w:t>(d)</w:t>
            </w:r>
            <w:r w:rsidRPr="00FA3FC5">
              <w:rPr>
                <w:kern w:val="22"/>
                <w:sz w:val="21"/>
                <w:szCs w:val="21"/>
              </w:rPr>
              <w:tab/>
            </w:r>
            <w:r w:rsidR="00C55A3F" w:rsidRPr="00F71CAE">
              <w:rPr>
                <w:kern w:val="22"/>
                <w:sz w:val="21"/>
                <w:szCs w:val="21"/>
              </w:rPr>
              <w:t>Identification, collection and sharing, where authorized, of traditional knowledge from indigenous peoples and local communities as well as women’s knowledge, in an appropriate way and with clear acknowledgements of the source</w:t>
            </w:r>
            <w:r w:rsidR="00C55A3F" w:rsidRPr="00FA3FC5">
              <w:rPr>
                <w:rStyle w:val="FootnoteReference"/>
                <w:kern w:val="22"/>
                <w:sz w:val="21"/>
                <w:szCs w:val="21"/>
              </w:rPr>
              <w:footnoteReference w:id="30"/>
            </w:r>
          </w:p>
        </w:tc>
        <w:tc>
          <w:tcPr>
            <w:tcW w:w="893" w:type="dxa"/>
            <w:tcBorders>
              <w:bottom w:val="nil"/>
            </w:tcBorders>
          </w:tcPr>
          <w:p w14:paraId="45E9D8A3" w14:textId="77777777" w:rsidR="00C55A3F" w:rsidRPr="00FA3FC5" w:rsidRDefault="00C55A3F" w:rsidP="003671CC">
            <w:pPr>
              <w:widowControl w:val="0"/>
              <w:jc w:val="center"/>
              <w:rPr>
                <w:rFonts w:eastAsia="MS Mincho"/>
                <w:bCs/>
                <w:noProof/>
                <w:snapToGrid w:val="0"/>
                <w:kern w:val="22"/>
                <w:sz w:val="21"/>
                <w:szCs w:val="21"/>
              </w:rPr>
            </w:pPr>
          </w:p>
        </w:tc>
        <w:tc>
          <w:tcPr>
            <w:tcW w:w="1476" w:type="dxa"/>
            <w:tcBorders>
              <w:bottom w:val="nil"/>
            </w:tcBorders>
            <w:shd w:val="clear" w:color="auto" w:fill="auto"/>
          </w:tcPr>
          <w:p w14:paraId="3728C952"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7269E5C5" w14:textId="77777777" w:rsidTr="00E80CEA">
        <w:trPr>
          <w:cantSplit/>
          <w:jc w:val="center"/>
        </w:trPr>
        <w:tc>
          <w:tcPr>
            <w:tcW w:w="1696" w:type="dxa"/>
            <w:vMerge w:val="restart"/>
            <w:shd w:val="clear" w:color="auto" w:fill="auto"/>
          </w:tcPr>
          <w:p w14:paraId="0F008FE4" w14:textId="1C5B8C04" w:rsidR="00C55A3F" w:rsidRPr="00FE0CDA" w:rsidRDefault="00360081" w:rsidP="00F71CAE">
            <w:pPr>
              <w:widowControl w:val="0"/>
              <w:ind w:left="430" w:hanging="430"/>
              <w:jc w:val="left"/>
              <w:rPr>
                <w:rFonts w:eastAsia="MS Mincho"/>
                <w:bCs/>
                <w:noProof/>
                <w:snapToGrid w:val="0"/>
                <w:kern w:val="22"/>
                <w:sz w:val="21"/>
                <w:szCs w:val="21"/>
              </w:rPr>
            </w:pPr>
            <w:r w:rsidRPr="00FA3FC5">
              <w:rPr>
                <w:rFonts w:asciiTheme="majorBidi" w:eastAsia="MS Mincho" w:hAnsiTheme="majorBidi" w:cstheme="majorBidi"/>
                <w:bCs/>
                <w:noProof/>
                <w:snapToGrid w:val="0"/>
                <w:kern w:val="22"/>
                <w:sz w:val="21"/>
                <w:szCs w:val="21"/>
              </w:rPr>
              <w:t>C.</w:t>
            </w:r>
            <w:r w:rsidRPr="00FA3FC5">
              <w:rPr>
                <w:rFonts w:asciiTheme="majorBidi" w:eastAsia="MS Mincho" w:hAnsiTheme="majorBidi" w:cstheme="majorBidi"/>
                <w:bCs/>
                <w:noProof/>
                <w:snapToGrid w:val="0"/>
                <w:kern w:val="22"/>
                <w:sz w:val="21"/>
                <w:szCs w:val="21"/>
              </w:rPr>
              <w:tab/>
            </w:r>
            <w:r w:rsidR="00C55A3F" w:rsidRPr="00FE0CDA">
              <w:rPr>
                <w:rFonts w:eastAsia="MS Mincho"/>
                <w:bCs/>
                <w:noProof/>
                <w:snapToGrid w:val="0"/>
                <w:kern w:val="22"/>
                <w:sz w:val="21"/>
                <w:szCs w:val="21"/>
              </w:rPr>
              <w:t xml:space="preserve">Enhancing knowledge </w:t>
            </w:r>
            <w:r w:rsidR="00C55A3F" w:rsidRPr="00FE0CDA">
              <w:rPr>
                <w:rFonts w:eastAsia="MS Mincho"/>
                <w:bCs/>
                <w:noProof/>
                <w:snapToGrid w:val="0"/>
                <w:kern w:val="22"/>
                <w:sz w:val="21"/>
                <w:szCs w:val="21"/>
              </w:rPr>
              <w:lastRenderedPageBreak/>
              <w:t>organization and sharing</w:t>
            </w:r>
          </w:p>
        </w:tc>
        <w:tc>
          <w:tcPr>
            <w:tcW w:w="5476" w:type="dxa"/>
          </w:tcPr>
          <w:p w14:paraId="239CD2A8" w14:textId="60DB50F8" w:rsidR="00C55A3F" w:rsidRPr="00FE0CDA" w:rsidRDefault="00360081" w:rsidP="00F71CA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lastRenderedPageBreak/>
              <w:t>(a)</w:t>
            </w:r>
            <w:r w:rsidRPr="00FA3FC5">
              <w:rPr>
                <w:rFonts w:eastAsia="MS Mincho"/>
                <w:bCs/>
                <w:noProof/>
                <w:snapToGrid w:val="0"/>
                <w:kern w:val="22"/>
                <w:sz w:val="21"/>
                <w:szCs w:val="21"/>
              </w:rPr>
              <w:tab/>
            </w:r>
            <w:r w:rsidR="00C55A3F" w:rsidRPr="00FE0CDA">
              <w:rPr>
                <w:kern w:val="22"/>
                <w:sz w:val="21"/>
                <w:szCs w:val="21"/>
              </w:rPr>
              <w:t>Continued improvement of metadata quality, tagging and mapping of knowledge objects from biodiversity-</w:t>
            </w:r>
            <w:r w:rsidR="00C55A3F" w:rsidRPr="00FE0CDA">
              <w:rPr>
                <w:kern w:val="22"/>
                <w:sz w:val="21"/>
                <w:szCs w:val="21"/>
              </w:rPr>
              <w:lastRenderedPageBreak/>
              <w:t xml:space="preserve">related conventions through </w:t>
            </w:r>
            <w:proofErr w:type="spellStart"/>
            <w:r w:rsidR="00C55A3F" w:rsidRPr="00FE0CDA">
              <w:rPr>
                <w:kern w:val="22"/>
                <w:sz w:val="21"/>
                <w:szCs w:val="21"/>
              </w:rPr>
              <w:t>InforMEA</w:t>
            </w:r>
            <w:proofErr w:type="spellEnd"/>
            <w:r w:rsidR="00C55A3F" w:rsidRPr="00FE0CDA">
              <w:rPr>
                <w:kern w:val="22"/>
                <w:sz w:val="21"/>
                <w:szCs w:val="21"/>
              </w:rPr>
              <w:t xml:space="preserve"> and other sources to allow for increased findability</w:t>
            </w:r>
          </w:p>
        </w:tc>
        <w:tc>
          <w:tcPr>
            <w:tcW w:w="893" w:type="dxa"/>
          </w:tcPr>
          <w:p w14:paraId="524A2CAE" w14:textId="77777777" w:rsidR="00C55A3F" w:rsidRPr="00FA3FC5" w:rsidRDefault="00C55A3F" w:rsidP="003671CC">
            <w:pPr>
              <w:widowControl w:val="0"/>
              <w:jc w:val="center"/>
              <w:rPr>
                <w:rFonts w:eastAsia="MS Mincho"/>
                <w:bCs/>
                <w:noProof/>
                <w:snapToGrid w:val="0"/>
                <w:kern w:val="22"/>
                <w:sz w:val="21"/>
                <w:szCs w:val="21"/>
              </w:rPr>
            </w:pPr>
          </w:p>
        </w:tc>
        <w:tc>
          <w:tcPr>
            <w:tcW w:w="1476" w:type="dxa"/>
            <w:shd w:val="clear" w:color="auto" w:fill="auto"/>
          </w:tcPr>
          <w:p w14:paraId="02A0EB27"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056E8D18" w14:textId="77777777" w:rsidTr="00E80CEA">
        <w:trPr>
          <w:cantSplit/>
          <w:jc w:val="center"/>
        </w:trPr>
        <w:tc>
          <w:tcPr>
            <w:tcW w:w="1696" w:type="dxa"/>
            <w:vMerge/>
            <w:shd w:val="clear" w:color="auto" w:fill="auto"/>
          </w:tcPr>
          <w:p w14:paraId="63A0B605"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2773CD89" w14:textId="36DB64C8"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044F6E">
              <w:rPr>
                <w:kern w:val="22"/>
                <w:sz w:val="21"/>
                <w:szCs w:val="21"/>
              </w:rPr>
              <w:t>Development, publicization and promotion of standards for metadata quality and tagging of biodiversity information and knowledge resources to ensure quality and compatibility</w:t>
            </w:r>
          </w:p>
        </w:tc>
        <w:tc>
          <w:tcPr>
            <w:tcW w:w="893" w:type="dxa"/>
          </w:tcPr>
          <w:p w14:paraId="20A0D3F1" w14:textId="77777777" w:rsidR="00C55A3F" w:rsidRPr="00FA3FC5" w:rsidRDefault="00C55A3F" w:rsidP="003671CC">
            <w:pPr>
              <w:widowControl w:val="0"/>
              <w:jc w:val="center"/>
              <w:rPr>
                <w:rFonts w:eastAsia="MS Mincho"/>
                <w:bCs/>
                <w:noProof/>
                <w:snapToGrid w:val="0"/>
                <w:kern w:val="22"/>
                <w:sz w:val="21"/>
                <w:szCs w:val="21"/>
              </w:rPr>
            </w:pPr>
          </w:p>
        </w:tc>
        <w:tc>
          <w:tcPr>
            <w:tcW w:w="1476" w:type="dxa"/>
            <w:shd w:val="clear" w:color="auto" w:fill="auto"/>
          </w:tcPr>
          <w:p w14:paraId="54EF8FDA"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38B4D5B3" w14:textId="77777777" w:rsidTr="00E80CEA">
        <w:trPr>
          <w:cantSplit/>
          <w:jc w:val="center"/>
        </w:trPr>
        <w:tc>
          <w:tcPr>
            <w:tcW w:w="1696" w:type="dxa"/>
            <w:vMerge/>
            <w:shd w:val="clear" w:color="auto" w:fill="auto"/>
          </w:tcPr>
          <w:p w14:paraId="7D277E99"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6F30AC37" w14:textId="7A7C6134"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Improvement of interoperability of information and knowledge systems of biodiversity-related conventions and other information providers across the biodiversity community</w:t>
            </w:r>
          </w:p>
        </w:tc>
        <w:tc>
          <w:tcPr>
            <w:tcW w:w="893" w:type="dxa"/>
          </w:tcPr>
          <w:p w14:paraId="394BA4E7" w14:textId="77777777" w:rsidR="00C55A3F" w:rsidRPr="00FA3FC5" w:rsidRDefault="00C55A3F" w:rsidP="003671CC">
            <w:pPr>
              <w:widowControl w:val="0"/>
              <w:jc w:val="center"/>
              <w:rPr>
                <w:kern w:val="22"/>
                <w:sz w:val="21"/>
                <w:szCs w:val="21"/>
              </w:rPr>
            </w:pPr>
          </w:p>
        </w:tc>
        <w:tc>
          <w:tcPr>
            <w:tcW w:w="1476" w:type="dxa"/>
            <w:shd w:val="clear" w:color="auto" w:fill="auto"/>
          </w:tcPr>
          <w:p w14:paraId="2602138D"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3FCBDE41" w14:textId="77777777" w:rsidTr="00E80CEA">
        <w:trPr>
          <w:cantSplit/>
          <w:jc w:val="center"/>
        </w:trPr>
        <w:tc>
          <w:tcPr>
            <w:tcW w:w="1696" w:type="dxa"/>
            <w:vMerge/>
            <w:shd w:val="clear" w:color="auto" w:fill="auto"/>
          </w:tcPr>
          <w:p w14:paraId="0C7706D4"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4D4D9B7A" w14:textId="01985DB3" w:rsidR="00C55A3F" w:rsidRPr="00044F6E" w:rsidRDefault="00360081" w:rsidP="00044F6E">
            <w:pPr>
              <w:widowControl w:val="0"/>
              <w:spacing w:after="60"/>
              <w:ind w:left="360" w:hanging="360"/>
              <w:jc w:val="left"/>
              <w:rPr>
                <w:kern w:val="22"/>
                <w:sz w:val="21"/>
                <w:szCs w:val="21"/>
              </w:rPr>
            </w:pPr>
            <w:r w:rsidRPr="00FA3FC5">
              <w:rPr>
                <w:kern w:val="22"/>
                <w:sz w:val="21"/>
                <w:szCs w:val="21"/>
              </w:rPr>
              <w:t>(d)</w:t>
            </w:r>
            <w:r w:rsidRPr="00FA3FC5">
              <w:rPr>
                <w:kern w:val="22"/>
                <w:sz w:val="21"/>
                <w:szCs w:val="21"/>
              </w:rPr>
              <w:tab/>
            </w:r>
            <w:r w:rsidR="00C55A3F" w:rsidRPr="00044F6E">
              <w:rPr>
                <w:kern w:val="22"/>
                <w:sz w:val="21"/>
                <w:szCs w:val="21"/>
              </w:rPr>
              <w:t xml:space="preserve">Promotion of outreach for and development of bioinformatics and descriptive metadata training modules, in conjunction with existing capacity-development projects and plans at the international, </w:t>
            </w:r>
            <w:proofErr w:type="gramStart"/>
            <w:r w:rsidR="00C55A3F" w:rsidRPr="00044F6E">
              <w:rPr>
                <w:kern w:val="22"/>
                <w:sz w:val="21"/>
                <w:szCs w:val="21"/>
              </w:rPr>
              <w:t>national</w:t>
            </w:r>
            <w:proofErr w:type="gramEnd"/>
            <w:r w:rsidR="00C55A3F" w:rsidRPr="00044F6E">
              <w:rPr>
                <w:kern w:val="22"/>
                <w:sz w:val="21"/>
                <w:szCs w:val="21"/>
              </w:rPr>
              <w:t xml:space="preserve"> and subnational levels, aimed at increasing related competencies</w:t>
            </w:r>
          </w:p>
        </w:tc>
        <w:tc>
          <w:tcPr>
            <w:tcW w:w="893" w:type="dxa"/>
          </w:tcPr>
          <w:p w14:paraId="35527475" w14:textId="77777777" w:rsidR="00C55A3F" w:rsidRPr="00FA3FC5" w:rsidRDefault="00C55A3F" w:rsidP="003671CC">
            <w:pPr>
              <w:widowControl w:val="0"/>
              <w:jc w:val="center"/>
              <w:rPr>
                <w:kern w:val="22"/>
                <w:sz w:val="21"/>
                <w:szCs w:val="21"/>
              </w:rPr>
            </w:pPr>
          </w:p>
        </w:tc>
        <w:tc>
          <w:tcPr>
            <w:tcW w:w="1476" w:type="dxa"/>
            <w:shd w:val="clear" w:color="auto" w:fill="auto"/>
          </w:tcPr>
          <w:p w14:paraId="374A7DE0" w14:textId="77777777" w:rsidR="00C55A3F" w:rsidRPr="00FA3FC5" w:rsidRDefault="00C55A3F" w:rsidP="003671CC">
            <w:pPr>
              <w:widowControl w:val="0"/>
              <w:jc w:val="left"/>
              <w:rPr>
                <w:kern w:val="22"/>
                <w:sz w:val="21"/>
                <w:szCs w:val="21"/>
              </w:rPr>
            </w:pPr>
          </w:p>
        </w:tc>
      </w:tr>
      <w:tr w:rsidR="00C55A3F" w:rsidRPr="00FA3FC5" w14:paraId="36D0D563" w14:textId="77777777" w:rsidTr="00E80CEA">
        <w:trPr>
          <w:cantSplit/>
          <w:jc w:val="center"/>
        </w:trPr>
        <w:tc>
          <w:tcPr>
            <w:tcW w:w="1696" w:type="dxa"/>
            <w:vMerge/>
            <w:shd w:val="clear" w:color="auto" w:fill="auto"/>
          </w:tcPr>
          <w:p w14:paraId="0B1A4254"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096F3469" w14:textId="47319AAB" w:rsidR="00C55A3F" w:rsidRPr="00044F6E" w:rsidRDefault="00360081" w:rsidP="00044F6E">
            <w:pPr>
              <w:widowControl w:val="0"/>
              <w:spacing w:after="60"/>
              <w:ind w:left="360" w:hanging="360"/>
              <w:jc w:val="left"/>
              <w:rPr>
                <w:kern w:val="22"/>
                <w:sz w:val="21"/>
                <w:szCs w:val="21"/>
              </w:rPr>
            </w:pPr>
            <w:r w:rsidRPr="00FA3FC5">
              <w:rPr>
                <w:kern w:val="22"/>
                <w:sz w:val="21"/>
                <w:szCs w:val="21"/>
              </w:rPr>
              <w:t>(e)</w:t>
            </w:r>
            <w:r w:rsidRPr="00FA3FC5">
              <w:rPr>
                <w:kern w:val="22"/>
                <w:sz w:val="21"/>
                <w:szCs w:val="21"/>
              </w:rPr>
              <w:tab/>
            </w:r>
            <w:r w:rsidR="00C55A3F" w:rsidRPr="00044F6E">
              <w:rPr>
                <w:kern w:val="22"/>
                <w:sz w:val="21"/>
                <w:szCs w:val="21"/>
              </w:rPr>
              <w:t xml:space="preserve">Promotion of voluntary guidance to improve accessibility to biodiversity data, </w:t>
            </w:r>
            <w:proofErr w:type="gramStart"/>
            <w:r w:rsidR="00C55A3F" w:rsidRPr="00044F6E">
              <w:rPr>
                <w:kern w:val="22"/>
                <w:sz w:val="21"/>
                <w:szCs w:val="21"/>
              </w:rPr>
              <w:t>information</w:t>
            </w:r>
            <w:proofErr w:type="gramEnd"/>
            <w:r w:rsidR="00C55A3F" w:rsidRPr="00044F6E">
              <w:rPr>
                <w:kern w:val="22"/>
                <w:sz w:val="21"/>
                <w:szCs w:val="21"/>
              </w:rPr>
              <w:t xml:space="preserve"> and knowledge</w:t>
            </w:r>
          </w:p>
        </w:tc>
        <w:tc>
          <w:tcPr>
            <w:tcW w:w="893" w:type="dxa"/>
          </w:tcPr>
          <w:p w14:paraId="0A3A53D9" w14:textId="77777777" w:rsidR="00C55A3F" w:rsidRPr="00FA3FC5" w:rsidRDefault="00C55A3F" w:rsidP="003671CC">
            <w:pPr>
              <w:widowControl w:val="0"/>
              <w:jc w:val="center"/>
              <w:rPr>
                <w:kern w:val="22"/>
                <w:sz w:val="21"/>
                <w:szCs w:val="21"/>
              </w:rPr>
            </w:pPr>
          </w:p>
        </w:tc>
        <w:tc>
          <w:tcPr>
            <w:tcW w:w="1476" w:type="dxa"/>
            <w:shd w:val="clear" w:color="auto" w:fill="auto"/>
          </w:tcPr>
          <w:p w14:paraId="7AAF6C0B" w14:textId="77777777" w:rsidR="00C55A3F" w:rsidRPr="00FA3FC5" w:rsidRDefault="00C55A3F" w:rsidP="003671CC">
            <w:pPr>
              <w:widowControl w:val="0"/>
              <w:jc w:val="left"/>
              <w:rPr>
                <w:kern w:val="22"/>
                <w:sz w:val="21"/>
                <w:szCs w:val="21"/>
              </w:rPr>
            </w:pPr>
          </w:p>
        </w:tc>
      </w:tr>
      <w:tr w:rsidR="00C55A3F" w:rsidRPr="00FA3FC5" w14:paraId="58362138" w14:textId="77777777" w:rsidTr="00E80CEA">
        <w:trPr>
          <w:cantSplit/>
          <w:jc w:val="center"/>
        </w:trPr>
        <w:tc>
          <w:tcPr>
            <w:tcW w:w="1696" w:type="dxa"/>
            <w:vMerge/>
            <w:shd w:val="clear" w:color="auto" w:fill="auto"/>
          </w:tcPr>
          <w:p w14:paraId="04970651"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30DA129D" w14:textId="1FA08372" w:rsidR="00C55A3F" w:rsidRPr="00044F6E" w:rsidRDefault="00360081" w:rsidP="00044F6E">
            <w:pPr>
              <w:widowControl w:val="0"/>
              <w:spacing w:after="60"/>
              <w:ind w:left="360" w:hanging="360"/>
              <w:jc w:val="left"/>
              <w:rPr>
                <w:kern w:val="22"/>
                <w:sz w:val="21"/>
                <w:szCs w:val="21"/>
              </w:rPr>
            </w:pPr>
            <w:r w:rsidRPr="00FA3FC5">
              <w:rPr>
                <w:kern w:val="22"/>
                <w:sz w:val="21"/>
                <w:szCs w:val="21"/>
              </w:rPr>
              <w:t>(f)</w:t>
            </w:r>
            <w:r w:rsidRPr="00FA3FC5">
              <w:rPr>
                <w:kern w:val="22"/>
                <w:sz w:val="21"/>
                <w:szCs w:val="21"/>
              </w:rPr>
              <w:tab/>
            </w:r>
            <w:r w:rsidR="00C55A3F" w:rsidRPr="00044F6E">
              <w:rPr>
                <w:kern w:val="22"/>
                <w:sz w:val="21"/>
                <w:szCs w:val="21"/>
              </w:rPr>
              <w:t>Strengthening the capacity of Governments to efficiently manage and share information and knowledge across conventions, among other things, through making use of tools, such as the Data Reporting tool (</w:t>
            </w:r>
            <w:proofErr w:type="spellStart"/>
            <w:r w:rsidR="00C55A3F" w:rsidRPr="00044F6E">
              <w:rPr>
                <w:kern w:val="22"/>
                <w:sz w:val="21"/>
                <w:szCs w:val="21"/>
              </w:rPr>
              <w:t>DaRT</w:t>
            </w:r>
            <w:proofErr w:type="spellEnd"/>
            <w:r w:rsidR="00C55A3F" w:rsidRPr="00044F6E">
              <w:rPr>
                <w:kern w:val="22"/>
                <w:sz w:val="21"/>
                <w:szCs w:val="21"/>
              </w:rPr>
              <w:t>) and the adoption of coherent and synergistic approaches</w:t>
            </w:r>
          </w:p>
        </w:tc>
        <w:tc>
          <w:tcPr>
            <w:tcW w:w="893" w:type="dxa"/>
          </w:tcPr>
          <w:p w14:paraId="3908EBED" w14:textId="77777777" w:rsidR="00C55A3F" w:rsidRPr="00FA3FC5" w:rsidRDefault="00C55A3F" w:rsidP="003671CC">
            <w:pPr>
              <w:widowControl w:val="0"/>
              <w:jc w:val="center"/>
              <w:rPr>
                <w:kern w:val="22"/>
                <w:sz w:val="21"/>
                <w:szCs w:val="21"/>
              </w:rPr>
            </w:pPr>
          </w:p>
        </w:tc>
        <w:tc>
          <w:tcPr>
            <w:tcW w:w="1476" w:type="dxa"/>
            <w:shd w:val="clear" w:color="auto" w:fill="auto"/>
          </w:tcPr>
          <w:p w14:paraId="264FA33D" w14:textId="77777777" w:rsidR="00C55A3F" w:rsidRPr="00FA3FC5" w:rsidRDefault="00C55A3F" w:rsidP="003671CC">
            <w:pPr>
              <w:widowControl w:val="0"/>
              <w:jc w:val="left"/>
              <w:rPr>
                <w:kern w:val="22"/>
                <w:sz w:val="21"/>
                <w:szCs w:val="21"/>
              </w:rPr>
            </w:pPr>
          </w:p>
        </w:tc>
      </w:tr>
      <w:tr w:rsidR="00C55A3F" w:rsidRPr="00FA3FC5" w14:paraId="330206B5" w14:textId="77777777" w:rsidTr="00E80CEA">
        <w:trPr>
          <w:cantSplit/>
          <w:jc w:val="center"/>
        </w:trPr>
        <w:tc>
          <w:tcPr>
            <w:tcW w:w="1696" w:type="dxa"/>
            <w:vMerge/>
            <w:shd w:val="clear" w:color="auto" w:fill="auto"/>
          </w:tcPr>
          <w:p w14:paraId="2FA534D1"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6FE7F6BC" w14:textId="41946ECC" w:rsidR="00C55A3F" w:rsidRPr="00044F6E" w:rsidRDefault="00360081" w:rsidP="00044F6E">
            <w:pPr>
              <w:widowControl w:val="0"/>
              <w:spacing w:after="60"/>
              <w:ind w:left="360" w:hanging="360"/>
              <w:jc w:val="left"/>
              <w:rPr>
                <w:kern w:val="22"/>
                <w:sz w:val="21"/>
                <w:szCs w:val="21"/>
              </w:rPr>
            </w:pPr>
            <w:r w:rsidRPr="00FA3FC5">
              <w:rPr>
                <w:kern w:val="22"/>
                <w:sz w:val="21"/>
                <w:szCs w:val="21"/>
              </w:rPr>
              <w:t>(g)</w:t>
            </w:r>
            <w:r w:rsidRPr="00FA3FC5">
              <w:rPr>
                <w:kern w:val="22"/>
                <w:sz w:val="21"/>
                <w:szCs w:val="21"/>
              </w:rPr>
              <w:tab/>
            </w:r>
            <w:r w:rsidR="00C55A3F" w:rsidRPr="00044F6E">
              <w:rPr>
                <w:kern w:val="22"/>
                <w:sz w:val="21"/>
                <w:szCs w:val="21"/>
              </w:rPr>
              <w:t>Development of more scalable biodiversity observation data that allows for both the unbiased aggregation of national data and disaggregation of global data utilizing common standards</w:t>
            </w:r>
          </w:p>
        </w:tc>
        <w:tc>
          <w:tcPr>
            <w:tcW w:w="893" w:type="dxa"/>
          </w:tcPr>
          <w:p w14:paraId="30F18F12" w14:textId="77777777" w:rsidR="00C55A3F" w:rsidRPr="00FA3FC5" w:rsidRDefault="00C55A3F" w:rsidP="003671CC">
            <w:pPr>
              <w:widowControl w:val="0"/>
              <w:jc w:val="center"/>
              <w:rPr>
                <w:kern w:val="22"/>
                <w:sz w:val="21"/>
                <w:szCs w:val="21"/>
              </w:rPr>
            </w:pPr>
          </w:p>
        </w:tc>
        <w:tc>
          <w:tcPr>
            <w:tcW w:w="1476" w:type="dxa"/>
            <w:shd w:val="clear" w:color="auto" w:fill="auto"/>
          </w:tcPr>
          <w:p w14:paraId="3E0A7A49" w14:textId="77777777" w:rsidR="00C55A3F" w:rsidRPr="00FA3FC5" w:rsidRDefault="00C55A3F" w:rsidP="003671CC">
            <w:pPr>
              <w:widowControl w:val="0"/>
              <w:jc w:val="left"/>
              <w:rPr>
                <w:kern w:val="22"/>
                <w:sz w:val="21"/>
                <w:szCs w:val="21"/>
              </w:rPr>
            </w:pPr>
          </w:p>
        </w:tc>
      </w:tr>
      <w:tr w:rsidR="00C55A3F" w:rsidRPr="00FA3FC5" w14:paraId="0A3A3E5E" w14:textId="77777777" w:rsidTr="00E80CEA">
        <w:trPr>
          <w:cantSplit/>
          <w:jc w:val="center"/>
        </w:trPr>
        <w:tc>
          <w:tcPr>
            <w:tcW w:w="1696" w:type="dxa"/>
            <w:vMerge/>
            <w:shd w:val="clear" w:color="auto" w:fill="auto"/>
          </w:tcPr>
          <w:p w14:paraId="6FC80C77"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689332B4" w14:textId="642BEAD7"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(h)</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Provision of guidance to governments and non-government actors on how to incentivize the engagement of various actors in knowledge management, particularly to develop a better culture of knowledge sharing and application</w:t>
            </w:r>
          </w:p>
        </w:tc>
        <w:tc>
          <w:tcPr>
            <w:tcW w:w="893" w:type="dxa"/>
          </w:tcPr>
          <w:p w14:paraId="720D1ECB" w14:textId="77777777" w:rsidR="00C55A3F" w:rsidRPr="00FA3FC5" w:rsidRDefault="00C55A3F" w:rsidP="003671CC">
            <w:pPr>
              <w:widowControl w:val="0"/>
              <w:jc w:val="center"/>
              <w:rPr>
                <w:kern w:val="22"/>
                <w:sz w:val="21"/>
                <w:szCs w:val="21"/>
              </w:rPr>
            </w:pPr>
          </w:p>
        </w:tc>
        <w:tc>
          <w:tcPr>
            <w:tcW w:w="1476" w:type="dxa"/>
            <w:shd w:val="clear" w:color="auto" w:fill="auto"/>
          </w:tcPr>
          <w:p w14:paraId="7C63582A" w14:textId="77777777" w:rsidR="00C55A3F" w:rsidRPr="00FA3FC5" w:rsidRDefault="00C55A3F" w:rsidP="003671CC">
            <w:pPr>
              <w:widowControl w:val="0"/>
              <w:jc w:val="left"/>
              <w:rPr>
                <w:kern w:val="22"/>
                <w:sz w:val="21"/>
                <w:szCs w:val="21"/>
              </w:rPr>
            </w:pPr>
          </w:p>
        </w:tc>
      </w:tr>
      <w:tr w:rsidR="00C55A3F" w:rsidRPr="00FA3FC5" w14:paraId="170EF6C3" w14:textId="77777777" w:rsidTr="00E80CEA">
        <w:trPr>
          <w:cantSplit/>
          <w:jc w:val="center"/>
        </w:trPr>
        <w:tc>
          <w:tcPr>
            <w:tcW w:w="1696" w:type="dxa"/>
            <w:vMerge w:val="restart"/>
            <w:shd w:val="clear" w:color="auto" w:fill="auto"/>
          </w:tcPr>
          <w:p w14:paraId="77776068" w14:textId="5FF07F2B" w:rsidR="00C55A3F" w:rsidRPr="00FE0CDA" w:rsidRDefault="00360081" w:rsidP="00044F6E">
            <w:pPr>
              <w:widowControl w:val="0"/>
              <w:ind w:left="430" w:hanging="430"/>
              <w:jc w:val="left"/>
              <w:rPr>
                <w:rFonts w:eastAsia="MS Mincho"/>
                <w:bCs/>
                <w:noProof/>
                <w:snapToGrid w:val="0"/>
                <w:kern w:val="22"/>
                <w:sz w:val="21"/>
                <w:szCs w:val="21"/>
              </w:rPr>
            </w:pPr>
            <w:r w:rsidRPr="00FA3FC5">
              <w:rPr>
                <w:rFonts w:asciiTheme="majorBidi" w:eastAsia="MS Mincho" w:hAnsiTheme="majorBidi" w:cstheme="majorBidi"/>
                <w:bCs/>
                <w:noProof/>
                <w:snapToGrid w:val="0"/>
                <w:kern w:val="22"/>
                <w:sz w:val="21"/>
                <w:szCs w:val="21"/>
              </w:rPr>
              <w:t>D.</w:t>
            </w:r>
            <w:r w:rsidRPr="00FA3FC5">
              <w:rPr>
                <w:rFonts w:asciiTheme="majorBidi" w:eastAsia="MS Mincho" w:hAnsiTheme="majorBidi" w:cstheme="majorBidi"/>
                <w:bCs/>
                <w:noProof/>
                <w:snapToGrid w:val="0"/>
                <w:kern w:val="22"/>
                <w:sz w:val="21"/>
                <w:szCs w:val="21"/>
              </w:rPr>
              <w:tab/>
            </w:r>
            <w:r w:rsidR="00C55A3F" w:rsidRPr="00FE0CDA">
              <w:rPr>
                <w:rFonts w:eastAsia="MS Mincho"/>
                <w:bCs/>
                <w:noProof/>
                <w:snapToGrid w:val="0"/>
                <w:kern w:val="22"/>
                <w:sz w:val="21"/>
                <w:szCs w:val="21"/>
              </w:rPr>
              <w:t>Promoting the effective use of knowledge</w:t>
            </w:r>
          </w:p>
        </w:tc>
        <w:tc>
          <w:tcPr>
            <w:tcW w:w="5476" w:type="dxa"/>
          </w:tcPr>
          <w:p w14:paraId="39BA61D4" w14:textId="628A083F" w:rsidR="00C55A3F" w:rsidRPr="00FE0CDA"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FE0CDA">
              <w:rPr>
                <w:rFonts w:eastAsia="MS Mincho"/>
                <w:bCs/>
                <w:noProof/>
                <w:snapToGrid w:val="0"/>
                <w:kern w:val="22"/>
                <w:sz w:val="21"/>
                <w:szCs w:val="21"/>
              </w:rPr>
              <w:t>Development of a change management strategy, including communication and marketing, to increase the uptake, utilization and application of existing biodiversity data, information and knowledge</w:t>
            </w:r>
          </w:p>
        </w:tc>
        <w:tc>
          <w:tcPr>
            <w:tcW w:w="893" w:type="dxa"/>
          </w:tcPr>
          <w:p w14:paraId="3E47D928" w14:textId="77777777" w:rsidR="00C55A3F" w:rsidRPr="00FA3FC5" w:rsidRDefault="00C55A3F" w:rsidP="003671CC">
            <w:pPr>
              <w:widowControl w:val="0"/>
              <w:jc w:val="center"/>
              <w:rPr>
                <w:kern w:val="22"/>
                <w:sz w:val="21"/>
                <w:szCs w:val="21"/>
              </w:rPr>
            </w:pPr>
          </w:p>
        </w:tc>
        <w:tc>
          <w:tcPr>
            <w:tcW w:w="1476" w:type="dxa"/>
            <w:shd w:val="clear" w:color="auto" w:fill="auto"/>
          </w:tcPr>
          <w:p w14:paraId="6562B6E2" w14:textId="77777777" w:rsidR="00C55A3F" w:rsidRPr="00FA3FC5" w:rsidRDefault="00C55A3F" w:rsidP="003671CC">
            <w:pPr>
              <w:widowControl w:val="0"/>
              <w:jc w:val="left"/>
              <w:rPr>
                <w:kern w:val="22"/>
                <w:sz w:val="21"/>
                <w:szCs w:val="21"/>
              </w:rPr>
            </w:pPr>
          </w:p>
        </w:tc>
      </w:tr>
      <w:tr w:rsidR="00C55A3F" w:rsidRPr="00FA3FC5" w14:paraId="14F97A24" w14:textId="77777777" w:rsidTr="00E80CEA">
        <w:trPr>
          <w:cantSplit/>
          <w:jc w:val="center"/>
        </w:trPr>
        <w:tc>
          <w:tcPr>
            <w:tcW w:w="1696" w:type="dxa"/>
            <w:vMerge/>
            <w:shd w:val="clear" w:color="auto" w:fill="auto"/>
          </w:tcPr>
          <w:p w14:paraId="341D5794"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64B5A034" w14:textId="6D1BB995" w:rsidR="00C55A3F" w:rsidRPr="00044F6E"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Promotion and facilitation of the sharing of experience in the use of information and knowledge, including through communities of practice</w:t>
            </w:r>
          </w:p>
        </w:tc>
        <w:tc>
          <w:tcPr>
            <w:tcW w:w="893" w:type="dxa"/>
          </w:tcPr>
          <w:p w14:paraId="26CFEA1F" w14:textId="77777777" w:rsidR="00C55A3F" w:rsidRPr="00FA3FC5" w:rsidRDefault="00C55A3F" w:rsidP="003671CC">
            <w:pPr>
              <w:widowControl w:val="0"/>
              <w:jc w:val="center"/>
              <w:rPr>
                <w:kern w:val="22"/>
                <w:sz w:val="21"/>
                <w:szCs w:val="21"/>
              </w:rPr>
            </w:pPr>
          </w:p>
        </w:tc>
        <w:tc>
          <w:tcPr>
            <w:tcW w:w="1476" w:type="dxa"/>
            <w:shd w:val="clear" w:color="auto" w:fill="auto"/>
          </w:tcPr>
          <w:p w14:paraId="11556B13" w14:textId="77777777" w:rsidR="00C55A3F" w:rsidRPr="00FA3FC5" w:rsidRDefault="00C55A3F" w:rsidP="003671CC">
            <w:pPr>
              <w:widowControl w:val="0"/>
              <w:jc w:val="left"/>
              <w:rPr>
                <w:kern w:val="22"/>
                <w:sz w:val="21"/>
                <w:szCs w:val="21"/>
              </w:rPr>
            </w:pPr>
          </w:p>
        </w:tc>
      </w:tr>
      <w:tr w:rsidR="00C55A3F" w:rsidRPr="00FA3FC5" w14:paraId="46BF1660" w14:textId="77777777" w:rsidTr="00E80CEA">
        <w:trPr>
          <w:cantSplit/>
          <w:jc w:val="center"/>
        </w:trPr>
        <w:tc>
          <w:tcPr>
            <w:tcW w:w="1696" w:type="dxa"/>
            <w:vMerge/>
            <w:shd w:val="clear" w:color="auto" w:fill="auto"/>
          </w:tcPr>
          <w:p w14:paraId="41CF806F"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507EF57E" w14:textId="66D9BC1A" w:rsidR="00C55A3F" w:rsidRPr="00044F6E"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Engagement of a broader range of stakeholders in the use of new knowledge sharing tools, including social media</w:t>
            </w:r>
          </w:p>
        </w:tc>
        <w:tc>
          <w:tcPr>
            <w:tcW w:w="893" w:type="dxa"/>
          </w:tcPr>
          <w:p w14:paraId="319CD471" w14:textId="77777777" w:rsidR="00C55A3F" w:rsidRPr="00FA3FC5" w:rsidRDefault="00C55A3F" w:rsidP="003671CC">
            <w:pPr>
              <w:widowControl w:val="0"/>
              <w:jc w:val="center"/>
              <w:rPr>
                <w:kern w:val="22"/>
                <w:sz w:val="21"/>
                <w:szCs w:val="21"/>
              </w:rPr>
            </w:pPr>
          </w:p>
        </w:tc>
        <w:tc>
          <w:tcPr>
            <w:tcW w:w="1476" w:type="dxa"/>
            <w:shd w:val="clear" w:color="auto" w:fill="auto"/>
          </w:tcPr>
          <w:p w14:paraId="688EBB94" w14:textId="77777777" w:rsidR="00C55A3F" w:rsidRPr="00FA3FC5" w:rsidRDefault="00C55A3F" w:rsidP="003671CC">
            <w:pPr>
              <w:widowControl w:val="0"/>
              <w:jc w:val="left"/>
              <w:rPr>
                <w:kern w:val="22"/>
                <w:sz w:val="21"/>
                <w:szCs w:val="21"/>
              </w:rPr>
            </w:pPr>
          </w:p>
        </w:tc>
      </w:tr>
      <w:tr w:rsidR="00C55A3F" w:rsidRPr="00FA3FC5" w14:paraId="7AF8E6D4" w14:textId="77777777" w:rsidTr="00E80CEA">
        <w:trPr>
          <w:cantSplit/>
          <w:jc w:val="center"/>
        </w:trPr>
        <w:tc>
          <w:tcPr>
            <w:tcW w:w="1696" w:type="dxa"/>
            <w:vMerge/>
            <w:shd w:val="clear" w:color="auto" w:fill="auto"/>
          </w:tcPr>
          <w:p w14:paraId="2BCA3326"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0718FD38" w14:textId="51D2F92F" w:rsidR="00C55A3F" w:rsidRPr="00044F6E"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(d)</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Creation of mechanisms and initiatives to facilitate ongoing dialogue between the research community and policymakers, decision makers and practitioners</w:t>
            </w:r>
          </w:p>
        </w:tc>
        <w:tc>
          <w:tcPr>
            <w:tcW w:w="893" w:type="dxa"/>
          </w:tcPr>
          <w:p w14:paraId="64B6FA99" w14:textId="77777777" w:rsidR="00C55A3F" w:rsidRPr="00FA3FC5" w:rsidRDefault="00C55A3F" w:rsidP="003671CC">
            <w:pPr>
              <w:widowControl w:val="0"/>
              <w:jc w:val="center"/>
              <w:rPr>
                <w:kern w:val="22"/>
                <w:sz w:val="21"/>
                <w:szCs w:val="21"/>
              </w:rPr>
            </w:pPr>
          </w:p>
        </w:tc>
        <w:tc>
          <w:tcPr>
            <w:tcW w:w="1476" w:type="dxa"/>
            <w:shd w:val="clear" w:color="auto" w:fill="auto"/>
          </w:tcPr>
          <w:p w14:paraId="5AB8B4B2" w14:textId="77777777" w:rsidR="00C55A3F" w:rsidRPr="00FA3FC5" w:rsidRDefault="00C55A3F" w:rsidP="003671CC">
            <w:pPr>
              <w:widowControl w:val="0"/>
              <w:jc w:val="left"/>
              <w:rPr>
                <w:kern w:val="22"/>
                <w:sz w:val="21"/>
                <w:szCs w:val="21"/>
              </w:rPr>
            </w:pPr>
          </w:p>
        </w:tc>
      </w:tr>
      <w:tr w:rsidR="00C55A3F" w:rsidRPr="00FA3FC5" w14:paraId="4E6B4C38" w14:textId="77777777" w:rsidTr="00E80CEA">
        <w:trPr>
          <w:cantSplit/>
          <w:jc w:val="center"/>
        </w:trPr>
        <w:tc>
          <w:tcPr>
            <w:tcW w:w="1696" w:type="dxa"/>
            <w:vMerge/>
            <w:shd w:val="clear" w:color="auto" w:fill="auto"/>
          </w:tcPr>
          <w:p w14:paraId="39BC4EDF"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082AA498" w14:textId="5B4CCC81" w:rsidR="00C55A3F" w:rsidRPr="00044F6E"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(e)</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Establishment of linkages between scientific and citizens’ networks and communication experts to enable the translation of scientific outcomes into knowledge products</w:t>
            </w:r>
          </w:p>
        </w:tc>
        <w:tc>
          <w:tcPr>
            <w:tcW w:w="893" w:type="dxa"/>
          </w:tcPr>
          <w:p w14:paraId="66F91E0E" w14:textId="77777777" w:rsidR="00C55A3F" w:rsidRPr="00FA3FC5" w:rsidRDefault="00C55A3F" w:rsidP="003671CC">
            <w:pPr>
              <w:widowControl w:val="0"/>
              <w:jc w:val="center"/>
              <w:rPr>
                <w:kern w:val="22"/>
                <w:sz w:val="21"/>
                <w:szCs w:val="21"/>
              </w:rPr>
            </w:pPr>
          </w:p>
        </w:tc>
        <w:tc>
          <w:tcPr>
            <w:tcW w:w="1476" w:type="dxa"/>
            <w:shd w:val="clear" w:color="auto" w:fill="auto"/>
          </w:tcPr>
          <w:p w14:paraId="7E02D9D2"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2BB677FC" w14:textId="77777777" w:rsidTr="00E80CEA">
        <w:trPr>
          <w:cantSplit/>
          <w:jc w:val="center"/>
        </w:trPr>
        <w:tc>
          <w:tcPr>
            <w:tcW w:w="1696" w:type="dxa"/>
            <w:vMerge/>
            <w:shd w:val="clear" w:color="auto" w:fill="auto"/>
          </w:tcPr>
          <w:p w14:paraId="0557CECC"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14A52268" w14:textId="014AAA93" w:rsidR="00C55A3F" w:rsidRPr="00044F6E" w:rsidRDefault="00360081" w:rsidP="00044F6E">
            <w:pPr>
              <w:widowControl w:val="0"/>
              <w:spacing w:after="60"/>
              <w:ind w:left="310" w:hanging="360"/>
              <w:jc w:val="left"/>
              <w:rPr>
                <w:rFonts w:eastAsia="MS Mincho"/>
                <w:bCs/>
                <w:noProof/>
                <w:snapToGrid w:val="0"/>
                <w:kern w:val="22"/>
                <w:sz w:val="21"/>
                <w:szCs w:val="21"/>
              </w:rPr>
            </w:pPr>
            <w:r w:rsidRPr="00FA3FC5">
              <w:rPr>
                <w:rFonts w:eastAsia="MS Mincho"/>
                <w:bCs/>
                <w:noProof/>
                <w:snapToGrid w:val="0"/>
                <w:kern w:val="22"/>
                <w:sz w:val="21"/>
                <w:szCs w:val="21"/>
              </w:rPr>
              <w:t>(f)</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Promotion and facilitation of the use of biodiversity data, information and knowledge in the planning processes of other sectors and in a cross-departmental way within governments</w:t>
            </w:r>
          </w:p>
        </w:tc>
        <w:tc>
          <w:tcPr>
            <w:tcW w:w="893" w:type="dxa"/>
          </w:tcPr>
          <w:p w14:paraId="1E25AF66" w14:textId="77777777" w:rsidR="00C55A3F" w:rsidRPr="00FA3FC5" w:rsidRDefault="00C55A3F" w:rsidP="003671CC">
            <w:pPr>
              <w:widowControl w:val="0"/>
              <w:jc w:val="center"/>
              <w:rPr>
                <w:kern w:val="22"/>
                <w:sz w:val="21"/>
                <w:szCs w:val="21"/>
              </w:rPr>
            </w:pPr>
          </w:p>
        </w:tc>
        <w:tc>
          <w:tcPr>
            <w:tcW w:w="1476" w:type="dxa"/>
            <w:shd w:val="clear" w:color="auto" w:fill="auto"/>
          </w:tcPr>
          <w:p w14:paraId="26C697B3" w14:textId="77777777" w:rsidR="00C55A3F" w:rsidRPr="00FA3FC5" w:rsidRDefault="00C55A3F" w:rsidP="003671CC">
            <w:pPr>
              <w:widowControl w:val="0"/>
              <w:jc w:val="left"/>
              <w:rPr>
                <w:kern w:val="22"/>
                <w:sz w:val="21"/>
                <w:szCs w:val="21"/>
              </w:rPr>
            </w:pPr>
          </w:p>
        </w:tc>
      </w:tr>
      <w:tr w:rsidR="00C55A3F" w:rsidRPr="00FA3FC5" w14:paraId="23535D71" w14:textId="77777777" w:rsidTr="00E80CEA">
        <w:trPr>
          <w:cantSplit/>
          <w:jc w:val="center"/>
        </w:trPr>
        <w:tc>
          <w:tcPr>
            <w:tcW w:w="1696" w:type="dxa"/>
            <w:vMerge w:val="restart"/>
            <w:shd w:val="clear" w:color="auto" w:fill="auto"/>
          </w:tcPr>
          <w:p w14:paraId="1225BCBE" w14:textId="51893CA0" w:rsidR="00C55A3F" w:rsidRPr="00044F6E" w:rsidRDefault="00360081" w:rsidP="00044F6E">
            <w:pPr>
              <w:widowControl w:val="0"/>
              <w:ind w:left="430" w:hanging="430"/>
              <w:jc w:val="left"/>
              <w:rPr>
                <w:rFonts w:eastAsia="MS Mincho"/>
                <w:bCs/>
                <w:noProof/>
                <w:snapToGrid w:val="0"/>
                <w:kern w:val="22"/>
                <w:sz w:val="21"/>
                <w:szCs w:val="21"/>
              </w:rPr>
            </w:pPr>
            <w:r w:rsidRPr="00FA3FC5">
              <w:rPr>
                <w:rFonts w:asciiTheme="majorBidi" w:eastAsia="MS Mincho" w:hAnsiTheme="majorBidi" w:cstheme="majorBidi"/>
                <w:bCs/>
                <w:noProof/>
                <w:snapToGrid w:val="0"/>
                <w:kern w:val="22"/>
                <w:sz w:val="21"/>
                <w:szCs w:val="21"/>
              </w:rPr>
              <w:t>E.</w:t>
            </w:r>
            <w:r w:rsidRPr="00FA3FC5">
              <w:rPr>
                <w:rFonts w:asciiTheme="majorBidi" w:eastAsia="MS Mincho" w:hAnsiTheme="majorBidi" w:cstheme="majorBidi"/>
                <w:bCs/>
                <w:noProof/>
                <w:snapToGrid w:val="0"/>
                <w:kern w:val="22"/>
                <w:sz w:val="21"/>
                <w:szCs w:val="21"/>
              </w:rPr>
              <w:tab/>
            </w:r>
            <w:r w:rsidR="00C55A3F" w:rsidRPr="00044F6E">
              <w:rPr>
                <w:rFonts w:eastAsia="MS Mincho"/>
                <w:bCs/>
                <w:noProof/>
                <w:snapToGrid w:val="0"/>
                <w:kern w:val="22"/>
                <w:sz w:val="21"/>
                <w:szCs w:val="21"/>
              </w:rPr>
              <w:t>Conducting knowledge audits and  reviews</w:t>
            </w:r>
          </w:p>
        </w:tc>
        <w:tc>
          <w:tcPr>
            <w:tcW w:w="5476" w:type="dxa"/>
          </w:tcPr>
          <w:p w14:paraId="4CC66F5C" w14:textId="2E511689"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Undertaking periodic knowlegement management surveys to</w:t>
            </w:r>
            <w:r w:rsidR="00C55A3F" w:rsidRPr="00044F6E">
              <w:rPr>
                <w:kern w:val="22"/>
                <w:sz w:val="21"/>
                <w:szCs w:val="21"/>
              </w:rPr>
              <w:t xml:space="preserve"> </w:t>
            </w:r>
            <w:r w:rsidR="00C55A3F" w:rsidRPr="00044F6E">
              <w:rPr>
                <w:rFonts w:eastAsia="MS Mincho"/>
                <w:bCs/>
                <w:noProof/>
                <w:snapToGrid w:val="0"/>
                <w:kern w:val="22"/>
                <w:sz w:val="21"/>
                <w:szCs w:val="21"/>
              </w:rPr>
              <w:t>assess, among other things, the types of information and knowledge they seek most frequently, the ease of access to the information they need, existing knowledge gaps, level of knowledge-sharing and</w:t>
            </w:r>
            <w:r w:rsidR="00C55A3F" w:rsidRPr="00044F6E">
              <w:rPr>
                <w:kern w:val="22"/>
                <w:sz w:val="21"/>
                <w:szCs w:val="21"/>
              </w:rPr>
              <w:t xml:space="preserve"> </w:t>
            </w:r>
            <w:r w:rsidR="00C55A3F" w:rsidRPr="00044F6E">
              <w:rPr>
                <w:rFonts w:eastAsia="MS Mincho"/>
                <w:bCs/>
                <w:noProof/>
                <w:snapToGrid w:val="0"/>
                <w:kern w:val="22"/>
                <w:sz w:val="21"/>
                <w:szCs w:val="21"/>
              </w:rPr>
              <w:t>the channels they prefer</w:t>
            </w:r>
          </w:p>
        </w:tc>
        <w:tc>
          <w:tcPr>
            <w:tcW w:w="893" w:type="dxa"/>
          </w:tcPr>
          <w:p w14:paraId="73AAE7F2" w14:textId="77777777" w:rsidR="00C55A3F" w:rsidRPr="00FA3FC5" w:rsidRDefault="00C55A3F" w:rsidP="003671CC">
            <w:pPr>
              <w:widowControl w:val="0"/>
              <w:jc w:val="center"/>
              <w:rPr>
                <w:rFonts w:eastAsia="MS Mincho"/>
                <w:bCs/>
                <w:noProof/>
                <w:snapToGrid w:val="0"/>
                <w:kern w:val="22"/>
                <w:sz w:val="21"/>
                <w:szCs w:val="21"/>
              </w:rPr>
            </w:pPr>
          </w:p>
        </w:tc>
        <w:tc>
          <w:tcPr>
            <w:tcW w:w="1476" w:type="dxa"/>
            <w:shd w:val="clear" w:color="auto" w:fill="auto"/>
          </w:tcPr>
          <w:p w14:paraId="7E9132B6"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43CA23DD" w14:textId="77777777" w:rsidTr="00E80CEA">
        <w:trPr>
          <w:cantSplit/>
          <w:jc w:val="center"/>
        </w:trPr>
        <w:tc>
          <w:tcPr>
            <w:tcW w:w="1696" w:type="dxa"/>
            <w:vMerge/>
            <w:shd w:val="clear" w:color="auto" w:fill="auto"/>
          </w:tcPr>
          <w:p w14:paraId="50346C20"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0624EAAF" w14:textId="76E2E1DC"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Analysis of major knowledge gaps and identification of options to address them</w:t>
            </w:r>
          </w:p>
        </w:tc>
        <w:tc>
          <w:tcPr>
            <w:tcW w:w="893" w:type="dxa"/>
          </w:tcPr>
          <w:p w14:paraId="514BF3FF" w14:textId="77777777" w:rsidR="00C55A3F" w:rsidRPr="00FA3FC5" w:rsidRDefault="00C55A3F" w:rsidP="003671CC">
            <w:pPr>
              <w:widowControl w:val="0"/>
              <w:jc w:val="center"/>
              <w:rPr>
                <w:rFonts w:eastAsia="MS Mincho"/>
                <w:bCs/>
                <w:noProof/>
                <w:snapToGrid w:val="0"/>
                <w:kern w:val="22"/>
                <w:sz w:val="21"/>
                <w:szCs w:val="21"/>
              </w:rPr>
            </w:pPr>
          </w:p>
        </w:tc>
        <w:tc>
          <w:tcPr>
            <w:tcW w:w="1476" w:type="dxa"/>
            <w:shd w:val="clear" w:color="auto" w:fill="auto"/>
          </w:tcPr>
          <w:p w14:paraId="69DC4EDB" w14:textId="77777777" w:rsidR="00C55A3F" w:rsidRPr="00FA3FC5" w:rsidRDefault="00C55A3F" w:rsidP="003671CC">
            <w:pPr>
              <w:widowControl w:val="0"/>
              <w:jc w:val="left"/>
              <w:rPr>
                <w:rFonts w:eastAsia="MS Mincho"/>
                <w:bCs/>
                <w:noProof/>
                <w:snapToGrid w:val="0"/>
                <w:kern w:val="22"/>
                <w:sz w:val="21"/>
                <w:szCs w:val="21"/>
              </w:rPr>
            </w:pPr>
          </w:p>
        </w:tc>
      </w:tr>
      <w:tr w:rsidR="00C55A3F" w:rsidRPr="00FA3FC5" w14:paraId="697A6165" w14:textId="77777777" w:rsidTr="00E80CEA">
        <w:trPr>
          <w:cantSplit/>
          <w:jc w:val="center"/>
        </w:trPr>
        <w:tc>
          <w:tcPr>
            <w:tcW w:w="1696" w:type="dxa"/>
            <w:vMerge/>
            <w:shd w:val="clear" w:color="auto" w:fill="auto"/>
          </w:tcPr>
          <w:p w14:paraId="3CCEBC3D" w14:textId="77777777" w:rsidR="00C55A3F" w:rsidRPr="00FA3FC5" w:rsidRDefault="00C55A3F" w:rsidP="003671CC">
            <w:pPr>
              <w:widowControl w:val="0"/>
              <w:rPr>
                <w:rFonts w:eastAsia="MS Mincho"/>
                <w:bCs/>
                <w:noProof/>
                <w:snapToGrid w:val="0"/>
                <w:kern w:val="22"/>
                <w:sz w:val="21"/>
                <w:szCs w:val="21"/>
              </w:rPr>
            </w:pPr>
          </w:p>
        </w:tc>
        <w:tc>
          <w:tcPr>
            <w:tcW w:w="5476" w:type="dxa"/>
          </w:tcPr>
          <w:p w14:paraId="621839AA" w14:textId="4A7C16F3" w:rsidR="00C55A3F" w:rsidRPr="00044F6E" w:rsidRDefault="00360081" w:rsidP="00044F6E">
            <w:pPr>
              <w:widowControl w:val="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Comprehensive review of the knowledge management component</w:t>
            </w:r>
          </w:p>
        </w:tc>
        <w:tc>
          <w:tcPr>
            <w:tcW w:w="893" w:type="dxa"/>
          </w:tcPr>
          <w:p w14:paraId="56690FDD" w14:textId="77777777" w:rsidR="00C55A3F" w:rsidRPr="00FA3FC5" w:rsidRDefault="00C55A3F" w:rsidP="003671CC">
            <w:pPr>
              <w:widowControl w:val="0"/>
              <w:jc w:val="center"/>
              <w:rPr>
                <w:rFonts w:eastAsia="MS Mincho"/>
                <w:bCs/>
                <w:noProof/>
                <w:snapToGrid w:val="0"/>
                <w:kern w:val="22"/>
                <w:sz w:val="21"/>
                <w:szCs w:val="21"/>
              </w:rPr>
            </w:pPr>
          </w:p>
        </w:tc>
        <w:tc>
          <w:tcPr>
            <w:tcW w:w="1476" w:type="dxa"/>
            <w:shd w:val="clear" w:color="auto" w:fill="auto"/>
          </w:tcPr>
          <w:p w14:paraId="17927AB6" w14:textId="77777777" w:rsidR="00C55A3F" w:rsidRPr="00FA3FC5" w:rsidRDefault="00C55A3F" w:rsidP="003671CC">
            <w:pPr>
              <w:widowControl w:val="0"/>
              <w:jc w:val="left"/>
              <w:rPr>
                <w:rFonts w:eastAsia="MS Mincho"/>
                <w:bCs/>
                <w:noProof/>
                <w:snapToGrid w:val="0"/>
                <w:kern w:val="22"/>
                <w:sz w:val="21"/>
                <w:szCs w:val="21"/>
              </w:rPr>
            </w:pPr>
          </w:p>
        </w:tc>
      </w:tr>
    </w:tbl>
    <w:p w14:paraId="5E812C6B" w14:textId="77777777" w:rsidR="00D35A05" w:rsidRPr="00FA3FC5" w:rsidRDefault="00D35A05" w:rsidP="00C55A3F">
      <w:pPr>
        <w:keepNext/>
        <w:widowControl w:val="0"/>
        <w:tabs>
          <w:tab w:val="left" w:pos="6500"/>
          <w:tab w:val="center" w:pos="7069"/>
        </w:tabs>
        <w:spacing w:after="120"/>
        <w:jc w:val="center"/>
        <w:rPr>
          <w:i/>
          <w:iCs/>
          <w:kern w:val="22"/>
        </w:rPr>
      </w:pPr>
    </w:p>
    <w:p w14:paraId="16F75242" w14:textId="2217495F" w:rsidR="00C55A3F" w:rsidRPr="00FA3FC5" w:rsidRDefault="000642FA" w:rsidP="00C55A3F">
      <w:pPr>
        <w:keepNext/>
        <w:widowControl w:val="0"/>
        <w:tabs>
          <w:tab w:val="left" w:pos="6500"/>
          <w:tab w:val="center" w:pos="7069"/>
        </w:tabs>
        <w:spacing w:after="120"/>
        <w:jc w:val="center"/>
        <w:rPr>
          <w:i/>
          <w:iCs/>
          <w:kern w:val="22"/>
        </w:rPr>
      </w:pPr>
      <w:r w:rsidRPr="00FA3FC5">
        <w:rPr>
          <w:i/>
          <w:iCs/>
          <w:kern w:val="22"/>
        </w:rPr>
        <w:t>Appendix</w:t>
      </w:r>
      <w:r w:rsidR="00C55A3F" w:rsidRPr="00FA3FC5">
        <w:rPr>
          <w:i/>
          <w:iCs/>
          <w:kern w:val="22"/>
        </w:rPr>
        <w:t xml:space="preserve"> II</w:t>
      </w:r>
    </w:p>
    <w:p w14:paraId="291B7D67" w14:textId="77777777" w:rsidR="00C55A3F" w:rsidRPr="00FA3FC5" w:rsidRDefault="00C55A3F" w:rsidP="00C55A3F">
      <w:pPr>
        <w:keepNext/>
        <w:widowControl w:val="0"/>
        <w:spacing w:before="120" w:after="120"/>
        <w:jc w:val="center"/>
        <w:rPr>
          <w:b/>
          <w:bCs/>
          <w:kern w:val="22"/>
        </w:rPr>
      </w:pPr>
      <w:r w:rsidRPr="00FA3FC5">
        <w:rPr>
          <w:b/>
          <w:bCs/>
          <w:kern w:val="22"/>
        </w:rPr>
        <w:t>STRATEGIC ACTIONS TO FACILITATE THE IMPLEMENTATION OF THE KNOWLEDGE MANAGEMENT COMPONENT</w:t>
      </w:r>
    </w:p>
    <w:tbl>
      <w:tblPr>
        <w:tblpPr w:leftFromText="180" w:rightFromText="180" w:vertAnchor="text" w:tblpXSpec="center" w:tblpY="1"/>
        <w:tblOverlap w:val="neve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5466"/>
        <w:gridCol w:w="881"/>
        <w:gridCol w:w="1428"/>
      </w:tblGrid>
      <w:tr w:rsidR="000642FA" w:rsidRPr="00FA3FC5" w14:paraId="3520B95F" w14:textId="77777777" w:rsidTr="00E80CEA">
        <w:trPr>
          <w:tblHeader/>
          <w:jc w:val="center"/>
        </w:trPr>
        <w:tc>
          <w:tcPr>
            <w:tcW w:w="857" w:type="pct"/>
            <w:tcBorders>
              <w:bottom w:val="nil"/>
            </w:tcBorders>
            <w:shd w:val="clear" w:color="auto" w:fill="auto"/>
            <w:vAlign w:val="center"/>
          </w:tcPr>
          <w:p w14:paraId="1EA6A094" w14:textId="77777777" w:rsidR="00C55A3F" w:rsidRPr="00E80CEA" w:rsidRDefault="00C55A3F" w:rsidP="00FD4FD5">
            <w:pPr>
              <w:widowControl w:val="0"/>
              <w:spacing w:before="60" w:after="60"/>
              <w:jc w:val="center"/>
              <w:rPr>
                <w:rFonts w:asciiTheme="majorBidi" w:eastAsia="MS Mincho" w:hAnsiTheme="majorBidi" w:cstheme="majorBidi"/>
                <w:b/>
                <w:noProof/>
                <w:snapToGrid w:val="0"/>
                <w:kern w:val="22"/>
                <w:sz w:val="21"/>
                <w:szCs w:val="21"/>
              </w:rPr>
            </w:pPr>
            <w:r w:rsidRPr="00E80CEA">
              <w:rPr>
                <w:rFonts w:asciiTheme="majorBidi" w:eastAsia="MS Mincho" w:hAnsiTheme="majorBidi" w:cstheme="majorBidi"/>
                <w:b/>
                <w:noProof/>
                <w:snapToGrid w:val="0"/>
                <w:kern w:val="22"/>
                <w:sz w:val="21"/>
                <w:szCs w:val="21"/>
              </w:rPr>
              <w:t>Strategic area</w:t>
            </w:r>
          </w:p>
        </w:tc>
        <w:tc>
          <w:tcPr>
            <w:tcW w:w="2902" w:type="pct"/>
            <w:tcBorders>
              <w:bottom w:val="nil"/>
            </w:tcBorders>
            <w:shd w:val="clear" w:color="auto" w:fill="auto"/>
            <w:vAlign w:val="center"/>
          </w:tcPr>
          <w:p w14:paraId="796AFE2B" w14:textId="77777777" w:rsidR="00C55A3F" w:rsidRPr="00E80CEA" w:rsidRDefault="00C55A3F" w:rsidP="00FD4FD5">
            <w:pPr>
              <w:widowControl w:val="0"/>
              <w:spacing w:before="60" w:after="60"/>
              <w:jc w:val="center"/>
              <w:rPr>
                <w:rFonts w:asciiTheme="majorBidi" w:eastAsia="MS Mincho" w:hAnsiTheme="majorBidi" w:cstheme="majorBidi"/>
                <w:b/>
                <w:noProof/>
                <w:snapToGrid w:val="0"/>
                <w:kern w:val="22"/>
                <w:sz w:val="21"/>
                <w:szCs w:val="21"/>
              </w:rPr>
            </w:pPr>
            <w:r w:rsidRPr="00E80CEA">
              <w:rPr>
                <w:rFonts w:asciiTheme="majorBidi" w:eastAsia="MS Mincho" w:hAnsiTheme="majorBidi" w:cstheme="majorBidi"/>
                <w:b/>
                <w:noProof/>
                <w:snapToGrid w:val="0"/>
                <w:kern w:val="22"/>
                <w:sz w:val="21"/>
                <w:szCs w:val="21"/>
              </w:rPr>
              <w:t>Strategic action</w:t>
            </w:r>
          </w:p>
        </w:tc>
        <w:tc>
          <w:tcPr>
            <w:tcW w:w="476" w:type="pct"/>
            <w:tcBorders>
              <w:bottom w:val="nil"/>
            </w:tcBorders>
          </w:tcPr>
          <w:p w14:paraId="18A59E80" w14:textId="77777777" w:rsidR="00C55A3F" w:rsidRPr="00E80CEA" w:rsidRDefault="00C55A3F" w:rsidP="00FD4FD5">
            <w:pPr>
              <w:widowControl w:val="0"/>
              <w:spacing w:before="60" w:after="60"/>
              <w:jc w:val="center"/>
              <w:rPr>
                <w:rFonts w:asciiTheme="majorBidi" w:eastAsia="MS Mincho" w:hAnsiTheme="majorBidi" w:cstheme="majorBidi"/>
                <w:b/>
                <w:noProof/>
                <w:snapToGrid w:val="0"/>
                <w:kern w:val="22"/>
                <w:sz w:val="21"/>
                <w:szCs w:val="21"/>
              </w:rPr>
            </w:pPr>
            <w:r w:rsidRPr="00E80CEA">
              <w:rPr>
                <w:rFonts w:asciiTheme="majorBidi" w:eastAsia="MS Mincho" w:hAnsiTheme="majorBidi" w:cstheme="majorBidi"/>
                <w:b/>
                <w:noProof/>
                <w:snapToGrid w:val="0"/>
                <w:kern w:val="22"/>
                <w:sz w:val="21"/>
                <w:szCs w:val="21"/>
              </w:rPr>
              <w:t>Time frame</w:t>
            </w:r>
          </w:p>
        </w:tc>
        <w:tc>
          <w:tcPr>
            <w:tcW w:w="765" w:type="pct"/>
            <w:tcBorders>
              <w:bottom w:val="nil"/>
            </w:tcBorders>
            <w:shd w:val="clear" w:color="auto" w:fill="auto"/>
            <w:vAlign w:val="center"/>
          </w:tcPr>
          <w:p w14:paraId="24BE571D" w14:textId="77777777" w:rsidR="00C55A3F" w:rsidRPr="00E80CEA" w:rsidRDefault="00C55A3F" w:rsidP="00FD4FD5">
            <w:pPr>
              <w:widowControl w:val="0"/>
              <w:spacing w:before="60" w:after="60"/>
              <w:jc w:val="center"/>
              <w:rPr>
                <w:rFonts w:asciiTheme="majorBidi" w:eastAsia="MS Mincho" w:hAnsiTheme="majorBidi" w:cstheme="majorBidi"/>
                <w:b/>
                <w:noProof/>
                <w:snapToGrid w:val="0"/>
                <w:kern w:val="22"/>
                <w:sz w:val="21"/>
                <w:szCs w:val="21"/>
              </w:rPr>
            </w:pPr>
            <w:r w:rsidRPr="00E80CEA">
              <w:rPr>
                <w:rFonts w:asciiTheme="majorBidi" w:eastAsia="MS Mincho" w:hAnsiTheme="majorBidi" w:cstheme="majorBidi"/>
                <w:b/>
                <w:noProof/>
                <w:snapToGrid w:val="0"/>
                <w:kern w:val="22"/>
                <w:sz w:val="21"/>
                <w:szCs w:val="21"/>
              </w:rPr>
              <w:t>Contributors</w:t>
            </w:r>
          </w:p>
        </w:tc>
      </w:tr>
      <w:tr w:rsidR="000642FA" w:rsidRPr="00FA3FC5" w14:paraId="1824CEDD" w14:textId="77777777" w:rsidTr="00E80CEA">
        <w:trPr>
          <w:jc w:val="center"/>
        </w:trPr>
        <w:tc>
          <w:tcPr>
            <w:tcW w:w="857" w:type="pct"/>
            <w:vMerge w:val="restart"/>
            <w:shd w:val="clear" w:color="auto" w:fill="auto"/>
          </w:tcPr>
          <w:p w14:paraId="43743014" w14:textId="651F117E" w:rsidR="00C55A3F" w:rsidRPr="00FE0CDA" w:rsidRDefault="00360081" w:rsidP="00044F6E">
            <w:pPr>
              <w:widowControl w:val="0"/>
              <w:ind w:left="250" w:hanging="270"/>
              <w:jc w:val="left"/>
              <w:rPr>
                <w:rFonts w:eastAsia="MS Mincho"/>
                <w:bCs/>
                <w:noProof/>
                <w:snapToGrid w:val="0"/>
                <w:spacing w:val="-12"/>
                <w:kern w:val="22"/>
                <w:sz w:val="21"/>
                <w:szCs w:val="21"/>
              </w:rPr>
            </w:pPr>
            <w:r w:rsidRPr="00FA3FC5">
              <w:rPr>
                <w:rFonts w:eastAsia="MS Mincho"/>
                <w:bCs/>
                <w:noProof/>
                <w:snapToGrid w:val="0"/>
                <w:spacing w:val="-12"/>
                <w:kern w:val="22"/>
                <w:sz w:val="21"/>
                <w:szCs w:val="21"/>
              </w:rPr>
              <w:t>A.</w:t>
            </w:r>
            <w:r w:rsidRPr="00FA3FC5">
              <w:rPr>
                <w:rFonts w:eastAsia="MS Mincho"/>
                <w:bCs/>
                <w:noProof/>
                <w:snapToGrid w:val="0"/>
                <w:spacing w:val="-12"/>
                <w:kern w:val="22"/>
                <w:sz w:val="21"/>
                <w:szCs w:val="21"/>
              </w:rPr>
              <w:tab/>
            </w:r>
            <w:r w:rsidR="00C55A3F" w:rsidRPr="00FE0CDA">
              <w:rPr>
                <w:rFonts w:eastAsia="MS Mincho"/>
                <w:bCs/>
                <w:noProof/>
                <w:snapToGrid w:val="0"/>
                <w:kern w:val="22"/>
                <w:sz w:val="21"/>
                <w:szCs w:val="21"/>
              </w:rPr>
              <w:t>Capacity-building in data, information and knowledge management</w:t>
            </w:r>
          </w:p>
        </w:tc>
        <w:tc>
          <w:tcPr>
            <w:tcW w:w="2902" w:type="pct"/>
            <w:tcBorders>
              <w:bottom w:val="nil"/>
            </w:tcBorders>
            <w:shd w:val="clear" w:color="auto" w:fill="auto"/>
          </w:tcPr>
          <w:p w14:paraId="5B653C71" w14:textId="0BAB259B" w:rsidR="00C55A3F" w:rsidRPr="00FE0CDA" w:rsidRDefault="00360081" w:rsidP="00044F6E">
            <w:pPr>
              <w:widowControl w:val="0"/>
              <w:spacing w:after="60"/>
              <w:ind w:left="360" w:hanging="360"/>
              <w:jc w:val="left"/>
              <w:rPr>
                <w:rFonts w:eastAsia="MS Mincho"/>
                <w:noProof/>
                <w:snapToGrid w:val="0"/>
                <w:kern w:val="22"/>
                <w:sz w:val="21"/>
                <w:szCs w:val="21"/>
              </w:rPr>
            </w:pPr>
            <w:r w:rsidRPr="00E80CEA">
              <w:rPr>
                <w:rFonts w:eastAsia="MS Mincho"/>
                <w:bCs/>
                <w:noProof/>
                <w:snapToGrid w:val="0"/>
                <w:kern w:val="22"/>
                <w:sz w:val="21"/>
                <w:szCs w:val="21"/>
              </w:rPr>
              <w:t>(a)</w:t>
            </w:r>
            <w:r w:rsidRPr="00E80CEA">
              <w:rPr>
                <w:rFonts w:eastAsia="MS Mincho"/>
                <w:bCs/>
                <w:noProof/>
                <w:snapToGrid w:val="0"/>
                <w:kern w:val="22"/>
                <w:sz w:val="21"/>
                <w:szCs w:val="21"/>
              </w:rPr>
              <w:tab/>
            </w:r>
            <w:r w:rsidR="00C55A3F" w:rsidRPr="00FE0CDA">
              <w:rPr>
                <w:kern w:val="22"/>
                <w:sz w:val="21"/>
                <w:szCs w:val="21"/>
              </w:rPr>
              <w:t xml:space="preserve">Strengthen the capacity of relevant institutions in bioinformatics, </w:t>
            </w:r>
            <w:proofErr w:type="gramStart"/>
            <w:r w:rsidR="00C55A3F" w:rsidRPr="00FE0CDA">
              <w:rPr>
                <w:kern w:val="22"/>
                <w:sz w:val="21"/>
                <w:szCs w:val="21"/>
              </w:rPr>
              <w:t>information</w:t>
            </w:r>
            <w:proofErr w:type="gramEnd"/>
            <w:r w:rsidR="00C55A3F" w:rsidRPr="00FE0CDA">
              <w:rPr>
                <w:kern w:val="22"/>
                <w:sz w:val="21"/>
                <w:szCs w:val="21"/>
              </w:rPr>
              <w:t xml:space="preserve"> and knowledge management, including through education, training and mentoring of experts and young scientists</w:t>
            </w:r>
          </w:p>
        </w:tc>
        <w:tc>
          <w:tcPr>
            <w:tcW w:w="476" w:type="pct"/>
            <w:tcBorders>
              <w:bottom w:val="nil"/>
            </w:tcBorders>
          </w:tcPr>
          <w:p w14:paraId="55CC9856"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24FCFA8E"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787BD292" w14:textId="77777777" w:rsidTr="00E80CEA">
        <w:trPr>
          <w:jc w:val="center"/>
        </w:trPr>
        <w:tc>
          <w:tcPr>
            <w:tcW w:w="857" w:type="pct"/>
            <w:vMerge/>
            <w:shd w:val="clear" w:color="auto" w:fill="auto"/>
          </w:tcPr>
          <w:p w14:paraId="5720AD61" w14:textId="77777777" w:rsidR="00C55A3F" w:rsidRPr="00FA3FC5" w:rsidRDefault="00C55A3F" w:rsidP="00FD4FD5">
            <w:pPr>
              <w:widowControl w:val="0"/>
              <w:jc w:val="center"/>
              <w:rPr>
                <w:rFonts w:eastAsia="MS Mincho"/>
                <w:b/>
                <w:noProof/>
                <w:snapToGrid w:val="0"/>
                <w:spacing w:val="-12"/>
                <w:kern w:val="22"/>
                <w:sz w:val="21"/>
                <w:szCs w:val="21"/>
              </w:rPr>
            </w:pPr>
          </w:p>
        </w:tc>
        <w:tc>
          <w:tcPr>
            <w:tcW w:w="2902" w:type="pct"/>
            <w:tcBorders>
              <w:bottom w:val="nil"/>
            </w:tcBorders>
            <w:shd w:val="clear" w:color="auto" w:fill="auto"/>
          </w:tcPr>
          <w:p w14:paraId="1BA84BD1" w14:textId="638FF894" w:rsidR="00C55A3F" w:rsidRPr="00044F6E" w:rsidRDefault="00360081" w:rsidP="00044F6E">
            <w:pPr>
              <w:widowControl w:val="0"/>
              <w:spacing w:after="60"/>
              <w:ind w:left="360" w:hanging="360"/>
              <w:jc w:val="left"/>
              <w:rPr>
                <w:rFonts w:eastAsia="MS Mincho"/>
                <w:noProof/>
                <w:snapToGrid w:val="0"/>
                <w:kern w:val="22"/>
                <w:sz w:val="21"/>
                <w:szCs w:val="21"/>
              </w:rPr>
            </w:pPr>
            <w:r w:rsidRPr="00E80CEA">
              <w:rPr>
                <w:rFonts w:eastAsia="MS Mincho"/>
                <w:bCs/>
                <w:noProof/>
                <w:snapToGrid w:val="0"/>
                <w:kern w:val="22"/>
                <w:sz w:val="21"/>
                <w:szCs w:val="21"/>
              </w:rPr>
              <w:t>(b)</w:t>
            </w:r>
            <w:r w:rsidRPr="00E80CEA">
              <w:rPr>
                <w:rFonts w:eastAsia="MS Mincho"/>
                <w:bCs/>
                <w:noProof/>
                <w:snapToGrid w:val="0"/>
                <w:kern w:val="22"/>
                <w:sz w:val="21"/>
                <w:szCs w:val="21"/>
              </w:rPr>
              <w:tab/>
            </w:r>
            <w:r w:rsidR="00C55A3F" w:rsidRPr="00044F6E">
              <w:rPr>
                <w:rFonts w:eastAsia="MS Mincho"/>
                <w:noProof/>
                <w:snapToGrid w:val="0"/>
                <w:kern w:val="22"/>
                <w:sz w:val="21"/>
                <w:szCs w:val="21"/>
              </w:rPr>
              <w:t>Support Governments to put in place enabling policies and laws, institutional arrangements and incentives for knowledge management</w:t>
            </w:r>
          </w:p>
        </w:tc>
        <w:tc>
          <w:tcPr>
            <w:tcW w:w="476" w:type="pct"/>
            <w:tcBorders>
              <w:bottom w:val="nil"/>
            </w:tcBorders>
          </w:tcPr>
          <w:p w14:paraId="227141C8"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6DF5599D"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213FED7D" w14:textId="77777777" w:rsidTr="00E80CEA">
        <w:trPr>
          <w:jc w:val="center"/>
        </w:trPr>
        <w:tc>
          <w:tcPr>
            <w:tcW w:w="857" w:type="pct"/>
            <w:vMerge/>
            <w:shd w:val="clear" w:color="auto" w:fill="auto"/>
          </w:tcPr>
          <w:p w14:paraId="414A12AA" w14:textId="77777777" w:rsidR="00C55A3F" w:rsidRPr="00FA3FC5" w:rsidRDefault="00C55A3F" w:rsidP="00FD4FD5">
            <w:pPr>
              <w:widowControl w:val="0"/>
              <w:jc w:val="center"/>
              <w:rPr>
                <w:rFonts w:eastAsia="MS Mincho"/>
                <w:b/>
                <w:noProof/>
                <w:snapToGrid w:val="0"/>
                <w:spacing w:val="-12"/>
                <w:kern w:val="22"/>
                <w:sz w:val="21"/>
                <w:szCs w:val="21"/>
              </w:rPr>
            </w:pPr>
          </w:p>
        </w:tc>
        <w:tc>
          <w:tcPr>
            <w:tcW w:w="2902" w:type="pct"/>
            <w:tcBorders>
              <w:bottom w:val="nil"/>
            </w:tcBorders>
            <w:shd w:val="clear" w:color="auto" w:fill="auto"/>
          </w:tcPr>
          <w:p w14:paraId="51BAE5B0" w14:textId="52660189" w:rsidR="00C55A3F" w:rsidRPr="00044F6E" w:rsidRDefault="00360081" w:rsidP="00044F6E">
            <w:pPr>
              <w:widowControl w:val="0"/>
              <w:spacing w:after="60"/>
              <w:ind w:left="360" w:hanging="360"/>
              <w:jc w:val="left"/>
              <w:rPr>
                <w:rFonts w:eastAsia="MS Mincho"/>
                <w:noProof/>
                <w:snapToGrid w:val="0"/>
                <w:kern w:val="22"/>
                <w:sz w:val="21"/>
                <w:szCs w:val="21"/>
              </w:rPr>
            </w:pPr>
            <w:r w:rsidRPr="00E80CEA">
              <w:rPr>
                <w:rFonts w:eastAsia="MS Mincho"/>
                <w:bCs/>
                <w:noProof/>
                <w:snapToGrid w:val="0"/>
                <w:kern w:val="22"/>
                <w:sz w:val="21"/>
                <w:szCs w:val="21"/>
              </w:rPr>
              <w:t>(c)</w:t>
            </w:r>
            <w:r w:rsidRPr="00E80CEA">
              <w:rPr>
                <w:rFonts w:eastAsia="MS Mincho"/>
                <w:bCs/>
                <w:noProof/>
                <w:snapToGrid w:val="0"/>
                <w:kern w:val="22"/>
                <w:sz w:val="21"/>
                <w:szCs w:val="21"/>
              </w:rPr>
              <w:tab/>
            </w:r>
            <w:r w:rsidR="00C55A3F" w:rsidRPr="00044F6E">
              <w:rPr>
                <w:rFonts w:eastAsia="MS Mincho"/>
                <w:noProof/>
                <w:snapToGrid w:val="0"/>
                <w:kern w:val="22"/>
                <w:sz w:val="21"/>
                <w:szCs w:val="21"/>
              </w:rPr>
              <w:t>Provide information and guidance on knowledge management and national database development, and share experience in data access and use</w:t>
            </w:r>
          </w:p>
        </w:tc>
        <w:tc>
          <w:tcPr>
            <w:tcW w:w="476" w:type="pct"/>
            <w:tcBorders>
              <w:bottom w:val="nil"/>
            </w:tcBorders>
          </w:tcPr>
          <w:p w14:paraId="0A0A7A4A"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4F022B32"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57EB2BD0" w14:textId="77777777" w:rsidTr="00E80CEA">
        <w:trPr>
          <w:jc w:val="center"/>
        </w:trPr>
        <w:tc>
          <w:tcPr>
            <w:tcW w:w="857" w:type="pct"/>
            <w:vMerge/>
            <w:shd w:val="clear" w:color="auto" w:fill="auto"/>
          </w:tcPr>
          <w:p w14:paraId="2C86A376" w14:textId="77777777" w:rsidR="00C55A3F" w:rsidRPr="00FA3FC5" w:rsidRDefault="00C55A3F" w:rsidP="00FD4FD5">
            <w:pPr>
              <w:widowControl w:val="0"/>
              <w:jc w:val="center"/>
              <w:rPr>
                <w:rFonts w:eastAsia="MS Mincho"/>
                <w:b/>
                <w:noProof/>
                <w:snapToGrid w:val="0"/>
                <w:spacing w:val="-12"/>
                <w:kern w:val="22"/>
                <w:sz w:val="21"/>
                <w:szCs w:val="21"/>
              </w:rPr>
            </w:pPr>
          </w:p>
        </w:tc>
        <w:tc>
          <w:tcPr>
            <w:tcW w:w="2902" w:type="pct"/>
            <w:tcBorders>
              <w:bottom w:val="nil"/>
            </w:tcBorders>
            <w:shd w:val="clear" w:color="auto" w:fill="auto"/>
          </w:tcPr>
          <w:p w14:paraId="4439B18B" w14:textId="5406D9F4"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(d)</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Support Governments and, in accordance with national legislation, relevant stakeholders, in accessing existing knowledge sources</w:t>
            </w:r>
          </w:p>
        </w:tc>
        <w:tc>
          <w:tcPr>
            <w:tcW w:w="476" w:type="pct"/>
            <w:tcBorders>
              <w:bottom w:val="nil"/>
            </w:tcBorders>
          </w:tcPr>
          <w:p w14:paraId="745D0CDE"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30C385A7"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12BACF5C" w14:textId="77777777" w:rsidTr="00E80CEA">
        <w:trPr>
          <w:jc w:val="center"/>
        </w:trPr>
        <w:tc>
          <w:tcPr>
            <w:tcW w:w="857" w:type="pct"/>
            <w:vMerge/>
            <w:shd w:val="clear" w:color="auto" w:fill="auto"/>
          </w:tcPr>
          <w:p w14:paraId="73FCA3B9" w14:textId="77777777" w:rsidR="00C55A3F" w:rsidRPr="00FA3FC5" w:rsidRDefault="00C55A3F" w:rsidP="00FD4FD5">
            <w:pPr>
              <w:widowControl w:val="0"/>
              <w:jc w:val="center"/>
              <w:rPr>
                <w:rFonts w:eastAsia="MS Mincho"/>
                <w:b/>
                <w:noProof/>
                <w:snapToGrid w:val="0"/>
                <w:spacing w:val="-12"/>
                <w:kern w:val="22"/>
                <w:sz w:val="21"/>
                <w:szCs w:val="21"/>
              </w:rPr>
            </w:pPr>
          </w:p>
        </w:tc>
        <w:tc>
          <w:tcPr>
            <w:tcW w:w="2902" w:type="pct"/>
            <w:tcBorders>
              <w:bottom w:val="nil"/>
            </w:tcBorders>
            <w:shd w:val="clear" w:color="auto" w:fill="auto"/>
          </w:tcPr>
          <w:p w14:paraId="3E21F641" w14:textId="694995C6"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(e)</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Undertake an analysis of gaps in existing information and knowledge management tools and approaches supporting biodiversity management efforts</w:t>
            </w:r>
          </w:p>
        </w:tc>
        <w:tc>
          <w:tcPr>
            <w:tcW w:w="476" w:type="pct"/>
            <w:tcBorders>
              <w:bottom w:val="nil"/>
            </w:tcBorders>
          </w:tcPr>
          <w:p w14:paraId="37F0F3CE"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31C5F7A9"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271A3F9D" w14:textId="77777777" w:rsidTr="00E80CEA">
        <w:trPr>
          <w:jc w:val="center"/>
        </w:trPr>
        <w:tc>
          <w:tcPr>
            <w:tcW w:w="857" w:type="pct"/>
            <w:vMerge/>
            <w:shd w:val="clear" w:color="auto" w:fill="auto"/>
          </w:tcPr>
          <w:p w14:paraId="23B1C268" w14:textId="77777777" w:rsidR="00C55A3F" w:rsidRPr="00FA3FC5" w:rsidRDefault="00C55A3F" w:rsidP="00FD4FD5">
            <w:pPr>
              <w:widowControl w:val="0"/>
              <w:jc w:val="left"/>
              <w:rPr>
                <w:rFonts w:eastAsia="MS Mincho"/>
                <w:bCs/>
                <w:noProof/>
                <w:snapToGrid w:val="0"/>
                <w:spacing w:val="-12"/>
                <w:kern w:val="22"/>
                <w:sz w:val="21"/>
                <w:szCs w:val="21"/>
              </w:rPr>
            </w:pPr>
          </w:p>
        </w:tc>
        <w:tc>
          <w:tcPr>
            <w:tcW w:w="2902" w:type="pct"/>
            <w:tcBorders>
              <w:bottom w:val="nil"/>
            </w:tcBorders>
            <w:shd w:val="clear" w:color="auto" w:fill="auto"/>
          </w:tcPr>
          <w:p w14:paraId="757BDC48" w14:textId="64BA3577"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(f)</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Undertake a gap analysis on national knowledge management expertise and needs, including capacity development on knowledge management in the implementation of national biodiversity strategies and action plans, as appropriate</w:t>
            </w:r>
          </w:p>
        </w:tc>
        <w:tc>
          <w:tcPr>
            <w:tcW w:w="476" w:type="pct"/>
            <w:tcBorders>
              <w:bottom w:val="nil"/>
            </w:tcBorders>
          </w:tcPr>
          <w:p w14:paraId="2BBEA175" w14:textId="77777777" w:rsidR="00C55A3F" w:rsidRPr="00FA3FC5" w:rsidRDefault="00C55A3F" w:rsidP="00FD4FD5">
            <w:pPr>
              <w:widowControl w:val="0"/>
              <w:rPr>
                <w:rFonts w:eastAsia="MS Mincho"/>
                <w:bCs/>
                <w:noProof/>
                <w:snapToGrid w:val="0"/>
                <w:kern w:val="22"/>
                <w:sz w:val="21"/>
                <w:szCs w:val="21"/>
              </w:rPr>
            </w:pPr>
          </w:p>
        </w:tc>
        <w:tc>
          <w:tcPr>
            <w:tcW w:w="765" w:type="pct"/>
            <w:tcBorders>
              <w:bottom w:val="nil"/>
            </w:tcBorders>
            <w:shd w:val="clear" w:color="auto" w:fill="auto"/>
          </w:tcPr>
          <w:p w14:paraId="4B44BD2D"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66C8F147" w14:textId="77777777" w:rsidTr="00E80CEA">
        <w:trPr>
          <w:jc w:val="center"/>
        </w:trPr>
        <w:tc>
          <w:tcPr>
            <w:tcW w:w="857" w:type="pct"/>
            <w:vMerge w:val="restart"/>
            <w:shd w:val="clear" w:color="auto" w:fill="auto"/>
          </w:tcPr>
          <w:p w14:paraId="350742D4" w14:textId="41D0B600" w:rsidR="00C55A3F" w:rsidRPr="00FE0CDA" w:rsidRDefault="00360081" w:rsidP="00044F6E">
            <w:pPr>
              <w:widowControl w:val="0"/>
              <w:ind w:left="250" w:hanging="27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FE0CDA">
              <w:rPr>
                <w:rFonts w:eastAsia="MS Mincho"/>
                <w:bCs/>
                <w:noProof/>
                <w:snapToGrid w:val="0"/>
                <w:kern w:val="22"/>
                <w:sz w:val="21"/>
                <w:szCs w:val="21"/>
              </w:rPr>
              <w:t>Network and partnership development</w:t>
            </w:r>
          </w:p>
        </w:tc>
        <w:tc>
          <w:tcPr>
            <w:tcW w:w="2902" w:type="pct"/>
          </w:tcPr>
          <w:p w14:paraId="729B7BDB" w14:textId="4A4E17A0" w:rsidR="00C55A3F" w:rsidRPr="00FE0CDA"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FE0CDA">
              <w:rPr>
                <w:kern w:val="22"/>
                <w:sz w:val="21"/>
                <w:szCs w:val="21"/>
              </w:rPr>
              <w:t xml:space="preserve">Catalyse and strengthen international and regional networks on biodiversity-related data, </w:t>
            </w:r>
            <w:proofErr w:type="gramStart"/>
            <w:r w:rsidR="00C55A3F" w:rsidRPr="00FE0CDA">
              <w:rPr>
                <w:kern w:val="22"/>
                <w:sz w:val="21"/>
                <w:szCs w:val="21"/>
              </w:rPr>
              <w:t>information</w:t>
            </w:r>
            <w:proofErr w:type="gramEnd"/>
            <w:r w:rsidR="00C55A3F" w:rsidRPr="00FE0CDA">
              <w:rPr>
                <w:kern w:val="22"/>
                <w:sz w:val="21"/>
                <w:szCs w:val="21"/>
              </w:rPr>
              <w:t xml:space="preserve"> and knowledge management</w:t>
            </w:r>
          </w:p>
        </w:tc>
        <w:tc>
          <w:tcPr>
            <w:tcW w:w="476" w:type="pct"/>
          </w:tcPr>
          <w:p w14:paraId="51EB6D47"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4FCC2C36"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1AA70A8D" w14:textId="77777777" w:rsidTr="00E80CEA">
        <w:trPr>
          <w:jc w:val="center"/>
        </w:trPr>
        <w:tc>
          <w:tcPr>
            <w:tcW w:w="857" w:type="pct"/>
            <w:vMerge/>
            <w:shd w:val="clear" w:color="auto" w:fill="auto"/>
          </w:tcPr>
          <w:p w14:paraId="45DD0C95"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4C387729" w14:textId="1BE26791"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044F6E">
              <w:rPr>
                <w:kern w:val="22"/>
                <w:sz w:val="21"/>
                <w:szCs w:val="21"/>
              </w:rPr>
              <w:t xml:space="preserve">Promote collaboration in biodiversity data, </w:t>
            </w:r>
            <w:proofErr w:type="gramStart"/>
            <w:r w:rsidR="00C55A3F" w:rsidRPr="00044F6E">
              <w:rPr>
                <w:kern w:val="22"/>
                <w:sz w:val="21"/>
                <w:szCs w:val="21"/>
              </w:rPr>
              <w:t>information</w:t>
            </w:r>
            <w:proofErr w:type="gramEnd"/>
            <w:r w:rsidR="00C55A3F" w:rsidRPr="00044F6E">
              <w:rPr>
                <w:kern w:val="22"/>
                <w:sz w:val="21"/>
                <w:szCs w:val="21"/>
              </w:rPr>
              <w:t xml:space="preserve"> and knowledge-sharing, including enhancing harmonization and interoperability between relevant information systems initiatives</w:t>
            </w:r>
          </w:p>
        </w:tc>
        <w:tc>
          <w:tcPr>
            <w:tcW w:w="476" w:type="pct"/>
          </w:tcPr>
          <w:p w14:paraId="2D40413A"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1513260A"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2E257A24" w14:textId="77777777" w:rsidTr="00E80CEA">
        <w:trPr>
          <w:jc w:val="center"/>
        </w:trPr>
        <w:tc>
          <w:tcPr>
            <w:tcW w:w="857" w:type="pct"/>
            <w:vMerge/>
            <w:shd w:val="clear" w:color="auto" w:fill="auto"/>
          </w:tcPr>
          <w:p w14:paraId="154C908D"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35523615" w14:textId="0331C12B"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044F6E">
              <w:rPr>
                <w:kern w:val="22"/>
                <w:sz w:val="21"/>
                <w:szCs w:val="21"/>
              </w:rPr>
              <w:t xml:space="preserve">Enhance biodiversity monitoring through cooperation to </w:t>
            </w:r>
            <w:r w:rsidR="00C55A3F" w:rsidRPr="00044F6E">
              <w:rPr>
                <w:kern w:val="22"/>
                <w:sz w:val="21"/>
                <w:szCs w:val="21"/>
              </w:rPr>
              <w:lastRenderedPageBreak/>
              <w:t>improve the acquisition, delivery and use of Earth observation data and related services</w:t>
            </w:r>
          </w:p>
        </w:tc>
        <w:tc>
          <w:tcPr>
            <w:tcW w:w="476" w:type="pct"/>
          </w:tcPr>
          <w:p w14:paraId="2DF19AB2" w14:textId="77777777" w:rsidR="00C55A3F" w:rsidRPr="00FA3FC5" w:rsidRDefault="00C55A3F" w:rsidP="00FD4FD5">
            <w:pPr>
              <w:widowControl w:val="0"/>
              <w:rPr>
                <w:kern w:val="22"/>
                <w:sz w:val="21"/>
                <w:szCs w:val="21"/>
              </w:rPr>
            </w:pPr>
          </w:p>
        </w:tc>
        <w:tc>
          <w:tcPr>
            <w:tcW w:w="765" w:type="pct"/>
            <w:shd w:val="clear" w:color="auto" w:fill="auto"/>
          </w:tcPr>
          <w:p w14:paraId="28C87B0D"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25A2F5E1" w14:textId="77777777" w:rsidTr="00E80CEA">
        <w:trPr>
          <w:jc w:val="center"/>
        </w:trPr>
        <w:tc>
          <w:tcPr>
            <w:tcW w:w="857" w:type="pct"/>
            <w:vMerge/>
            <w:shd w:val="clear" w:color="auto" w:fill="auto"/>
          </w:tcPr>
          <w:p w14:paraId="6ECB7770"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0EB20504" w14:textId="1064B0CC" w:rsidR="00C55A3F" w:rsidRPr="00044F6E" w:rsidRDefault="00360081" w:rsidP="00044F6E">
            <w:pPr>
              <w:widowControl w:val="0"/>
              <w:spacing w:after="60"/>
              <w:ind w:left="360" w:hanging="360"/>
              <w:jc w:val="left"/>
              <w:rPr>
                <w:kern w:val="22"/>
                <w:sz w:val="21"/>
                <w:szCs w:val="21"/>
              </w:rPr>
            </w:pPr>
            <w:r w:rsidRPr="00FA3FC5">
              <w:rPr>
                <w:kern w:val="22"/>
                <w:sz w:val="21"/>
                <w:szCs w:val="21"/>
              </w:rPr>
              <w:t>(d)</w:t>
            </w:r>
            <w:r w:rsidRPr="00FA3FC5">
              <w:rPr>
                <w:kern w:val="22"/>
                <w:sz w:val="21"/>
                <w:szCs w:val="21"/>
              </w:rPr>
              <w:tab/>
            </w:r>
            <w:r w:rsidR="00C55A3F" w:rsidRPr="00044F6E">
              <w:rPr>
                <w:kern w:val="22"/>
                <w:sz w:val="21"/>
                <w:szCs w:val="21"/>
              </w:rPr>
              <w:t xml:space="preserve">Identify, publicize, </w:t>
            </w:r>
            <w:proofErr w:type="gramStart"/>
            <w:r w:rsidR="00C55A3F" w:rsidRPr="00044F6E">
              <w:rPr>
                <w:kern w:val="22"/>
                <w:sz w:val="21"/>
                <w:szCs w:val="21"/>
              </w:rPr>
              <w:t>link</w:t>
            </w:r>
            <w:proofErr w:type="gramEnd"/>
            <w:r w:rsidR="00C55A3F" w:rsidRPr="00044F6E">
              <w:rPr>
                <w:kern w:val="22"/>
                <w:sz w:val="21"/>
                <w:szCs w:val="21"/>
              </w:rPr>
              <w:t xml:space="preserve"> and strengthen centres of expertise, communities of practice and other knowledge sources</w:t>
            </w:r>
          </w:p>
        </w:tc>
        <w:tc>
          <w:tcPr>
            <w:tcW w:w="476" w:type="pct"/>
          </w:tcPr>
          <w:p w14:paraId="5E7731B5" w14:textId="77777777" w:rsidR="00C55A3F" w:rsidRPr="00FA3FC5" w:rsidRDefault="00C55A3F" w:rsidP="00FD4FD5">
            <w:pPr>
              <w:widowControl w:val="0"/>
              <w:rPr>
                <w:kern w:val="22"/>
                <w:sz w:val="21"/>
                <w:szCs w:val="21"/>
              </w:rPr>
            </w:pPr>
          </w:p>
        </w:tc>
        <w:tc>
          <w:tcPr>
            <w:tcW w:w="765" w:type="pct"/>
            <w:shd w:val="clear" w:color="auto" w:fill="auto"/>
          </w:tcPr>
          <w:p w14:paraId="1DBAE2FE" w14:textId="77777777" w:rsidR="00C55A3F" w:rsidRPr="00FA3FC5" w:rsidRDefault="00C55A3F" w:rsidP="00FD4FD5">
            <w:pPr>
              <w:widowControl w:val="0"/>
              <w:jc w:val="left"/>
              <w:rPr>
                <w:kern w:val="22"/>
                <w:sz w:val="21"/>
                <w:szCs w:val="21"/>
              </w:rPr>
            </w:pPr>
          </w:p>
        </w:tc>
      </w:tr>
      <w:tr w:rsidR="000642FA" w:rsidRPr="00FA3FC5" w14:paraId="4762D185" w14:textId="77777777" w:rsidTr="00E80CEA">
        <w:trPr>
          <w:jc w:val="center"/>
        </w:trPr>
        <w:tc>
          <w:tcPr>
            <w:tcW w:w="857" w:type="pct"/>
            <w:vMerge/>
            <w:shd w:val="clear" w:color="auto" w:fill="auto"/>
          </w:tcPr>
          <w:p w14:paraId="77BF76C7"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073C996C" w14:textId="72301D55" w:rsidR="00C55A3F" w:rsidRPr="00044F6E" w:rsidRDefault="00360081" w:rsidP="00044F6E">
            <w:pPr>
              <w:widowControl w:val="0"/>
              <w:spacing w:after="6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(e)</w:t>
            </w:r>
            <w:r w:rsidRPr="00FA3FC5">
              <w:rPr>
                <w:rFonts w:eastAsia="MS Mincho"/>
                <w:bCs/>
                <w:noProof/>
                <w:snapToGrid w:val="0"/>
                <w:kern w:val="22"/>
                <w:sz w:val="21"/>
                <w:szCs w:val="21"/>
              </w:rPr>
              <w:tab/>
            </w:r>
            <w:r w:rsidR="00C55A3F" w:rsidRPr="00044F6E">
              <w:rPr>
                <w:kern w:val="22"/>
                <w:sz w:val="21"/>
                <w:szCs w:val="21"/>
              </w:rPr>
              <w:t xml:space="preserve">Enhance outreach and collaboration among key stakeholders – academia, indigenous peoples and local communities, subnational </w:t>
            </w:r>
            <w:proofErr w:type="gramStart"/>
            <w:r w:rsidR="00C55A3F" w:rsidRPr="00044F6E">
              <w:rPr>
                <w:kern w:val="22"/>
                <w:sz w:val="21"/>
                <w:szCs w:val="21"/>
              </w:rPr>
              <w:t>governments</w:t>
            </w:r>
            <w:proofErr w:type="gramEnd"/>
            <w:r w:rsidR="00C55A3F" w:rsidRPr="00044F6E">
              <w:rPr>
                <w:kern w:val="22"/>
                <w:sz w:val="21"/>
                <w:szCs w:val="21"/>
              </w:rPr>
              <w:t xml:space="preserve"> and national Government institutions</w:t>
            </w:r>
          </w:p>
        </w:tc>
        <w:tc>
          <w:tcPr>
            <w:tcW w:w="476" w:type="pct"/>
          </w:tcPr>
          <w:p w14:paraId="3AD671B7" w14:textId="77777777" w:rsidR="00C55A3F" w:rsidRPr="00FA3FC5" w:rsidRDefault="00C55A3F" w:rsidP="00FD4FD5">
            <w:pPr>
              <w:widowControl w:val="0"/>
              <w:rPr>
                <w:kern w:val="22"/>
                <w:sz w:val="21"/>
                <w:szCs w:val="21"/>
              </w:rPr>
            </w:pPr>
          </w:p>
        </w:tc>
        <w:tc>
          <w:tcPr>
            <w:tcW w:w="765" w:type="pct"/>
            <w:shd w:val="clear" w:color="auto" w:fill="auto"/>
          </w:tcPr>
          <w:p w14:paraId="4FD55D22" w14:textId="77777777" w:rsidR="00C55A3F" w:rsidRPr="00FA3FC5" w:rsidRDefault="00C55A3F" w:rsidP="00FD4FD5">
            <w:pPr>
              <w:widowControl w:val="0"/>
              <w:jc w:val="left"/>
              <w:rPr>
                <w:kern w:val="22"/>
                <w:sz w:val="21"/>
                <w:szCs w:val="21"/>
              </w:rPr>
            </w:pPr>
          </w:p>
        </w:tc>
      </w:tr>
      <w:tr w:rsidR="000642FA" w:rsidRPr="00FA3FC5" w14:paraId="68931F7C" w14:textId="77777777" w:rsidTr="00E80CEA">
        <w:trPr>
          <w:jc w:val="center"/>
        </w:trPr>
        <w:tc>
          <w:tcPr>
            <w:tcW w:w="857" w:type="pct"/>
            <w:vMerge w:val="restart"/>
            <w:shd w:val="clear" w:color="auto" w:fill="auto"/>
          </w:tcPr>
          <w:p w14:paraId="350CB1EF" w14:textId="5B995738" w:rsidR="00C55A3F" w:rsidRPr="00FE0CDA" w:rsidRDefault="00360081" w:rsidP="00044F6E">
            <w:pPr>
              <w:widowControl w:val="0"/>
              <w:ind w:left="250" w:hanging="27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FE0CDA">
              <w:rPr>
                <w:rFonts w:eastAsia="MS Mincho"/>
                <w:bCs/>
                <w:noProof/>
                <w:snapToGrid w:val="0"/>
                <w:kern w:val="22"/>
                <w:sz w:val="21"/>
                <w:szCs w:val="21"/>
              </w:rPr>
              <w:t>Identification and promotion of best practices and resources</w:t>
            </w:r>
          </w:p>
        </w:tc>
        <w:tc>
          <w:tcPr>
            <w:tcW w:w="2902" w:type="pct"/>
          </w:tcPr>
          <w:p w14:paraId="4312F6C4" w14:textId="32B4E48D" w:rsidR="00C55A3F" w:rsidRPr="00FE0CDA" w:rsidRDefault="00360081" w:rsidP="00044F6E">
            <w:pPr>
              <w:widowControl w:val="0"/>
              <w:spacing w:after="60"/>
              <w:ind w:left="357" w:hanging="357"/>
              <w:jc w:val="left"/>
              <w:rPr>
                <w:rFonts w:eastAsia="MS Mincho"/>
                <w:bCs/>
                <w:noProof/>
                <w:snapToGrid w:val="0"/>
                <w:kern w:val="22"/>
                <w:sz w:val="21"/>
                <w:szCs w:val="21"/>
              </w:rPr>
            </w:pPr>
            <w:r w:rsidRPr="00FA3FC5">
              <w:rPr>
                <w:rFonts w:eastAsia="MS Mincho"/>
                <w:bCs/>
                <w:noProof/>
                <w:snapToGrid w:val="0"/>
                <w:kern w:val="22"/>
                <w:sz w:val="21"/>
                <w:szCs w:val="21"/>
              </w:rPr>
              <w:t>(a)</w:t>
            </w:r>
            <w:r w:rsidRPr="00FA3FC5">
              <w:rPr>
                <w:rFonts w:eastAsia="MS Mincho"/>
                <w:bCs/>
                <w:noProof/>
                <w:snapToGrid w:val="0"/>
                <w:kern w:val="22"/>
                <w:sz w:val="21"/>
                <w:szCs w:val="21"/>
              </w:rPr>
              <w:tab/>
            </w:r>
            <w:r w:rsidR="00C55A3F" w:rsidRPr="00FE0CDA">
              <w:rPr>
                <w:rFonts w:eastAsia="MS Mincho"/>
                <w:bCs/>
                <w:noProof/>
                <w:snapToGrid w:val="0"/>
                <w:kern w:val="22"/>
                <w:sz w:val="21"/>
                <w:szCs w:val="21"/>
              </w:rPr>
              <w:t>Facilitate the sharing of relevant information, success stories and best practices in information and knowledgement management</w:t>
            </w:r>
          </w:p>
        </w:tc>
        <w:tc>
          <w:tcPr>
            <w:tcW w:w="476" w:type="pct"/>
          </w:tcPr>
          <w:p w14:paraId="499187FB"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6F1A8CA9"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063EE46C" w14:textId="77777777" w:rsidTr="00E80CEA">
        <w:trPr>
          <w:jc w:val="center"/>
        </w:trPr>
        <w:tc>
          <w:tcPr>
            <w:tcW w:w="857" w:type="pct"/>
            <w:vMerge/>
            <w:tcBorders>
              <w:bottom w:val="nil"/>
            </w:tcBorders>
            <w:shd w:val="clear" w:color="auto" w:fill="auto"/>
          </w:tcPr>
          <w:p w14:paraId="6F2BCE0E"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7E8CF282" w14:textId="3D48EE35" w:rsidR="00C55A3F" w:rsidRPr="00044F6E" w:rsidRDefault="00360081" w:rsidP="00044F6E">
            <w:pPr>
              <w:widowControl w:val="0"/>
              <w:spacing w:after="60"/>
              <w:ind w:left="357" w:hanging="357"/>
              <w:jc w:val="left"/>
              <w:rPr>
                <w:rFonts w:eastAsia="MS Mincho"/>
                <w:bCs/>
                <w:noProof/>
                <w:snapToGrid w:val="0"/>
                <w:kern w:val="22"/>
                <w:sz w:val="21"/>
                <w:szCs w:val="21"/>
              </w:rPr>
            </w:pPr>
            <w:r w:rsidRPr="00FA3FC5">
              <w:rPr>
                <w:rFonts w:eastAsia="MS Mincho"/>
                <w:bCs/>
                <w:noProof/>
                <w:snapToGrid w:val="0"/>
                <w:kern w:val="22"/>
                <w:sz w:val="21"/>
                <w:szCs w:val="21"/>
              </w:rPr>
              <w:t>(b)</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Identify, map and publicize existing relevant biodiversity data, information and knowledge sources</w:t>
            </w:r>
          </w:p>
        </w:tc>
        <w:tc>
          <w:tcPr>
            <w:tcW w:w="476" w:type="pct"/>
          </w:tcPr>
          <w:p w14:paraId="00405626"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3F359917"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36BDEC1E" w14:textId="77777777" w:rsidTr="00E80CEA">
        <w:trPr>
          <w:jc w:val="center"/>
        </w:trPr>
        <w:tc>
          <w:tcPr>
            <w:tcW w:w="857" w:type="pct"/>
            <w:tcBorders>
              <w:top w:val="nil"/>
              <w:bottom w:val="nil"/>
            </w:tcBorders>
            <w:shd w:val="clear" w:color="auto" w:fill="auto"/>
          </w:tcPr>
          <w:p w14:paraId="35CDB5A9"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2FBEF79A" w14:textId="25C5BEA9" w:rsidR="00C55A3F" w:rsidRPr="00044F6E" w:rsidRDefault="00360081" w:rsidP="00044F6E">
            <w:pPr>
              <w:widowControl w:val="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(c)</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Identify, promote and facilitate the implementation and scaling up of innovative knowledge management tools</w:t>
            </w:r>
          </w:p>
        </w:tc>
        <w:tc>
          <w:tcPr>
            <w:tcW w:w="476" w:type="pct"/>
          </w:tcPr>
          <w:p w14:paraId="4C2D954D"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0BC59A52" w14:textId="77777777" w:rsidR="00C55A3F" w:rsidRPr="00FA3FC5" w:rsidRDefault="00C55A3F" w:rsidP="00FD4FD5">
            <w:pPr>
              <w:widowControl w:val="0"/>
              <w:jc w:val="left"/>
              <w:rPr>
                <w:rFonts w:eastAsia="MS Mincho"/>
                <w:bCs/>
                <w:noProof/>
                <w:snapToGrid w:val="0"/>
                <w:kern w:val="22"/>
                <w:sz w:val="21"/>
                <w:szCs w:val="21"/>
              </w:rPr>
            </w:pPr>
          </w:p>
        </w:tc>
      </w:tr>
      <w:tr w:rsidR="000642FA" w:rsidRPr="00FA3FC5" w14:paraId="0A596CE4" w14:textId="77777777" w:rsidTr="00E80CEA">
        <w:trPr>
          <w:jc w:val="center"/>
        </w:trPr>
        <w:tc>
          <w:tcPr>
            <w:tcW w:w="857" w:type="pct"/>
            <w:tcBorders>
              <w:top w:val="nil"/>
            </w:tcBorders>
            <w:shd w:val="clear" w:color="auto" w:fill="auto"/>
          </w:tcPr>
          <w:p w14:paraId="2F181ACF" w14:textId="77777777" w:rsidR="00C55A3F" w:rsidRPr="00FA3FC5" w:rsidRDefault="00C55A3F" w:rsidP="00FD4FD5">
            <w:pPr>
              <w:widowControl w:val="0"/>
              <w:rPr>
                <w:rFonts w:eastAsia="MS Mincho"/>
                <w:bCs/>
                <w:noProof/>
                <w:snapToGrid w:val="0"/>
                <w:kern w:val="22"/>
                <w:sz w:val="21"/>
                <w:szCs w:val="21"/>
              </w:rPr>
            </w:pPr>
          </w:p>
        </w:tc>
        <w:tc>
          <w:tcPr>
            <w:tcW w:w="2902" w:type="pct"/>
          </w:tcPr>
          <w:p w14:paraId="4AC93DDB" w14:textId="5BD9ABAF" w:rsidR="00C55A3F" w:rsidRPr="00044F6E" w:rsidRDefault="00360081" w:rsidP="00044F6E">
            <w:pPr>
              <w:widowControl w:val="0"/>
              <w:ind w:left="360" w:hanging="360"/>
              <w:jc w:val="left"/>
              <w:rPr>
                <w:rFonts w:eastAsia="MS Mincho"/>
                <w:bCs/>
                <w:noProof/>
                <w:snapToGrid w:val="0"/>
                <w:kern w:val="22"/>
                <w:sz w:val="21"/>
                <w:szCs w:val="21"/>
              </w:rPr>
            </w:pPr>
            <w:r w:rsidRPr="00FA3FC5">
              <w:rPr>
                <w:rFonts w:eastAsia="MS Mincho"/>
                <w:bCs/>
                <w:noProof/>
                <w:snapToGrid w:val="0"/>
                <w:kern w:val="22"/>
                <w:sz w:val="21"/>
                <w:szCs w:val="21"/>
              </w:rPr>
              <w:t>(d)</w:t>
            </w:r>
            <w:r w:rsidRPr="00FA3FC5">
              <w:rPr>
                <w:rFonts w:eastAsia="MS Mincho"/>
                <w:bCs/>
                <w:noProof/>
                <w:snapToGrid w:val="0"/>
                <w:kern w:val="22"/>
                <w:sz w:val="21"/>
                <w:szCs w:val="21"/>
              </w:rPr>
              <w:tab/>
            </w:r>
            <w:r w:rsidR="00C55A3F" w:rsidRPr="00044F6E">
              <w:rPr>
                <w:rFonts w:eastAsia="MS Mincho"/>
                <w:bCs/>
                <w:noProof/>
                <w:snapToGrid w:val="0"/>
                <w:kern w:val="22"/>
                <w:sz w:val="21"/>
                <w:szCs w:val="21"/>
              </w:rPr>
              <w:t>Promote the use of relevant case studies on information management</w:t>
            </w:r>
          </w:p>
        </w:tc>
        <w:tc>
          <w:tcPr>
            <w:tcW w:w="476" w:type="pct"/>
          </w:tcPr>
          <w:p w14:paraId="2556DF6A" w14:textId="77777777" w:rsidR="00C55A3F" w:rsidRPr="00FA3FC5" w:rsidRDefault="00C55A3F" w:rsidP="00FD4FD5">
            <w:pPr>
              <w:widowControl w:val="0"/>
              <w:rPr>
                <w:rFonts w:eastAsia="MS Mincho"/>
                <w:bCs/>
                <w:noProof/>
                <w:snapToGrid w:val="0"/>
                <w:kern w:val="22"/>
                <w:sz w:val="21"/>
                <w:szCs w:val="21"/>
              </w:rPr>
            </w:pPr>
          </w:p>
        </w:tc>
        <w:tc>
          <w:tcPr>
            <w:tcW w:w="765" w:type="pct"/>
            <w:shd w:val="clear" w:color="auto" w:fill="auto"/>
          </w:tcPr>
          <w:p w14:paraId="10C5ABB8" w14:textId="77777777" w:rsidR="00C55A3F" w:rsidRPr="00FA3FC5" w:rsidRDefault="00C55A3F" w:rsidP="00FD4FD5">
            <w:pPr>
              <w:widowControl w:val="0"/>
              <w:jc w:val="left"/>
              <w:rPr>
                <w:rFonts w:eastAsia="MS Mincho"/>
                <w:bCs/>
                <w:noProof/>
                <w:snapToGrid w:val="0"/>
                <w:kern w:val="22"/>
                <w:sz w:val="21"/>
                <w:szCs w:val="21"/>
              </w:rPr>
            </w:pPr>
          </w:p>
        </w:tc>
      </w:tr>
    </w:tbl>
    <w:p w14:paraId="1FF19C38" w14:textId="77777777" w:rsidR="00FD4FD5" w:rsidRDefault="00FD4FD5" w:rsidP="00C55A3F">
      <w:pPr>
        <w:pStyle w:val="CBD-Para"/>
        <w:keepLines w:val="0"/>
        <w:numPr>
          <w:ilvl w:val="0"/>
          <w:numId w:val="0"/>
        </w:numPr>
        <w:spacing w:before="0" w:after="0"/>
        <w:jc w:val="center"/>
        <w:rPr>
          <w:kern w:val="22"/>
          <w:lang w:val="en-GB"/>
        </w:rPr>
      </w:pPr>
    </w:p>
    <w:p w14:paraId="23B31F67" w14:textId="54A02D2B" w:rsidR="00C55A3F" w:rsidRPr="00FA3FC5" w:rsidRDefault="00C55A3F" w:rsidP="00C55A3F">
      <w:pPr>
        <w:pStyle w:val="CBD-Para"/>
        <w:keepLines w:val="0"/>
        <w:numPr>
          <w:ilvl w:val="0"/>
          <w:numId w:val="0"/>
        </w:numPr>
        <w:spacing w:before="0" w:after="0"/>
        <w:jc w:val="center"/>
        <w:rPr>
          <w:kern w:val="22"/>
          <w:lang w:val="en-GB"/>
        </w:rPr>
      </w:pPr>
      <w:r w:rsidRPr="00FA3FC5">
        <w:rPr>
          <w:kern w:val="22"/>
          <w:lang w:val="en-GB"/>
        </w:rPr>
        <w:t>__________</w:t>
      </w:r>
      <w:r w:rsidR="0046182A" w:rsidRPr="00FA3FC5">
        <w:rPr>
          <w:kern w:val="22"/>
          <w:lang w:val="en-GB"/>
        </w:rPr>
        <w:t>]</w:t>
      </w:r>
    </w:p>
    <w:p w14:paraId="0061B2A1" w14:textId="6182AB66" w:rsidR="00095BF3" w:rsidRPr="00FA3FC5" w:rsidRDefault="00095BF3" w:rsidP="00095BF3">
      <w:pPr>
        <w:rPr>
          <w:szCs w:val="22"/>
        </w:rPr>
      </w:pPr>
    </w:p>
    <w:sectPr w:rsidR="00095BF3" w:rsidRPr="00FA3FC5" w:rsidSect="00E80CEA">
      <w:headerReference w:type="even" r:id="rId26"/>
      <w:headerReference w:type="default" r:id="rId27"/>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9D81" w14:textId="77777777" w:rsidR="00E860B1" w:rsidRDefault="00E860B1" w:rsidP="00CF1848">
      <w:r>
        <w:separator/>
      </w:r>
    </w:p>
  </w:endnote>
  <w:endnote w:type="continuationSeparator" w:id="0">
    <w:p w14:paraId="4ADBF396" w14:textId="77777777" w:rsidR="00E860B1" w:rsidRDefault="00E860B1" w:rsidP="00CF1848">
      <w:r>
        <w:continuationSeparator/>
      </w:r>
    </w:p>
  </w:endnote>
  <w:endnote w:type="continuationNotice" w:id="1">
    <w:p w14:paraId="2A5AAABE" w14:textId="77777777" w:rsidR="00E860B1" w:rsidRDefault="00E8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50A5" w14:textId="77777777" w:rsidR="00E860B1" w:rsidRDefault="00E860B1" w:rsidP="00CF1848">
      <w:r>
        <w:separator/>
      </w:r>
    </w:p>
  </w:footnote>
  <w:footnote w:type="continuationSeparator" w:id="0">
    <w:p w14:paraId="6416AE72" w14:textId="77777777" w:rsidR="00E860B1" w:rsidRDefault="00E860B1" w:rsidP="00CF1848">
      <w:r>
        <w:continuationSeparator/>
      </w:r>
    </w:p>
  </w:footnote>
  <w:footnote w:type="continuationNotice" w:id="1">
    <w:p w14:paraId="0E756C1D" w14:textId="77777777" w:rsidR="00E860B1" w:rsidRDefault="00E860B1"/>
  </w:footnote>
  <w:footnote w:id="2">
    <w:p w14:paraId="451249AC" w14:textId="77777777" w:rsidR="005A2729" w:rsidRPr="00E80CEA" w:rsidRDefault="005A2729" w:rsidP="005A2729">
      <w:pPr>
        <w:pStyle w:val="FootnoteText"/>
        <w:suppressLineNumbers/>
        <w:suppressAutoHyphens/>
        <w:kinsoku w:val="0"/>
        <w:overflowPunct w:val="0"/>
        <w:autoSpaceDE w:val="0"/>
        <w:autoSpaceDN w:val="0"/>
        <w:adjustRightInd w:val="0"/>
        <w:snapToGrid w:val="0"/>
        <w:ind w:firstLine="0"/>
        <w:jc w:val="left"/>
        <w:rPr>
          <w:kern w:val="18"/>
          <w:szCs w:val="18"/>
        </w:rPr>
      </w:pPr>
      <w:r w:rsidRPr="00E80CEA">
        <w:rPr>
          <w:rStyle w:val="FootnoteReference"/>
          <w:kern w:val="18"/>
          <w:sz w:val="18"/>
          <w:szCs w:val="18"/>
        </w:rPr>
        <w:footnoteRef/>
      </w:r>
      <w:r w:rsidRPr="009F7F99">
        <w:rPr>
          <w:kern w:val="18"/>
          <w:szCs w:val="18"/>
          <w:lang w:val="it-IT"/>
        </w:rPr>
        <w:t xml:space="preserve"> See decision </w:t>
      </w:r>
      <w:hyperlink r:id="rId1" w:history="1">
        <w:r w:rsidRPr="009F7F99">
          <w:rPr>
            <w:rStyle w:val="Hyperlink"/>
            <w:kern w:val="18"/>
            <w:szCs w:val="18"/>
            <w:lang w:val="it-IT"/>
          </w:rPr>
          <w:t>XI/2</w:t>
        </w:r>
      </w:hyperlink>
      <w:r w:rsidRPr="009F7F99">
        <w:rPr>
          <w:kern w:val="18"/>
          <w:szCs w:val="18"/>
          <w:lang w:val="it-IT"/>
        </w:rPr>
        <w:t xml:space="preserve">, para. </w:t>
      </w:r>
      <w:r w:rsidRPr="00E80CEA">
        <w:rPr>
          <w:kern w:val="18"/>
          <w:szCs w:val="18"/>
        </w:rPr>
        <w:t xml:space="preserve">11, and </w:t>
      </w:r>
      <w:hyperlink r:id="rId2" w:history="1">
        <w:r w:rsidRPr="00E80CEA">
          <w:rPr>
            <w:rStyle w:val="Hyperlink"/>
            <w:kern w:val="18"/>
            <w:szCs w:val="18"/>
          </w:rPr>
          <w:t>UNEP/CBD/COP/11/31</w:t>
        </w:r>
      </w:hyperlink>
      <w:r w:rsidRPr="00E80CEA">
        <w:rPr>
          <w:kern w:val="18"/>
          <w:szCs w:val="18"/>
        </w:rPr>
        <w:t>.</w:t>
      </w:r>
    </w:p>
  </w:footnote>
  <w:footnote w:id="3">
    <w:p w14:paraId="0D1EF124" w14:textId="11E4395C" w:rsidR="00A6174C" w:rsidRPr="00E80CEA" w:rsidRDefault="00A6174C" w:rsidP="00A6174C">
      <w:pPr>
        <w:pStyle w:val="FootnoteText"/>
        <w:ind w:firstLine="0"/>
        <w:rPr>
          <w:kern w:val="18"/>
          <w:szCs w:val="18"/>
        </w:rPr>
      </w:pPr>
      <w:r w:rsidRPr="00E80CEA">
        <w:rPr>
          <w:rStyle w:val="FootnoteReference"/>
          <w:kern w:val="18"/>
          <w:sz w:val="18"/>
          <w:szCs w:val="18"/>
        </w:rPr>
        <w:footnoteRef/>
      </w:r>
      <w:r w:rsidRPr="00E80CEA">
        <w:rPr>
          <w:kern w:val="18"/>
          <w:szCs w:val="18"/>
        </w:rPr>
        <w:t xml:space="preserve"> One Party suggested that the </w:t>
      </w:r>
      <w:r w:rsidR="004069AD" w:rsidRPr="00E80CEA">
        <w:rPr>
          <w:kern w:val="18"/>
          <w:szCs w:val="18"/>
        </w:rPr>
        <w:t>k</w:t>
      </w:r>
      <w:r w:rsidRPr="00E80CEA">
        <w:rPr>
          <w:kern w:val="18"/>
          <w:szCs w:val="18"/>
        </w:rPr>
        <w:t xml:space="preserve">nowledge </w:t>
      </w:r>
      <w:r w:rsidR="004069AD" w:rsidRPr="00E80CEA">
        <w:rPr>
          <w:kern w:val="18"/>
          <w:szCs w:val="18"/>
        </w:rPr>
        <w:t>m</w:t>
      </w:r>
      <w:r w:rsidRPr="00E80CEA">
        <w:rPr>
          <w:kern w:val="18"/>
          <w:szCs w:val="18"/>
        </w:rPr>
        <w:t xml:space="preserve">anagement </w:t>
      </w:r>
      <w:r w:rsidR="004069AD" w:rsidRPr="00E80CEA">
        <w:rPr>
          <w:kern w:val="18"/>
          <w:szCs w:val="18"/>
        </w:rPr>
        <w:t>c</w:t>
      </w:r>
      <w:r w:rsidRPr="00E80CEA">
        <w:rPr>
          <w:kern w:val="18"/>
          <w:szCs w:val="18"/>
        </w:rPr>
        <w:t xml:space="preserve">omponent should be forwarded to the </w:t>
      </w:r>
      <w:r w:rsidR="000A23A7" w:rsidRPr="00E80CEA">
        <w:rPr>
          <w:kern w:val="18"/>
          <w:szCs w:val="18"/>
        </w:rPr>
        <w:t xml:space="preserve">Working Group on the Post-2020 Global Biodiversity Framework at its </w:t>
      </w:r>
      <w:r w:rsidRPr="00E80CEA">
        <w:rPr>
          <w:kern w:val="18"/>
          <w:szCs w:val="18"/>
        </w:rPr>
        <w:t xml:space="preserve">third meeting, rather than directly to </w:t>
      </w:r>
      <w:r w:rsidR="004069AD" w:rsidRPr="00E80CEA">
        <w:rPr>
          <w:kern w:val="18"/>
          <w:szCs w:val="18"/>
        </w:rPr>
        <w:t>the Conference of the Parties</w:t>
      </w:r>
      <w:r w:rsidR="009A68A0" w:rsidRPr="00E80CEA">
        <w:rPr>
          <w:kern w:val="18"/>
          <w:szCs w:val="18"/>
        </w:rPr>
        <w:t xml:space="preserve"> at its fifteenth meeting</w:t>
      </w:r>
      <w:r w:rsidRPr="00E80CEA">
        <w:rPr>
          <w:kern w:val="18"/>
          <w:szCs w:val="18"/>
        </w:rPr>
        <w:t xml:space="preserve">, </w:t>
      </w:r>
      <w:proofErr w:type="gramStart"/>
      <w:r w:rsidRPr="00E80CEA">
        <w:rPr>
          <w:kern w:val="18"/>
          <w:szCs w:val="18"/>
        </w:rPr>
        <w:t>in order to</w:t>
      </w:r>
      <w:proofErr w:type="gramEnd"/>
      <w:r w:rsidRPr="00E80CEA">
        <w:rPr>
          <w:kern w:val="18"/>
          <w:szCs w:val="18"/>
        </w:rPr>
        <w:t xml:space="preserve"> ensure that all the elements related to the post-2020 global biodiversity framework are aligned and coherent.</w:t>
      </w:r>
    </w:p>
  </w:footnote>
  <w:footnote w:id="4">
    <w:p w14:paraId="4D897767" w14:textId="5BE5960A" w:rsidR="00EE095E" w:rsidRPr="00E80CEA" w:rsidRDefault="00EE095E" w:rsidP="00FD6D19">
      <w:pPr>
        <w:pStyle w:val="FootnoteText"/>
        <w:ind w:firstLine="0"/>
        <w:rPr>
          <w:kern w:val="18"/>
          <w:szCs w:val="18"/>
          <w:lang w:val="en-US"/>
        </w:rPr>
      </w:pPr>
      <w:r w:rsidRPr="00E80CEA">
        <w:rPr>
          <w:rStyle w:val="FootnoteReference"/>
          <w:kern w:val="18"/>
          <w:sz w:val="18"/>
          <w:szCs w:val="18"/>
        </w:rPr>
        <w:footnoteRef/>
      </w:r>
      <w:r w:rsidRPr="00E80CEA">
        <w:rPr>
          <w:kern w:val="18"/>
          <w:szCs w:val="18"/>
        </w:rPr>
        <w:t xml:space="preserve"> </w:t>
      </w:r>
      <w:hyperlink r:id="rId3" w:history="1">
        <w:r w:rsidR="0089235D" w:rsidRPr="00E80CEA">
          <w:rPr>
            <w:rStyle w:val="Hyperlink"/>
            <w:kern w:val="18"/>
            <w:szCs w:val="18"/>
          </w:rPr>
          <w:t>https://knowledge4policy.ec.europa.eu/biodiversity_en</w:t>
        </w:r>
      </w:hyperlink>
    </w:p>
  </w:footnote>
  <w:footnote w:id="5">
    <w:p w14:paraId="55346EFB" w14:textId="544730D6" w:rsidR="00E6595B" w:rsidRPr="00E80CEA" w:rsidRDefault="00E6595B" w:rsidP="00FD6D19">
      <w:pPr>
        <w:pStyle w:val="FootnoteText"/>
        <w:ind w:firstLine="0"/>
        <w:rPr>
          <w:kern w:val="18"/>
          <w:szCs w:val="18"/>
          <w:lang w:val="en-US"/>
        </w:rPr>
      </w:pPr>
      <w:r w:rsidRPr="00E80CEA">
        <w:rPr>
          <w:rStyle w:val="FootnoteReference"/>
          <w:kern w:val="18"/>
          <w:sz w:val="18"/>
          <w:szCs w:val="18"/>
        </w:rPr>
        <w:footnoteRef/>
      </w:r>
      <w:r w:rsidRPr="00E80CEA">
        <w:rPr>
          <w:kern w:val="18"/>
          <w:szCs w:val="18"/>
        </w:rPr>
        <w:t xml:space="preserve"> </w:t>
      </w:r>
      <w:hyperlink r:id="rId4" w:history="1">
        <w:r w:rsidR="0089235D" w:rsidRPr="00E80CEA">
          <w:rPr>
            <w:rStyle w:val="Hyperlink"/>
            <w:kern w:val="18"/>
            <w:szCs w:val="18"/>
          </w:rPr>
          <w:t>https://www.gbif.org/data4nature</w:t>
        </w:r>
      </w:hyperlink>
    </w:p>
  </w:footnote>
  <w:footnote w:id="6">
    <w:p w14:paraId="71A9C0AA" w14:textId="409BD7E4" w:rsidR="00901CA3" w:rsidRPr="00E80CEA" w:rsidRDefault="00901CA3" w:rsidP="00FD6D19">
      <w:pPr>
        <w:pStyle w:val="FootnoteText"/>
        <w:ind w:firstLine="0"/>
        <w:rPr>
          <w:kern w:val="18"/>
          <w:szCs w:val="18"/>
        </w:rPr>
      </w:pPr>
      <w:r w:rsidRPr="00E80CEA">
        <w:rPr>
          <w:rStyle w:val="FootnoteReference"/>
          <w:kern w:val="18"/>
          <w:sz w:val="18"/>
          <w:szCs w:val="18"/>
        </w:rPr>
        <w:footnoteRef/>
      </w:r>
      <w:r w:rsidRPr="00E80CEA">
        <w:rPr>
          <w:kern w:val="18"/>
          <w:szCs w:val="18"/>
        </w:rPr>
        <w:t xml:space="preserve"> </w:t>
      </w:r>
      <w:hyperlink r:id="rId5" w:history="1">
        <w:r w:rsidR="0089235D" w:rsidRPr="00E80CEA">
          <w:rPr>
            <w:rStyle w:val="Hyperlink"/>
            <w:kern w:val="18"/>
            <w:szCs w:val="18"/>
          </w:rPr>
          <w:t>https://panorama.solutions/en</w:t>
        </w:r>
      </w:hyperlink>
    </w:p>
  </w:footnote>
  <w:footnote w:id="7">
    <w:p w14:paraId="66BCEBD7" w14:textId="77777777" w:rsidR="005A2729" w:rsidRPr="00E80CEA" w:rsidRDefault="005A2729" w:rsidP="005A2729">
      <w:pPr>
        <w:pStyle w:val="FootnoteText"/>
        <w:suppressLineNumbers/>
        <w:suppressAutoHyphens/>
        <w:kinsoku w:val="0"/>
        <w:overflowPunct w:val="0"/>
        <w:autoSpaceDE w:val="0"/>
        <w:autoSpaceDN w:val="0"/>
        <w:adjustRightInd w:val="0"/>
        <w:snapToGrid w:val="0"/>
        <w:ind w:firstLine="0"/>
        <w:jc w:val="left"/>
        <w:rPr>
          <w:kern w:val="18"/>
          <w:szCs w:val="18"/>
        </w:rPr>
      </w:pPr>
      <w:r w:rsidRPr="00E80CEA">
        <w:rPr>
          <w:rStyle w:val="FootnoteReference"/>
          <w:kern w:val="18"/>
          <w:sz w:val="18"/>
          <w:szCs w:val="18"/>
        </w:rPr>
        <w:footnoteRef/>
      </w:r>
      <w:r w:rsidRPr="00E80CEA">
        <w:rPr>
          <w:kern w:val="18"/>
          <w:szCs w:val="18"/>
        </w:rPr>
        <w:t xml:space="preserve"> CBD/SBI/3/8.</w:t>
      </w:r>
    </w:p>
  </w:footnote>
  <w:footnote w:id="8">
    <w:p w14:paraId="78B07822" w14:textId="77777777" w:rsidR="005A2729" w:rsidRPr="00E80CEA" w:rsidRDefault="005A2729" w:rsidP="005A2729">
      <w:pPr>
        <w:pStyle w:val="FootnoteText"/>
        <w:suppressLineNumbers/>
        <w:suppressAutoHyphens/>
        <w:kinsoku w:val="0"/>
        <w:overflowPunct w:val="0"/>
        <w:autoSpaceDE w:val="0"/>
        <w:autoSpaceDN w:val="0"/>
        <w:adjustRightInd w:val="0"/>
        <w:snapToGrid w:val="0"/>
        <w:ind w:firstLine="0"/>
        <w:jc w:val="left"/>
        <w:rPr>
          <w:kern w:val="18"/>
          <w:szCs w:val="18"/>
        </w:rPr>
      </w:pPr>
      <w:r w:rsidRPr="00E80CEA">
        <w:rPr>
          <w:rStyle w:val="FootnoteReference"/>
          <w:kern w:val="18"/>
          <w:sz w:val="18"/>
          <w:szCs w:val="18"/>
        </w:rPr>
        <w:footnoteRef/>
      </w:r>
      <w:r w:rsidRPr="00E80CEA">
        <w:rPr>
          <w:kern w:val="18"/>
          <w:szCs w:val="18"/>
        </w:rPr>
        <w:t xml:space="preserve"> See </w:t>
      </w:r>
      <w:hyperlink r:id="rId6" w:history="1">
        <w:r w:rsidRPr="00E80CEA">
          <w:rPr>
            <w:rStyle w:val="Hyperlink"/>
            <w:kern w:val="18"/>
            <w:szCs w:val="18"/>
          </w:rPr>
          <w:t>CBD/SBI/3/7</w:t>
        </w:r>
      </w:hyperlink>
      <w:r w:rsidRPr="00E80CEA">
        <w:rPr>
          <w:kern w:val="18"/>
          <w:szCs w:val="18"/>
        </w:rPr>
        <w:t>, annex III.</w:t>
      </w:r>
    </w:p>
  </w:footnote>
  <w:footnote w:id="9">
    <w:p w14:paraId="4A0280F3" w14:textId="738A7594" w:rsidR="002A6FB3" w:rsidRPr="00E80CEA" w:rsidRDefault="002A6FB3" w:rsidP="00FD6D19">
      <w:pPr>
        <w:pStyle w:val="FootnoteText"/>
        <w:ind w:firstLine="0"/>
        <w:rPr>
          <w:kern w:val="18"/>
          <w:szCs w:val="18"/>
        </w:rPr>
      </w:pPr>
      <w:r w:rsidRPr="00E80CEA">
        <w:rPr>
          <w:rStyle w:val="FootnoteReference"/>
          <w:kern w:val="18"/>
          <w:sz w:val="18"/>
          <w:szCs w:val="18"/>
        </w:rPr>
        <w:footnoteRef/>
      </w:r>
      <w:r w:rsidRPr="00E80CEA">
        <w:rPr>
          <w:kern w:val="18"/>
          <w:szCs w:val="18"/>
        </w:rPr>
        <w:t xml:space="preserve"> </w:t>
      </w:r>
      <w:r w:rsidR="006B6CB2" w:rsidRPr="00E80CEA">
        <w:rPr>
          <w:kern w:val="18"/>
          <w:szCs w:val="18"/>
        </w:rPr>
        <w:t xml:space="preserve">Established in </w:t>
      </w:r>
      <w:r w:rsidR="004069AD" w:rsidRPr="00E80CEA">
        <w:rPr>
          <w:kern w:val="18"/>
          <w:szCs w:val="18"/>
        </w:rPr>
        <w:t>d</w:t>
      </w:r>
      <w:r w:rsidR="006B6CB2" w:rsidRPr="00E80CEA">
        <w:rPr>
          <w:kern w:val="18"/>
          <w:szCs w:val="18"/>
        </w:rPr>
        <w:t xml:space="preserve">ecision </w:t>
      </w:r>
      <w:r w:rsidR="00FD6D19" w:rsidRPr="00E80CEA">
        <w:rPr>
          <w:kern w:val="18"/>
          <w:szCs w:val="18"/>
        </w:rPr>
        <w:t>15/</w:t>
      </w:r>
      <w:r w:rsidR="004069AD" w:rsidRPr="00E80CEA">
        <w:rPr>
          <w:kern w:val="18"/>
          <w:szCs w:val="18"/>
        </w:rPr>
        <w:t>--</w:t>
      </w:r>
    </w:p>
  </w:footnote>
  <w:footnote w:id="10">
    <w:p w14:paraId="3BBB1EBC" w14:textId="709CC5A0" w:rsidR="005E2148" w:rsidRPr="00E80CEA" w:rsidRDefault="005E2148" w:rsidP="00E80CEA">
      <w:pPr>
        <w:pStyle w:val="FootnoteText"/>
        <w:ind w:firstLine="0"/>
        <w:jc w:val="left"/>
        <w:rPr>
          <w:kern w:val="18"/>
          <w:szCs w:val="18"/>
        </w:rPr>
      </w:pPr>
      <w:r w:rsidRPr="00E80CEA">
        <w:rPr>
          <w:rStyle w:val="FootnoteReference"/>
          <w:kern w:val="18"/>
          <w:sz w:val="18"/>
          <w:szCs w:val="18"/>
        </w:rPr>
        <w:footnoteRef/>
      </w:r>
      <w:r w:rsidRPr="00E80CEA">
        <w:rPr>
          <w:kern w:val="18"/>
          <w:szCs w:val="18"/>
        </w:rPr>
        <w:t xml:space="preserve"> </w:t>
      </w:r>
      <w:r w:rsidR="003A09A1" w:rsidRPr="00E80CEA">
        <w:rPr>
          <w:kern w:val="18"/>
          <w:szCs w:val="18"/>
        </w:rPr>
        <w:t xml:space="preserve">One Party suggested that the Knowledge Management Component should be forwarded to the </w:t>
      </w:r>
      <w:r w:rsidR="002D76E5" w:rsidRPr="00AB78C4">
        <w:rPr>
          <w:kern w:val="18"/>
          <w:szCs w:val="18"/>
        </w:rPr>
        <w:t>Working Group on the Post-2020 Global Biodiversity Framework</w:t>
      </w:r>
      <w:r w:rsidR="002D76E5" w:rsidRPr="002D76E5">
        <w:rPr>
          <w:kern w:val="18"/>
          <w:szCs w:val="18"/>
        </w:rPr>
        <w:t xml:space="preserve"> </w:t>
      </w:r>
      <w:r w:rsidR="002D76E5">
        <w:rPr>
          <w:kern w:val="18"/>
          <w:szCs w:val="18"/>
        </w:rPr>
        <w:t xml:space="preserve">at its </w:t>
      </w:r>
      <w:r w:rsidR="003A09A1" w:rsidRPr="00E80CEA">
        <w:rPr>
          <w:kern w:val="18"/>
          <w:szCs w:val="18"/>
        </w:rPr>
        <w:t xml:space="preserve">third meeting, rather than directly to </w:t>
      </w:r>
      <w:r w:rsidR="0098500C" w:rsidRPr="00E80CEA">
        <w:rPr>
          <w:kern w:val="18"/>
          <w:szCs w:val="18"/>
        </w:rPr>
        <w:t>the Conference of the Parties</w:t>
      </w:r>
      <w:r w:rsidR="002D76E5">
        <w:rPr>
          <w:kern w:val="18"/>
          <w:szCs w:val="18"/>
        </w:rPr>
        <w:t xml:space="preserve"> at its</w:t>
      </w:r>
      <w:r w:rsidR="002D76E5" w:rsidRPr="002D76E5">
        <w:rPr>
          <w:kern w:val="18"/>
          <w:szCs w:val="18"/>
        </w:rPr>
        <w:t xml:space="preserve"> </w:t>
      </w:r>
      <w:r w:rsidR="002D76E5" w:rsidRPr="00AB78C4">
        <w:rPr>
          <w:kern w:val="18"/>
          <w:szCs w:val="18"/>
        </w:rPr>
        <w:t>fifteenth meeting</w:t>
      </w:r>
      <w:r w:rsidR="003A09A1" w:rsidRPr="00E80CEA">
        <w:rPr>
          <w:kern w:val="18"/>
          <w:szCs w:val="18"/>
        </w:rPr>
        <w:t xml:space="preserve">, </w:t>
      </w:r>
      <w:proofErr w:type="gramStart"/>
      <w:r w:rsidR="003A09A1" w:rsidRPr="00E80CEA">
        <w:rPr>
          <w:kern w:val="18"/>
          <w:szCs w:val="18"/>
        </w:rPr>
        <w:t>in order to</w:t>
      </w:r>
      <w:proofErr w:type="gramEnd"/>
      <w:r w:rsidR="003A09A1" w:rsidRPr="00E80CEA">
        <w:rPr>
          <w:kern w:val="18"/>
          <w:szCs w:val="18"/>
        </w:rPr>
        <w:t xml:space="preserve"> ensure that all the elements related </w:t>
      </w:r>
      <w:r w:rsidR="00C84EAF" w:rsidRPr="00E80CEA">
        <w:rPr>
          <w:kern w:val="18"/>
          <w:szCs w:val="18"/>
        </w:rPr>
        <w:t xml:space="preserve">to the </w:t>
      </w:r>
      <w:r w:rsidR="003A09A1" w:rsidRPr="00E80CEA">
        <w:rPr>
          <w:kern w:val="18"/>
          <w:szCs w:val="18"/>
        </w:rPr>
        <w:t xml:space="preserve">post-2020 </w:t>
      </w:r>
      <w:r w:rsidR="00C84EAF" w:rsidRPr="00E80CEA">
        <w:rPr>
          <w:kern w:val="18"/>
          <w:szCs w:val="18"/>
        </w:rPr>
        <w:t xml:space="preserve">global biodiversity </w:t>
      </w:r>
      <w:r w:rsidR="003A09A1" w:rsidRPr="00E80CEA">
        <w:rPr>
          <w:kern w:val="18"/>
          <w:szCs w:val="18"/>
        </w:rPr>
        <w:t>framework are aligned and coherent.</w:t>
      </w:r>
    </w:p>
  </w:footnote>
  <w:footnote w:id="11">
    <w:p w14:paraId="5BAA5CDA" w14:textId="77777777" w:rsidR="00C55A3F" w:rsidRPr="00FA3FC5" w:rsidRDefault="00C55A3F" w:rsidP="00C23CCB">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Examples include Articles 17 and 18 of the Convention on Biological Diversity, Article 20 of the Cartagena Protocol on Biosafety, Article 14 of the Nagoya Protocol, Articles VI and VIII of the Convention on International Trade in Endangered Species of Wild Fauna and Flora, Articles 3 and 6 of the Ramsar Convention, and Article V of the Convention on Migratory Species.</w:t>
      </w:r>
    </w:p>
  </w:footnote>
  <w:footnote w:id="12">
    <w:p w14:paraId="31B9045E" w14:textId="77777777" w:rsidR="00C55A3F" w:rsidRPr="009F7F99" w:rsidRDefault="00C55A3F" w:rsidP="00C23CCB">
      <w:pPr>
        <w:pStyle w:val="FootnoteText"/>
        <w:suppressLineNumbers/>
        <w:suppressAutoHyphens/>
        <w:ind w:firstLine="0"/>
        <w:jc w:val="left"/>
        <w:rPr>
          <w:kern w:val="18"/>
          <w:szCs w:val="18"/>
          <w:lang w:val="it-IT"/>
        </w:rPr>
      </w:pPr>
      <w:r w:rsidRPr="00FA3FC5">
        <w:rPr>
          <w:rStyle w:val="FootnoteReference"/>
          <w:kern w:val="18"/>
          <w:sz w:val="18"/>
          <w:szCs w:val="18"/>
        </w:rPr>
        <w:footnoteRef/>
      </w:r>
      <w:r w:rsidRPr="009F7F99">
        <w:rPr>
          <w:kern w:val="18"/>
          <w:szCs w:val="18"/>
          <w:lang w:val="it-IT"/>
        </w:rPr>
        <w:t xml:space="preserve"> Decision X/2.</w:t>
      </w:r>
    </w:p>
  </w:footnote>
  <w:footnote w:id="13">
    <w:p w14:paraId="21E95694" w14:textId="77777777" w:rsidR="00C55A3F" w:rsidRPr="009F7F99" w:rsidRDefault="00C55A3F" w:rsidP="00C23CCB">
      <w:pPr>
        <w:pStyle w:val="FootnoteText"/>
        <w:suppressLineNumbers/>
        <w:suppressAutoHyphens/>
        <w:ind w:firstLine="0"/>
        <w:jc w:val="left"/>
        <w:rPr>
          <w:kern w:val="18"/>
          <w:szCs w:val="18"/>
          <w:lang w:val="it-IT"/>
        </w:rPr>
      </w:pPr>
      <w:r w:rsidRPr="00FA3FC5">
        <w:rPr>
          <w:rStyle w:val="FootnoteReference"/>
          <w:kern w:val="18"/>
          <w:sz w:val="18"/>
          <w:szCs w:val="18"/>
        </w:rPr>
        <w:footnoteRef/>
      </w:r>
      <w:r w:rsidRPr="009F7F99">
        <w:rPr>
          <w:kern w:val="18"/>
          <w:szCs w:val="18"/>
          <w:lang w:val="it-IT"/>
        </w:rPr>
        <w:t xml:space="preserve"> </w:t>
      </w:r>
      <w:hyperlink r:id="rId7" w:history="1">
        <w:r w:rsidRPr="009F7F99">
          <w:rPr>
            <w:rStyle w:val="Hyperlink"/>
            <w:kern w:val="18"/>
            <w:szCs w:val="18"/>
            <w:lang w:val="it-IT"/>
          </w:rPr>
          <w:t>https://www.cbd.int/gbo/</w:t>
        </w:r>
      </w:hyperlink>
    </w:p>
  </w:footnote>
  <w:footnote w:id="14">
    <w:p w14:paraId="0FAB29BC"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See “Effective use of knowledge in developing the post-2020 global biodiversity framework” (</w:t>
      </w:r>
      <w:hyperlink r:id="rId8" w:history="1">
        <w:r w:rsidRPr="00E80CEA">
          <w:rPr>
            <w:rStyle w:val="Hyperlink"/>
            <w:kern w:val="18"/>
            <w:szCs w:val="18"/>
          </w:rPr>
          <w:t>CBD/SBI/2/INF/33</w:t>
        </w:r>
      </w:hyperlink>
      <w:r w:rsidRPr="00FA3FC5">
        <w:rPr>
          <w:kern w:val="18"/>
          <w:szCs w:val="18"/>
        </w:rPr>
        <w:t>).</w:t>
      </w:r>
    </w:p>
  </w:footnote>
  <w:footnote w:id="15">
    <w:p w14:paraId="346CCD17"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Source:  Rowley, J. 2007. “</w:t>
      </w:r>
      <w:hyperlink r:id="rId9" w:history="1">
        <w:r w:rsidRPr="00FA3FC5">
          <w:rPr>
            <w:rStyle w:val="Hyperlink"/>
            <w:kern w:val="18"/>
            <w:szCs w:val="18"/>
          </w:rPr>
          <w:t>The Wisdom Hierarchy: Representations of the DIKW Hierarchy</w:t>
        </w:r>
      </w:hyperlink>
      <w:r w:rsidRPr="00FA3FC5">
        <w:rPr>
          <w:kern w:val="18"/>
          <w:szCs w:val="18"/>
        </w:rPr>
        <w:t>.”</w:t>
      </w:r>
    </w:p>
  </w:footnote>
  <w:footnote w:id="16">
    <w:p w14:paraId="4D04C33F"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w:t>
      </w:r>
      <w:hyperlink r:id="rId10" w:history="1">
        <w:r w:rsidRPr="00FA3FC5">
          <w:rPr>
            <w:rStyle w:val="Hyperlink"/>
            <w:kern w:val="18"/>
            <w:szCs w:val="18"/>
          </w:rPr>
          <w:t>https://www.cbd.int/chm/</w:t>
        </w:r>
      </w:hyperlink>
      <w:r w:rsidRPr="00FA3FC5">
        <w:rPr>
          <w:kern w:val="18"/>
          <w:szCs w:val="18"/>
        </w:rPr>
        <w:t xml:space="preserve">; </w:t>
      </w:r>
      <w:hyperlink r:id="rId11" w:history="1">
        <w:r w:rsidRPr="00FA3FC5">
          <w:rPr>
            <w:rStyle w:val="Hyperlink"/>
            <w:kern w:val="18"/>
            <w:szCs w:val="18"/>
          </w:rPr>
          <w:t>http://bch.cbd.int/</w:t>
        </w:r>
      </w:hyperlink>
      <w:r w:rsidRPr="00FA3FC5">
        <w:rPr>
          <w:kern w:val="18"/>
          <w:szCs w:val="18"/>
        </w:rPr>
        <w:t xml:space="preserve">; </w:t>
      </w:r>
      <w:hyperlink r:id="rId12" w:history="1">
        <w:r w:rsidRPr="00FA3FC5">
          <w:rPr>
            <w:rStyle w:val="Hyperlink"/>
            <w:kern w:val="18"/>
            <w:szCs w:val="18"/>
          </w:rPr>
          <w:t>https://absch.cbd.int/</w:t>
        </w:r>
      </w:hyperlink>
      <w:r w:rsidRPr="00FA3FC5">
        <w:rPr>
          <w:kern w:val="18"/>
          <w:szCs w:val="18"/>
        </w:rPr>
        <w:t xml:space="preserve">; </w:t>
      </w:r>
      <w:hyperlink r:id="rId13" w:history="1">
        <w:r w:rsidRPr="00FA3FC5">
          <w:rPr>
            <w:rStyle w:val="Hyperlink"/>
            <w:kern w:val="18"/>
            <w:szCs w:val="18"/>
          </w:rPr>
          <w:t>https://rsis.ramsar.org/</w:t>
        </w:r>
      </w:hyperlink>
      <w:r w:rsidRPr="00FA3FC5">
        <w:rPr>
          <w:kern w:val="18"/>
          <w:szCs w:val="18"/>
        </w:rPr>
        <w:t xml:space="preserve">; and </w:t>
      </w:r>
      <w:r w:rsidRPr="00FA3FC5">
        <w:rPr>
          <w:color w:val="1155CC"/>
          <w:kern w:val="18"/>
          <w:szCs w:val="18"/>
          <w:u w:val="single"/>
        </w:rPr>
        <w:t>https://trade.cites.org/</w:t>
      </w:r>
    </w:p>
  </w:footnote>
  <w:footnote w:id="17">
    <w:p w14:paraId="4AC32433"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https://</w:t>
      </w:r>
      <w:hyperlink r:id="rId14" w:history="1">
        <w:r w:rsidRPr="00FA3FC5">
          <w:rPr>
            <w:rStyle w:val="Hyperlink"/>
            <w:kern w:val="18"/>
            <w:szCs w:val="18"/>
          </w:rPr>
          <w:t>www.informea.org</w:t>
        </w:r>
      </w:hyperlink>
    </w:p>
  </w:footnote>
  <w:footnote w:id="18">
    <w:p w14:paraId="3B5089FA"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w:t>
      </w:r>
      <w:hyperlink r:id="rId15" w:history="1">
        <w:r w:rsidRPr="00FA3FC5">
          <w:rPr>
            <w:rStyle w:val="Hyperlink"/>
            <w:kern w:val="18"/>
            <w:szCs w:val="18"/>
          </w:rPr>
          <w:t>https://www.iucnredlist.org/assessment/sis</w:t>
        </w:r>
      </w:hyperlink>
    </w:p>
  </w:footnote>
  <w:footnote w:id="19">
    <w:p w14:paraId="1BCA004F"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w:t>
      </w:r>
      <w:hyperlink r:id="rId16" w:history="1">
        <w:r w:rsidRPr="00FA3FC5">
          <w:rPr>
            <w:rStyle w:val="Hyperlink"/>
            <w:kern w:val="18"/>
            <w:szCs w:val="18"/>
          </w:rPr>
          <w:t>https://www.unbiodiversitylab.org/</w:t>
        </w:r>
      </w:hyperlink>
    </w:p>
  </w:footnote>
  <w:footnote w:id="20">
    <w:p w14:paraId="2F7A8AED"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See: </w:t>
      </w:r>
      <w:hyperlink r:id="rId17" w:history="1">
        <w:r w:rsidRPr="00FA3FC5">
          <w:rPr>
            <w:rStyle w:val="Hyperlink"/>
            <w:kern w:val="18"/>
            <w:szCs w:val="18"/>
          </w:rPr>
          <w:t>https://www.protectedplanet.net/</w:t>
        </w:r>
      </w:hyperlink>
      <w:r w:rsidRPr="00FA3FC5">
        <w:rPr>
          <w:kern w:val="18"/>
          <w:szCs w:val="18"/>
        </w:rPr>
        <w:t xml:space="preserve">; </w:t>
      </w:r>
      <w:hyperlink r:id="rId18" w:history="1">
        <w:r w:rsidRPr="00FA3FC5">
          <w:rPr>
            <w:rStyle w:val="Hyperlink"/>
            <w:kern w:val="18"/>
            <w:szCs w:val="18"/>
          </w:rPr>
          <w:t>https://pame.protectedplanet.net</w:t>
        </w:r>
      </w:hyperlink>
      <w:r w:rsidRPr="00FA3FC5">
        <w:rPr>
          <w:kern w:val="18"/>
          <w:szCs w:val="18"/>
        </w:rPr>
        <w:t xml:space="preserve">  and </w:t>
      </w:r>
      <w:hyperlink r:id="rId19" w:history="1">
        <w:r w:rsidRPr="00FA3FC5">
          <w:rPr>
            <w:rStyle w:val="Hyperlink"/>
            <w:kern w:val="18"/>
            <w:szCs w:val="18"/>
          </w:rPr>
          <w:t>https://www.iccaregistry.org/</w:t>
        </w:r>
      </w:hyperlink>
    </w:p>
  </w:footnote>
  <w:footnote w:id="21">
    <w:p w14:paraId="0B3070BB"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These and other sources are identified in the “Compendium of guidance on key global databases related to biodiversity-related conventions” developed by UNEP-WCMC, available at </w:t>
      </w:r>
      <w:hyperlink r:id="rId20" w:history="1">
        <w:r w:rsidRPr="00FA3FC5">
          <w:rPr>
            <w:rStyle w:val="Hyperlink"/>
            <w:kern w:val="18"/>
            <w:szCs w:val="18"/>
          </w:rPr>
          <w:t>https://www.unep-wcmc.org/resources-and-data/biodiversitysynergies</w:t>
        </w:r>
      </w:hyperlink>
      <w:r w:rsidRPr="00FA3FC5">
        <w:rPr>
          <w:kern w:val="18"/>
          <w:szCs w:val="18"/>
        </w:rPr>
        <w:t>.</w:t>
      </w:r>
    </w:p>
  </w:footnote>
  <w:footnote w:id="22">
    <w:p w14:paraId="5C61661C"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These technologies could include web content management systems, electronic document and records management systems, collaboration tools, search engines, classification tools, and portals, as well as libraries and information centres.</w:t>
      </w:r>
    </w:p>
  </w:footnote>
  <w:footnote w:id="23">
    <w:p w14:paraId="1F973882" w14:textId="77777777" w:rsidR="00C55A3F" w:rsidRPr="00FA3FC5" w:rsidRDefault="00C55A3F" w:rsidP="00C55A3F">
      <w:pPr>
        <w:pStyle w:val="NormalWeb"/>
        <w:keepLines/>
        <w:suppressLineNumbers/>
        <w:suppressAutoHyphens/>
        <w:spacing w:before="0" w:beforeAutospacing="0" w:after="60" w:afterAutospacing="0"/>
        <w:rPr>
          <w:kern w:val="18"/>
          <w:sz w:val="18"/>
          <w:szCs w:val="18"/>
          <w:lang w:val="en-GB"/>
        </w:rPr>
      </w:pPr>
      <w:r w:rsidRPr="00FA3FC5">
        <w:rPr>
          <w:rStyle w:val="FootnoteReference"/>
          <w:kern w:val="18"/>
          <w:sz w:val="18"/>
          <w:szCs w:val="18"/>
          <w:lang w:val="en-GB"/>
        </w:rPr>
        <w:footnoteRef/>
      </w:r>
      <w:r w:rsidRPr="00FA3FC5">
        <w:rPr>
          <w:kern w:val="18"/>
          <w:sz w:val="18"/>
          <w:szCs w:val="18"/>
          <w:lang w:val="en-GB"/>
        </w:rPr>
        <w:t xml:space="preserve"> Some of the efforts are outlined in decision IPBES-7/1.</w:t>
      </w:r>
    </w:p>
  </w:footnote>
  <w:footnote w:id="24">
    <w:p w14:paraId="075FA221"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Knowledge discovery and collection involves searching, locating, </w:t>
      </w:r>
      <w:proofErr w:type="gramStart"/>
      <w:r w:rsidRPr="00FA3FC5">
        <w:rPr>
          <w:kern w:val="18"/>
          <w:szCs w:val="18"/>
        </w:rPr>
        <w:t>identifying</w:t>
      </w:r>
      <w:proofErr w:type="gramEnd"/>
      <w:r w:rsidRPr="00FA3FC5">
        <w:rPr>
          <w:kern w:val="18"/>
          <w:szCs w:val="18"/>
        </w:rPr>
        <w:t xml:space="preserve"> and acquiring data, information and knowledge.</w:t>
      </w:r>
    </w:p>
  </w:footnote>
  <w:footnote w:id="25">
    <w:p w14:paraId="7ADB89BA"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See CBD/SBI/3/7/Add.2, annex II.</w:t>
      </w:r>
    </w:p>
  </w:footnote>
  <w:footnote w:id="26">
    <w:p w14:paraId="533F982F" w14:textId="49568256"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w:t>
      </w:r>
      <w:hyperlink r:id="rId21" w:history="1">
        <w:r w:rsidRPr="00FA3FC5">
          <w:rPr>
            <w:rStyle w:val="Hyperlink"/>
            <w:kern w:val="18"/>
            <w:szCs w:val="18"/>
          </w:rPr>
          <w:t>https://www.allianceforbio.org/</w:t>
        </w:r>
      </w:hyperlink>
    </w:p>
  </w:footnote>
  <w:footnote w:id="27">
    <w:p w14:paraId="49BE2767"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The timeframe for the different strategic actions will be completed after discussions at the third meeting of the Subsidiary Body on Implementation.</w:t>
      </w:r>
    </w:p>
  </w:footnote>
  <w:footnote w:id="28">
    <w:p w14:paraId="1EFA7C94" w14:textId="77777777"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This column will be completed after the third meeting of the Subsidiary Body on Implementation and following voluntary expressions of interest from relevant partner organizations to contribute to the agreed strategic actions.</w:t>
      </w:r>
    </w:p>
  </w:footnote>
  <w:footnote w:id="29">
    <w:p w14:paraId="0A89EB4C" w14:textId="77777777" w:rsidR="00C55A3F" w:rsidRPr="00FA3FC5" w:rsidRDefault="00C55A3F" w:rsidP="00C55A3F">
      <w:pPr>
        <w:pStyle w:val="NormalWeb"/>
        <w:keepLines/>
        <w:suppressLineNumbers/>
        <w:suppressAutoHyphens/>
        <w:spacing w:before="0" w:beforeAutospacing="0" w:after="60" w:afterAutospacing="0"/>
        <w:rPr>
          <w:kern w:val="18"/>
          <w:sz w:val="18"/>
          <w:szCs w:val="18"/>
          <w:lang w:val="en-GB"/>
        </w:rPr>
      </w:pPr>
      <w:r w:rsidRPr="00FA3FC5">
        <w:rPr>
          <w:rStyle w:val="FootnoteReference"/>
          <w:kern w:val="18"/>
          <w:sz w:val="18"/>
          <w:szCs w:val="18"/>
          <w:lang w:val="en-GB"/>
        </w:rPr>
        <w:footnoteRef/>
      </w:r>
      <w:r w:rsidRPr="00FA3FC5">
        <w:rPr>
          <w:kern w:val="18"/>
          <w:sz w:val="18"/>
          <w:szCs w:val="18"/>
          <w:lang w:val="en-GB"/>
        </w:rPr>
        <w:t xml:space="preserve"> These may include tools identified in the </w:t>
      </w:r>
      <w:hyperlink r:id="rId22" w:history="1">
        <w:r w:rsidRPr="00FA3FC5">
          <w:rPr>
            <w:rStyle w:val="Hyperlink"/>
            <w:kern w:val="18"/>
            <w:szCs w:val="18"/>
            <w:lang w:val="en-GB"/>
          </w:rPr>
          <w:t>UNEP-WCMC compendia</w:t>
        </w:r>
      </w:hyperlink>
      <w:r w:rsidRPr="00FA3FC5">
        <w:rPr>
          <w:kern w:val="18"/>
          <w:sz w:val="18"/>
          <w:szCs w:val="18"/>
          <w:lang w:val="en-GB"/>
        </w:rPr>
        <w:t>.</w:t>
      </w:r>
    </w:p>
  </w:footnote>
  <w:footnote w:id="30">
    <w:p w14:paraId="6814788E" w14:textId="16D2F6C9" w:rsidR="00C55A3F" w:rsidRPr="00FA3FC5" w:rsidRDefault="00C55A3F" w:rsidP="00C55A3F">
      <w:pPr>
        <w:pStyle w:val="FootnoteText"/>
        <w:suppressLineNumbers/>
        <w:suppressAutoHyphens/>
        <w:ind w:firstLine="0"/>
        <w:jc w:val="left"/>
        <w:rPr>
          <w:kern w:val="18"/>
          <w:szCs w:val="18"/>
        </w:rPr>
      </w:pPr>
      <w:r w:rsidRPr="00FA3FC5">
        <w:rPr>
          <w:rStyle w:val="FootnoteReference"/>
          <w:kern w:val="18"/>
          <w:sz w:val="18"/>
          <w:szCs w:val="18"/>
        </w:rPr>
        <w:footnoteRef/>
      </w:r>
      <w:r w:rsidRPr="00FA3FC5">
        <w:rPr>
          <w:kern w:val="18"/>
          <w:szCs w:val="18"/>
        </w:rPr>
        <w:t xml:space="preserve"> The Open-</w:t>
      </w:r>
      <w:r w:rsidR="00A137DE">
        <w:rPr>
          <w:kern w:val="18"/>
          <w:szCs w:val="18"/>
        </w:rPr>
        <w:t>e</w:t>
      </w:r>
      <w:r w:rsidRPr="00FA3FC5">
        <w:rPr>
          <w:kern w:val="18"/>
          <w:szCs w:val="18"/>
        </w:rPr>
        <w:t>nded Working Group on Article 8(j) and Related Provisions, and the IPBES task force on indigenous and local knowledge could play a role in this regard.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252895572"/>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461D765" w14:textId="73E2E25C" w:rsidR="00C55A3F" w:rsidRPr="00AC4770" w:rsidRDefault="00FB1D7A" w:rsidP="003671CC">
        <w:pPr>
          <w:pStyle w:val="Header"/>
          <w:keepLines/>
          <w:suppressLineNumbers/>
          <w:suppressAutoHyphens/>
          <w:jc w:val="left"/>
          <w:rPr>
            <w:noProof/>
            <w:kern w:val="22"/>
          </w:rPr>
        </w:pPr>
        <w:r>
          <w:rPr>
            <w:noProof/>
            <w:kern w:val="22"/>
          </w:rPr>
          <w:t>CBD/SBI/REC/3/10</w:t>
        </w:r>
      </w:p>
    </w:sdtContent>
  </w:sdt>
  <w:p w14:paraId="68912889" w14:textId="77777777" w:rsidR="00C55A3F" w:rsidRPr="00AC4770" w:rsidRDefault="00C55A3F" w:rsidP="003671CC">
    <w:pPr>
      <w:pStyle w:val="Header"/>
      <w:keepLines/>
      <w:suppressLineNumbers/>
      <w:suppressAutoHyphens/>
      <w:spacing w:after="240"/>
      <w:jc w:val="left"/>
      <w:rPr>
        <w:noProof/>
      </w:rPr>
    </w:pPr>
    <w:r w:rsidRPr="00AC4770">
      <w:rPr>
        <w:noProof/>
        <w:kern w:val="22"/>
      </w:rPr>
      <w:t xml:space="preserve">Page </w:t>
    </w:r>
    <w:r w:rsidRPr="00AC4770">
      <w:rPr>
        <w:noProof/>
        <w:kern w:val="22"/>
      </w:rPr>
      <w:fldChar w:fldCharType="begin"/>
    </w:r>
    <w:r w:rsidRPr="00AC4770">
      <w:rPr>
        <w:noProof/>
        <w:kern w:val="22"/>
      </w:rPr>
      <w:instrText xml:space="preserve"> PAGE   \* MERGEFORMAT </w:instrText>
    </w:r>
    <w:r w:rsidRPr="00AC4770">
      <w:rPr>
        <w:noProof/>
        <w:kern w:val="22"/>
      </w:rPr>
      <w:fldChar w:fldCharType="separate"/>
    </w:r>
    <w:r w:rsidRPr="00AC4770">
      <w:rPr>
        <w:noProof/>
        <w:kern w:val="22"/>
      </w:rPr>
      <w:t>2</w:t>
    </w:r>
    <w:r w:rsidRPr="00AC4770">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9851429"/>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D0D1395" w14:textId="5F2201F3" w:rsidR="00C55A3F" w:rsidRDefault="00FB1D7A" w:rsidP="003671CC">
        <w:pPr>
          <w:pStyle w:val="Header"/>
          <w:keepLines/>
          <w:suppressLineNumbers/>
          <w:tabs>
            <w:tab w:val="clear" w:pos="4320"/>
            <w:tab w:val="clear" w:pos="8640"/>
          </w:tabs>
          <w:suppressAutoHyphens/>
          <w:jc w:val="right"/>
          <w:rPr>
            <w:noProof/>
          </w:rPr>
        </w:pPr>
        <w:r>
          <w:rPr>
            <w:noProof/>
          </w:rPr>
          <w:t>CBD/SBI/REC/3/10</w:t>
        </w:r>
      </w:p>
    </w:sdtContent>
  </w:sdt>
  <w:p w14:paraId="49B4E311" w14:textId="77777777" w:rsidR="00C55A3F" w:rsidRDefault="00C55A3F" w:rsidP="003671CC">
    <w:pPr>
      <w:pStyle w:val="Header"/>
      <w:keepLines/>
      <w:suppressLineNumbers/>
      <w:tabs>
        <w:tab w:val="clear" w:pos="4320"/>
        <w:tab w:val="clear" w:pos="8640"/>
      </w:tabs>
      <w:suppressAutoHyphens/>
      <w:spacing w:after="240"/>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BC20A3F" w14:textId="36B1BB31" w:rsidR="00534681" w:rsidRPr="00E80CEA" w:rsidRDefault="00FB1D7A" w:rsidP="00E80CEA">
        <w:pPr>
          <w:pStyle w:val="Header"/>
          <w:tabs>
            <w:tab w:val="clear" w:pos="4320"/>
            <w:tab w:val="clear" w:pos="8640"/>
          </w:tabs>
          <w:jc w:val="left"/>
          <w:rPr>
            <w:kern w:val="22"/>
            <w:lang w:val="fr-FR"/>
          </w:rPr>
        </w:pPr>
        <w:r>
          <w:rPr>
            <w:kern w:val="22"/>
            <w:lang w:val="fr-FR"/>
          </w:rPr>
          <w:t>CBD/SBI/REC/3/10</w:t>
        </w:r>
      </w:p>
    </w:sdtContent>
  </w:sdt>
  <w:p w14:paraId="1E0FDE0B" w14:textId="77777777" w:rsidR="00534681" w:rsidRPr="00E80CEA" w:rsidRDefault="00534681" w:rsidP="00E80CEA">
    <w:pPr>
      <w:pStyle w:val="Header"/>
      <w:tabs>
        <w:tab w:val="clear" w:pos="4320"/>
        <w:tab w:val="clear" w:pos="8640"/>
      </w:tabs>
      <w:jc w:val="left"/>
      <w:rPr>
        <w:kern w:val="22"/>
        <w:lang w:val="fr-FR"/>
      </w:rPr>
    </w:pPr>
    <w:r w:rsidRPr="00E80CEA">
      <w:rPr>
        <w:kern w:val="22"/>
        <w:lang w:val="fr-FR"/>
      </w:rPr>
      <w:t xml:space="preserve">Page </w:t>
    </w:r>
    <w:r w:rsidRPr="00E80CEA">
      <w:rPr>
        <w:kern w:val="22"/>
      </w:rPr>
      <w:fldChar w:fldCharType="begin"/>
    </w:r>
    <w:r w:rsidRPr="00E80CEA">
      <w:rPr>
        <w:kern w:val="22"/>
        <w:lang w:val="fr-FR"/>
      </w:rPr>
      <w:instrText xml:space="preserve"> PAGE   \* MERGEFORMAT </w:instrText>
    </w:r>
    <w:r w:rsidRPr="00E80CEA">
      <w:rPr>
        <w:kern w:val="22"/>
      </w:rPr>
      <w:fldChar w:fldCharType="separate"/>
    </w:r>
    <w:r w:rsidR="00F6586C" w:rsidRPr="00E80CEA">
      <w:rPr>
        <w:noProof/>
        <w:kern w:val="22"/>
        <w:lang w:val="fr-FR"/>
      </w:rPr>
      <w:t>2</w:t>
    </w:r>
    <w:r w:rsidRPr="00E80CEA">
      <w:rPr>
        <w:noProof/>
        <w:kern w:val="22"/>
      </w:rPr>
      <w:fldChar w:fldCharType="end"/>
    </w:r>
  </w:p>
  <w:p w14:paraId="55A5B296" w14:textId="77777777" w:rsidR="006B2CFE" w:rsidRPr="00E80CEA" w:rsidRDefault="006B2CFE" w:rsidP="00E80CEA">
    <w:pPr>
      <w:jc w:val="left"/>
      <w:rPr>
        <w:kern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5B672090" w:rsidR="009505C9" w:rsidRPr="00134846" w:rsidRDefault="00FB1D7A" w:rsidP="00E80CEA">
        <w:pPr>
          <w:pStyle w:val="Header"/>
          <w:tabs>
            <w:tab w:val="clear" w:pos="4320"/>
            <w:tab w:val="clear" w:pos="8640"/>
          </w:tabs>
          <w:jc w:val="right"/>
          <w:rPr>
            <w:lang w:val="fr-FR"/>
          </w:rPr>
        </w:pPr>
        <w:r>
          <w:rPr>
            <w:lang w:val="fr-FR"/>
          </w:rPr>
          <w:t>CBD/SBI/REC/3/10</w:t>
        </w:r>
      </w:p>
    </w:sdtContent>
  </w:sdt>
  <w:p w14:paraId="64AE8439" w14:textId="77777777" w:rsidR="009505C9" w:rsidRPr="00134846" w:rsidRDefault="009505C9" w:rsidP="00E80CEA">
    <w:pPr>
      <w:pStyle w:val="Header"/>
      <w:tabs>
        <w:tab w:val="clear" w:pos="4320"/>
        <w:tab w:val="clear" w:pos="8640"/>
      </w:tabs>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3FBD3763" w14:textId="77777777" w:rsidR="006B2CFE" w:rsidRDefault="006B2CFE" w:rsidP="00E80C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781"/>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323"/>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2175"/>
    <w:multiLevelType w:val="hybridMultilevel"/>
    <w:tmpl w:val="E0107A06"/>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A66668"/>
    <w:multiLevelType w:val="hybridMultilevel"/>
    <w:tmpl w:val="F0C662E0"/>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F04485"/>
    <w:multiLevelType w:val="hybridMultilevel"/>
    <w:tmpl w:val="A55C2B4A"/>
    <w:lvl w:ilvl="0" w:tplc="450C6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420184"/>
    <w:multiLevelType w:val="hybridMultilevel"/>
    <w:tmpl w:val="7BF25866"/>
    <w:lvl w:ilvl="0" w:tplc="ABA44A26">
      <w:start w:val="1"/>
      <w:numFmt w:val="upperLetter"/>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857FA2"/>
    <w:multiLevelType w:val="hybridMultilevel"/>
    <w:tmpl w:val="651417DA"/>
    <w:lvl w:ilvl="0" w:tplc="450C6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5F92"/>
    <w:multiLevelType w:val="hybridMultilevel"/>
    <w:tmpl w:val="65D057E0"/>
    <w:lvl w:ilvl="0" w:tplc="A64C2B50">
      <w:start w:val="1"/>
      <w:numFmt w:val="decimal"/>
      <w:lvlText w:val="%1."/>
      <w:lvlJc w:val="left"/>
      <w:pPr>
        <w:tabs>
          <w:tab w:val="num" w:pos="720"/>
        </w:tabs>
        <w:ind w:left="0" w:firstLine="0"/>
      </w:pPr>
    </w:lvl>
    <w:lvl w:ilvl="1" w:tplc="7422AAFE">
      <w:start w:val="1"/>
      <w:numFmt w:val="lowerLetter"/>
      <w:lvlText w:val="(%2)"/>
      <w:lvlJc w:val="left"/>
      <w:pPr>
        <w:tabs>
          <w:tab w:val="num" w:pos="1080"/>
        </w:tabs>
        <w:ind w:left="1080" w:hanging="360"/>
      </w:pPr>
      <w:rPr>
        <w:rFonts w:hint="default"/>
      </w:rPr>
    </w:lvl>
    <w:lvl w:ilvl="2" w:tplc="E3E6A1D4">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273140"/>
    <w:multiLevelType w:val="hybridMultilevel"/>
    <w:tmpl w:val="16D89C5A"/>
    <w:lvl w:ilvl="0" w:tplc="3800A1EA">
      <w:start w:val="1"/>
      <w:numFmt w:val="decimal"/>
      <w:lvlText w:val="%1."/>
      <w:lvlJc w:val="left"/>
      <w:pPr>
        <w:ind w:left="720" w:hanging="360"/>
      </w:pPr>
      <w:rPr>
        <w:rFonts w:hint="default"/>
        <w:i/>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29618E"/>
    <w:multiLevelType w:val="hybridMultilevel"/>
    <w:tmpl w:val="99B40026"/>
    <w:lvl w:ilvl="0" w:tplc="D152AE46">
      <w:start w:val="1"/>
      <w:numFmt w:val="decimal"/>
      <w:lvlText w:val="%1."/>
      <w:lvlJc w:val="left"/>
      <w:pPr>
        <w:tabs>
          <w:tab w:val="num" w:pos="360"/>
        </w:tabs>
        <w:ind w:left="0" w:firstLine="0"/>
      </w:pPr>
      <w:rPr>
        <w:rFonts w:ascii="Times New Roman" w:hAnsi="Times New Roman" w:hint="default"/>
        <w:b w:val="0"/>
        <w:i w:val="0"/>
        <w:sz w:val="22"/>
      </w:rPr>
    </w:lvl>
    <w:lvl w:ilvl="1" w:tplc="5810F574">
      <w:start w:val="1"/>
      <w:numFmt w:val="lowerLetter"/>
      <w:lvlText w:val="(%2)"/>
      <w:lvlJc w:val="left"/>
      <w:pPr>
        <w:tabs>
          <w:tab w:val="num" w:pos="1440"/>
        </w:tabs>
        <w:ind w:left="0" w:firstLine="720"/>
      </w:pPr>
      <w:rPr>
        <w:rFonts w:hint="default"/>
        <w:b w:val="0"/>
        <w:i w:val="0"/>
      </w:rPr>
    </w:lvl>
    <w:lvl w:ilvl="2" w:tplc="18BC3C68">
      <w:start w:val="1"/>
      <w:numFmt w:val="lowerRoman"/>
      <w:lvlText w:val="(%3)"/>
      <w:lvlJc w:val="right"/>
      <w:pPr>
        <w:tabs>
          <w:tab w:val="num" w:pos="1440"/>
        </w:tabs>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746AC0"/>
    <w:multiLevelType w:val="hybridMultilevel"/>
    <w:tmpl w:val="BFA482FC"/>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245FA1"/>
    <w:multiLevelType w:val="multilevel"/>
    <w:tmpl w:val="C8E6C246"/>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D2A28"/>
    <w:multiLevelType w:val="hybridMultilevel"/>
    <w:tmpl w:val="70D6370C"/>
    <w:lvl w:ilvl="0" w:tplc="714AC6F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0585284"/>
    <w:multiLevelType w:val="hybridMultilevel"/>
    <w:tmpl w:val="B660202E"/>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E2C5B"/>
    <w:multiLevelType w:val="hybridMultilevel"/>
    <w:tmpl w:val="99B40026"/>
    <w:lvl w:ilvl="0" w:tplc="D152AE46">
      <w:start w:val="1"/>
      <w:numFmt w:val="decimal"/>
      <w:lvlText w:val="%1."/>
      <w:lvlJc w:val="left"/>
      <w:pPr>
        <w:tabs>
          <w:tab w:val="num" w:pos="360"/>
        </w:tabs>
        <w:ind w:left="0" w:firstLine="0"/>
      </w:pPr>
      <w:rPr>
        <w:rFonts w:ascii="Times New Roman" w:hAnsi="Times New Roman" w:hint="default"/>
        <w:b w:val="0"/>
        <w:i w:val="0"/>
        <w:sz w:val="22"/>
      </w:rPr>
    </w:lvl>
    <w:lvl w:ilvl="1" w:tplc="5810F574">
      <w:start w:val="1"/>
      <w:numFmt w:val="lowerLetter"/>
      <w:lvlText w:val="(%2)"/>
      <w:lvlJc w:val="left"/>
      <w:pPr>
        <w:tabs>
          <w:tab w:val="num" w:pos="1440"/>
        </w:tabs>
        <w:ind w:left="0" w:firstLine="720"/>
      </w:pPr>
      <w:rPr>
        <w:rFonts w:hint="default"/>
        <w:b w:val="0"/>
        <w:i w:val="0"/>
      </w:rPr>
    </w:lvl>
    <w:lvl w:ilvl="2" w:tplc="18BC3C68">
      <w:start w:val="1"/>
      <w:numFmt w:val="lowerRoman"/>
      <w:lvlText w:val="(%3)"/>
      <w:lvlJc w:val="right"/>
      <w:pPr>
        <w:tabs>
          <w:tab w:val="num" w:pos="1440"/>
        </w:tabs>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abstractNum w:abstractNumId="3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C6CDC"/>
    <w:multiLevelType w:val="hybridMultilevel"/>
    <w:tmpl w:val="D996D3B4"/>
    <w:lvl w:ilvl="0" w:tplc="776CFC40">
      <w:start w:val="1"/>
      <w:numFmt w:val="upp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66C86"/>
    <w:multiLevelType w:val="multilevel"/>
    <w:tmpl w:val="C8E6C246"/>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16"/>
  </w:num>
  <w:num w:numId="4">
    <w:abstractNumId w:val="19"/>
  </w:num>
  <w:num w:numId="5">
    <w:abstractNumId w:val="17"/>
  </w:num>
  <w:num w:numId="6">
    <w:abstractNumId w:val="3"/>
  </w:num>
  <w:num w:numId="7">
    <w:abstractNumId w:val="6"/>
  </w:num>
  <w:num w:numId="8">
    <w:abstractNumId w:val="16"/>
    <w:lvlOverride w:ilvl="0">
      <w:startOverride w:val="1"/>
    </w:lvlOverride>
  </w:num>
  <w:num w:numId="9">
    <w:abstractNumId w:val="26"/>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23"/>
  </w:num>
  <w:num w:numId="15">
    <w:abstractNumId w:val="22"/>
  </w:num>
  <w:num w:numId="16">
    <w:abstractNumId w:val="4"/>
  </w:num>
  <w:num w:numId="17">
    <w:abstractNumId w:val="28"/>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0"/>
  </w:num>
  <w:num w:numId="24">
    <w:abstractNumId w:val="10"/>
    <w:lvlOverride w:ilvl="0">
      <w:startOverride w:val="1"/>
    </w:lvlOverride>
  </w:num>
  <w:num w:numId="25">
    <w:abstractNumId w:val="14"/>
  </w:num>
  <w:num w:numId="26">
    <w:abstractNumId w:val="13"/>
  </w:num>
  <w:num w:numId="27">
    <w:abstractNumId w:val="12"/>
  </w:num>
  <w:num w:numId="28">
    <w:abstractNumId w:val="1"/>
  </w:num>
  <w:num w:numId="29">
    <w:abstractNumId w:val="33"/>
  </w:num>
  <w:num w:numId="30">
    <w:abstractNumId w:val="5"/>
  </w:num>
  <w:num w:numId="31">
    <w:abstractNumId w:val="20"/>
  </w:num>
  <w:num w:numId="32">
    <w:abstractNumId w:val="0"/>
  </w:num>
  <w:num w:numId="33">
    <w:abstractNumId w:val="31"/>
  </w:num>
  <w:num w:numId="34">
    <w:abstractNumId w:val="8"/>
  </w:num>
  <w:num w:numId="35">
    <w:abstractNumId w:val="25"/>
  </w:num>
  <w:num w:numId="36">
    <w:abstractNumId w:val="7"/>
  </w:num>
  <w:num w:numId="37">
    <w:abstractNumId w:val="2"/>
  </w:num>
  <w:num w:numId="38">
    <w:abstractNumId w:val="27"/>
  </w:num>
  <w:num w:numId="39">
    <w:abstractNumId w:val="11"/>
  </w:num>
  <w:num w:numId="40">
    <w:abstractNumId w:val="32"/>
  </w:num>
  <w:num w:numId="41">
    <w:abstractNumId w:val="19"/>
  </w:num>
  <w:num w:numId="42">
    <w:abstractNumId w:val="19"/>
  </w:num>
  <w:num w:numId="43">
    <w:abstractNumId w:val="19"/>
  </w:num>
  <w:num w:numId="44">
    <w:abstractNumId w:val="15"/>
  </w:num>
  <w:num w:numId="45">
    <w:abstractNumId w:val="19"/>
  </w:num>
  <w:num w:numId="46">
    <w:abstractNumId w:val="19"/>
  </w:num>
  <w:num w:numId="47">
    <w:abstractNumId w:val="19"/>
  </w:num>
  <w:num w:numId="48">
    <w:abstractNumId w:val="18"/>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2265"/>
    <w:rsid w:val="00006FE8"/>
    <w:rsid w:val="00007653"/>
    <w:rsid w:val="00007805"/>
    <w:rsid w:val="000120E5"/>
    <w:rsid w:val="0001255D"/>
    <w:rsid w:val="0001309B"/>
    <w:rsid w:val="0001420D"/>
    <w:rsid w:val="00027CD0"/>
    <w:rsid w:val="00044F6E"/>
    <w:rsid w:val="000606D3"/>
    <w:rsid w:val="00061B81"/>
    <w:rsid w:val="00062126"/>
    <w:rsid w:val="000642FA"/>
    <w:rsid w:val="0007171B"/>
    <w:rsid w:val="00075A5A"/>
    <w:rsid w:val="00090267"/>
    <w:rsid w:val="0009553C"/>
    <w:rsid w:val="00095BF3"/>
    <w:rsid w:val="00096299"/>
    <w:rsid w:val="000A23A7"/>
    <w:rsid w:val="000A7160"/>
    <w:rsid w:val="000B52A6"/>
    <w:rsid w:val="000C326D"/>
    <w:rsid w:val="000C6FB3"/>
    <w:rsid w:val="000E2066"/>
    <w:rsid w:val="000E673A"/>
    <w:rsid w:val="000E681D"/>
    <w:rsid w:val="000F74F5"/>
    <w:rsid w:val="00104378"/>
    <w:rsid w:val="00105372"/>
    <w:rsid w:val="00110900"/>
    <w:rsid w:val="00114528"/>
    <w:rsid w:val="00115D1C"/>
    <w:rsid w:val="00123B10"/>
    <w:rsid w:val="001312AD"/>
    <w:rsid w:val="00131933"/>
    <w:rsid w:val="00131E7A"/>
    <w:rsid w:val="00134846"/>
    <w:rsid w:val="00137B73"/>
    <w:rsid w:val="00145FDF"/>
    <w:rsid w:val="00154961"/>
    <w:rsid w:val="001551F5"/>
    <w:rsid w:val="001614F7"/>
    <w:rsid w:val="00165BFC"/>
    <w:rsid w:val="00166C9D"/>
    <w:rsid w:val="00170203"/>
    <w:rsid w:val="00172AF6"/>
    <w:rsid w:val="00176CEE"/>
    <w:rsid w:val="001815C0"/>
    <w:rsid w:val="00184AEB"/>
    <w:rsid w:val="00186DD8"/>
    <w:rsid w:val="001A31ED"/>
    <w:rsid w:val="001A60DF"/>
    <w:rsid w:val="001B13FE"/>
    <w:rsid w:val="001C4E24"/>
    <w:rsid w:val="001D2FE9"/>
    <w:rsid w:val="001D55F0"/>
    <w:rsid w:val="001D737B"/>
    <w:rsid w:val="001E1D70"/>
    <w:rsid w:val="001E1E95"/>
    <w:rsid w:val="001E51BB"/>
    <w:rsid w:val="001F1053"/>
    <w:rsid w:val="001F2B37"/>
    <w:rsid w:val="001F4C16"/>
    <w:rsid w:val="00203914"/>
    <w:rsid w:val="00204B6D"/>
    <w:rsid w:val="00207B96"/>
    <w:rsid w:val="00210048"/>
    <w:rsid w:val="00213143"/>
    <w:rsid w:val="002225EC"/>
    <w:rsid w:val="00223E60"/>
    <w:rsid w:val="00233F34"/>
    <w:rsid w:val="0023555A"/>
    <w:rsid w:val="00243CDD"/>
    <w:rsid w:val="00254B10"/>
    <w:rsid w:val="0025511A"/>
    <w:rsid w:val="002559BC"/>
    <w:rsid w:val="00265300"/>
    <w:rsid w:val="00277F04"/>
    <w:rsid w:val="00282D39"/>
    <w:rsid w:val="00285D2D"/>
    <w:rsid w:val="00290469"/>
    <w:rsid w:val="00291AEF"/>
    <w:rsid w:val="002933B5"/>
    <w:rsid w:val="00294E77"/>
    <w:rsid w:val="002A6FB3"/>
    <w:rsid w:val="002B1720"/>
    <w:rsid w:val="002B1794"/>
    <w:rsid w:val="002B2144"/>
    <w:rsid w:val="002C1EB2"/>
    <w:rsid w:val="002D76E5"/>
    <w:rsid w:val="002E2B6F"/>
    <w:rsid w:val="002E5A41"/>
    <w:rsid w:val="002E7143"/>
    <w:rsid w:val="002F4FE1"/>
    <w:rsid w:val="002F5E29"/>
    <w:rsid w:val="0030169D"/>
    <w:rsid w:val="00302D72"/>
    <w:rsid w:val="003060EB"/>
    <w:rsid w:val="00310A5D"/>
    <w:rsid w:val="00313BD2"/>
    <w:rsid w:val="00314F17"/>
    <w:rsid w:val="003153EB"/>
    <w:rsid w:val="00321985"/>
    <w:rsid w:val="0032389D"/>
    <w:rsid w:val="003256D8"/>
    <w:rsid w:val="00331B92"/>
    <w:rsid w:val="00351205"/>
    <w:rsid w:val="00357474"/>
    <w:rsid w:val="00360081"/>
    <w:rsid w:val="00360422"/>
    <w:rsid w:val="003671CC"/>
    <w:rsid w:val="00371909"/>
    <w:rsid w:val="00372F74"/>
    <w:rsid w:val="003800B6"/>
    <w:rsid w:val="00381333"/>
    <w:rsid w:val="00384B0D"/>
    <w:rsid w:val="00387B72"/>
    <w:rsid w:val="00393313"/>
    <w:rsid w:val="00393BD8"/>
    <w:rsid w:val="0039772E"/>
    <w:rsid w:val="003A09A1"/>
    <w:rsid w:val="003A3060"/>
    <w:rsid w:val="003B1693"/>
    <w:rsid w:val="003B1E95"/>
    <w:rsid w:val="003B3E58"/>
    <w:rsid w:val="003B7293"/>
    <w:rsid w:val="003C190B"/>
    <w:rsid w:val="003C5396"/>
    <w:rsid w:val="003D0601"/>
    <w:rsid w:val="003D6DFE"/>
    <w:rsid w:val="003E3A39"/>
    <w:rsid w:val="003E3E22"/>
    <w:rsid w:val="003F0189"/>
    <w:rsid w:val="003F5A3E"/>
    <w:rsid w:val="003F7224"/>
    <w:rsid w:val="003F79BB"/>
    <w:rsid w:val="004069AD"/>
    <w:rsid w:val="00410476"/>
    <w:rsid w:val="00410955"/>
    <w:rsid w:val="004273FD"/>
    <w:rsid w:val="0042785F"/>
    <w:rsid w:val="00427D21"/>
    <w:rsid w:val="004313B4"/>
    <w:rsid w:val="00434CCA"/>
    <w:rsid w:val="004409C4"/>
    <w:rsid w:val="0044153F"/>
    <w:rsid w:val="00442E1C"/>
    <w:rsid w:val="0045094A"/>
    <w:rsid w:val="0045663A"/>
    <w:rsid w:val="00457672"/>
    <w:rsid w:val="0046182A"/>
    <w:rsid w:val="00461C8E"/>
    <w:rsid w:val="00463D20"/>
    <w:rsid w:val="004644C2"/>
    <w:rsid w:val="00467F9C"/>
    <w:rsid w:val="00473792"/>
    <w:rsid w:val="00476A67"/>
    <w:rsid w:val="00483769"/>
    <w:rsid w:val="004928ED"/>
    <w:rsid w:val="00492C43"/>
    <w:rsid w:val="00494A5B"/>
    <w:rsid w:val="004A461A"/>
    <w:rsid w:val="004A5B34"/>
    <w:rsid w:val="004A69EB"/>
    <w:rsid w:val="004A7EE1"/>
    <w:rsid w:val="004B31CA"/>
    <w:rsid w:val="004B62B1"/>
    <w:rsid w:val="004B6688"/>
    <w:rsid w:val="004C67F2"/>
    <w:rsid w:val="004D5130"/>
    <w:rsid w:val="004E1DDF"/>
    <w:rsid w:val="004E28B8"/>
    <w:rsid w:val="004E56D5"/>
    <w:rsid w:val="004E56F3"/>
    <w:rsid w:val="005024BA"/>
    <w:rsid w:val="0050367E"/>
    <w:rsid w:val="00507C33"/>
    <w:rsid w:val="005110AA"/>
    <w:rsid w:val="005225D9"/>
    <w:rsid w:val="0052728E"/>
    <w:rsid w:val="005315F1"/>
    <w:rsid w:val="00534681"/>
    <w:rsid w:val="005354FA"/>
    <w:rsid w:val="00537C5B"/>
    <w:rsid w:val="005409CA"/>
    <w:rsid w:val="00551B5F"/>
    <w:rsid w:val="0055452C"/>
    <w:rsid w:val="00560C12"/>
    <w:rsid w:val="00563442"/>
    <w:rsid w:val="00564AB9"/>
    <w:rsid w:val="00565B42"/>
    <w:rsid w:val="005665F1"/>
    <w:rsid w:val="00566831"/>
    <w:rsid w:val="00573101"/>
    <w:rsid w:val="0057328C"/>
    <w:rsid w:val="005872F1"/>
    <w:rsid w:val="00591A95"/>
    <w:rsid w:val="005A2729"/>
    <w:rsid w:val="005A5418"/>
    <w:rsid w:val="005B296E"/>
    <w:rsid w:val="005B4539"/>
    <w:rsid w:val="005B53C6"/>
    <w:rsid w:val="005C4CE6"/>
    <w:rsid w:val="005E1DEF"/>
    <w:rsid w:val="005E2148"/>
    <w:rsid w:val="005E443B"/>
    <w:rsid w:val="005F0B0E"/>
    <w:rsid w:val="005F1EFA"/>
    <w:rsid w:val="005F201B"/>
    <w:rsid w:val="005F6CC0"/>
    <w:rsid w:val="00606F15"/>
    <w:rsid w:val="006122BA"/>
    <w:rsid w:val="00622A4E"/>
    <w:rsid w:val="006261B0"/>
    <w:rsid w:val="00632C38"/>
    <w:rsid w:val="0063413D"/>
    <w:rsid w:val="00671FB7"/>
    <w:rsid w:val="00672BDA"/>
    <w:rsid w:val="00673280"/>
    <w:rsid w:val="00674FF4"/>
    <w:rsid w:val="00676653"/>
    <w:rsid w:val="006926CC"/>
    <w:rsid w:val="006A35A7"/>
    <w:rsid w:val="006A5E9F"/>
    <w:rsid w:val="006B18E2"/>
    <w:rsid w:val="006B2166"/>
    <w:rsid w:val="006B2290"/>
    <w:rsid w:val="006B2CFE"/>
    <w:rsid w:val="006B4875"/>
    <w:rsid w:val="006B4DDE"/>
    <w:rsid w:val="006B5D5E"/>
    <w:rsid w:val="006B651E"/>
    <w:rsid w:val="006B6CB2"/>
    <w:rsid w:val="006C02A4"/>
    <w:rsid w:val="006C2E9B"/>
    <w:rsid w:val="006D0B23"/>
    <w:rsid w:val="006D3CFC"/>
    <w:rsid w:val="006E0F36"/>
    <w:rsid w:val="006E4E29"/>
    <w:rsid w:val="006F75FC"/>
    <w:rsid w:val="00704B87"/>
    <w:rsid w:val="0070629B"/>
    <w:rsid w:val="0071030B"/>
    <w:rsid w:val="007103D2"/>
    <w:rsid w:val="00716405"/>
    <w:rsid w:val="00717D88"/>
    <w:rsid w:val="00720C41"/>
    <w:rsid w:val="00721B82"/>
    <w:rsid w:val="00726A7A"/>
    <w:rsid w:val="00734167"/>
    <w:rsid w:val="007472B3"/>
    <w:rsid w:val="00747856"/>
    <w:rsid w:val="00752E4B"/>
    <w:rsid w:val="00753C5B"/>
    <w:rsid w:val="00756043"/>
    <w:rsid w:val="00756B4A"/>
    <w:rsid w:val="00761B49"/>
    <w:rsid w:val="00761C82"/>
    <w:rsid w:val="00763042"/>
    <w:rsid w:val="007733FE"/>
    <w:rsid w:val="007829B9"/>
    <w:rsid w:val="0078303F"/>
    <w:rsid w:val="00786056"/>
    <w:rsid w:val="00786572"/>
    <w:rsid w:val="00787735"/>
    <w:rsid w:val="007942D3"/>
    <w:rsid w:val="007B2099"/>
    <w:rsid w:val="007B5468"/>
    <w:rsid w:val="007B6C09"/>
    <w:rsid w:val="007B7271"/>
    <w:rsid w:val="007B7741"/>
    <w:rsid w:val="007C11AC"/>
    <w:rsid w:val="007C6E07"/>
    <w:rsid w:val="007D1D3A"/>
    <w:rsid w:val="007E09DA"/>
    <w:rsid w:val="007E1602"/>
    <w:rsid w:val="007F34D1"/>
    <w:rsid w:val="007F73B7"/>
    <w:rsid w:val="00800FA5"/>
    <w:rsid w:val="00801D8D"/>
    <w:rsid w:val="00810A55"/>
    <w:rsid w:val="00812B7C"/>
    <w:rsid w:val="008152B1"/>
    <w:rsid w:val="008178B6"/>
    <w:rsid w:val="008301F7"/>
    <w:rsid w:val="00832329"/>
    <w:rsid w:val="0083611C"/>
    <w:rsid w:val="00840645"/>
    <w:rsid w:val="00841BFA"/>
    <w:rsid w:val="008509DC"/>
    <w:rsid w:val="0085788B"/>
    <w:rsid w:val="008579AF"/>
    <w:rsid w:val="00865B74"/>
    <w:rsid w:val="00874DA3"/>
    <w:rsid w:val="008759EF"/>
    <w:rsid w:val="00883BAF"/>
    <w:rsid w:val="0089235D"/>
    <w:rsid w:val="00895788"/>
    <w:rsid w:val="008974F0"/>
    <w:rsid w:val="008A3834"/>
    <w:rsid w:val="008B012A"/>
    <w:rsid w:val="008B213C"/>
    <w:rsid w:val="008B2AAA"/>
    <w:rsid w:val="008B5855"/>
    <w:rsid w:val="008C0ED6"/>
    <w:rsid w:val="008C164B"/>
    <w:rsid w:val="008C2A9A"/>
    <w:rsid w:val="008C6619"/>
    <w:rsid w:val="008E4C56"/>
    <w:rsid w:val="008E5DB5"/>
    <w:rsid w:val="008E7C52"/>
    <w:rsid w:val="008F112D"/>
    <w:rsid w:val="008F1D9C"/>
    <w:rsid w:val="008F37DD"/>
    <w:rsid w:val="008F5466"/>
    <w:rsid w:val="00901CA3"/>
    <w:rsid w:val="0090268A"/>
    <w:rsid w:val="00906E17"/>
    <w:rsid w:val="00911B6E"/>
    <w:rsid w:val="00915604"/>
    <w:rsid w:val="00930BA1"/>
    <w:rsid w:val="0093169E"/>
    <w:rsid w:val="009325EF"/>
    <w:rsid w:val="00937B71"/>
    <w:rsid w:val="00940B48"/>
    <w:rsid w:val="009505C9"/>
    <w:rsid w:val="00950752"/>
    <w:rsid w:val="00950774"/>
    <w:rsid w:val="00951E2F"/>
    <w:rsid w:val="00963C3F"/>
    <w:rsid w:val="009645D1"/>
    <w:rsid w:val="00966424"/>
    <w:rsid w:val="0097172D"/>
    <w:rsid w:val="009742A8"/>
    <w:rsid w:val="00976163"/>
    <w:rsid w:val="0098059E"/>
    <w:rsid w:val="0098500C"/>
    <w:rsid w:val="00986117"/>
    <w:rsid w:val="009928B5"/>
    <w:rsid w:val="009933A6"/>
    <w:rsid w:val="00993A17"/>
    <w:rsid w:val="009A503D"/>
    <w:rsid w:val="009A51BB"/>
    <w:rsid w:val="009A68A0"/>
    <w:rsid w:val="009A6EB4"/>
    <w:rsid w:val="009A76E5"/>
    <w:rsid w:val="009B593B"/>
    <w:rsid w:val="009B6057"/>
    <w:rsid w:val="009C2CE4"/>
    <w:rsid w:val="009C2DE6"/>
    <w:rsid w:val="009D5590"/>
    <w:rsid w:val="009D7556"/>
    <w:rsid w:val="009D7875"/>
    <w:rsid w:val="009E63F5"/>
    <w:rsid w:val="009F1B3C"/>
    <w:rsid w:val="009F390E"/>
    <w:rsid w:val="009F7F99"/>
    <w:rsid w:val="00A00035"/>
    <w:rsid w:val="00A01CC7"/>
    <w:rsid w:val="00A04740"/>
    <w:rsid w:val="00A04FC9"/>
    <w:rsid w:val="00A10CA5"/>
    <w:rsid w:val="00A137DE"/>
    <w:rsid w:val="00A2157F"/>
    <w:rsid w:val="00A246D2"/>
    <w:rsid w:val="00A253A5"/>
    <w:rsid w:val="00A308BE"/>
    <w:rsid w:val="00A43596"/>
    <w:rsid w:val="00A529CE"/>
    <w:rsid w:val="00A560E7"/>
    <w:rsid w:val="00A6174C"/>
    <w:rsid w:val="00A72D4C"/>
    <w:rsid w:val="00A76F85"/>
    <w:rsid w:val="00A939AE"/>
    <w:rsid w:val="00A9627B"/>
    <w:rsid w:val="00A9651B"/>
    <w:rsid w:val="00A971F5"/>
    <w:rsid w:val="00AA5CC0"/>
    <w:rsid w:val="00AA6493"/>
    <w:rsid w:val="00AA6F92"/>
    <w:rsid w:val="00AA7B61"/>
    <w:rsid w:val="00AB552E"/>
    <w:rsid w:val="00AB6934"/>
    <w:rsid w:val="00AB778E"/>
    <w:rsid w:val="00AC028F"/>
    <w:rsid w:val="00AC1EA5"/>
    <w:rsid w:val="00AC6F94"/>
    <w:rsid w:val="00AD2DFF"/>
    <w:rsid w:val="00AD765B"/>
    <w:rsid w:val="00AF42DE"/>
    <w:rsid w:val="00B0326C"/>
    <w:rsid w:val="00B0673B"/>
    <w:rsid w:val="00B146ED"/>
    <w:rsid w:val="00B2254E"/>
    <w:rsid w:val="00B267B4"/>
    <w:rsid w:val="00B3369F"/>
    <w:rsid w:val="00B34EB8"/>
    <w:rsid w:val="00B4736D"/>
    <w:rsid w:val="00B54791"/>
    <w:rsid w:val="00B54F21"/>
    <w:rsid w:val="00B563FC"/>
    <w:rsid w:val="00B56457"/>
    <w:rsid w:val="00B60077"/>
    <w:rsid w:val="00B64BAF"/>
    <w:rsid w:val="00B75026"/>
    <w:rsid w:val="00B75DBD"/>
    <w:rsid w:val="00B76273"/>
    <w:rsid w:val="00B8443D"/>
    <w:rsid w:val="00B8795E"/>
    <w:rsid w:val="00B92406"/>
    <w:rsid w:val="00B94E6C"/>
    <w:rsid w:val="00BA25BF"/>
    <w:rsid w:val="00BA59B7"/>
    <w:rsid w:val="00BB4606"/>
    <w:rsid w:val="00BB4F25"/>
    <w:rsid w:val="00BB5510"/>
    <w:rsid w:val="00BB7EC3"/>
    <w:rsid w:val="00BC76CE"/>
    <w:rsid w:val="00BD044A"/>
    <w:rsid w:val="00BD3CC7"/>
    <w:rsid w:val="00BD5729"/>
    <w:rsid w:val="00BD6094"/>
    <w:rsid w:val="00BF3163"/>
    <w:rsid w:val="00C104B3"/>
    <w:rsid w:val="00C16202"/>
    <w:rsid w:val="00C1645A"/>
    <w:rsid w:val="00C23843"/>
    <w:rsid w:val="00C23AFC"/>
    <w:rsid w:val="00C23CCB"/>
    <w:rsid w:val="00C23D2F"/>
    <w:rsid w:val="00C2486E"/>
    <w:rsid w:val="00C25232"/>
    <w:rsid w:val="00C40CBF"/>
    <w:rsid w:val="00C443BD"/>
    <w:rsid w:val="00C451C5"/>
    <w:rsid w:val="00C455C5"/>
    <w:rsid w:val="00C47444"/>
    <w:rsid w:val="00C5188F"/>
    <w:rsid w:val="00C55A3F"/>
    <w:rsid w:val="00C63F40"/>
    <w:rsid w:val="00C64B9E"/>
    <w:rsid w:val="00C665FB"/>
    <w:rsid w:val="00C80C34"/>
    <w:rsid w:val="00C84EAF"/>
    <w:rsid w:val="00C9161D"/>
    <w:rsid w:val="00C94A55"/>
    <w:rsid w:val="00CA0C1D"/>
    <w:rsid w:val="00CB465C"/>
    <w:rsid w:val="00CB76B5"/>
    <w:rsid w:val="00CC586C"/>
    <w:rsid w:val="00CE18D7"/>
    <w:rsid w:val="00CE1CB7"/>
    <w:rsid w:val="00CE32CA"/>
    <w:rsid w:val="00CF1848"/>
    <w:rsid w:val="00CF7B2B"/>
    <w:rsid w:val="00D07A6B"/>
    <w:rsid w:val="00D12044"/>
    <w:rsid w:val="00D12A80"/>
    <w:rsid w:val="00D222A2"/>
    <w:rsid w:val="00D32B25"/>
    <w:rsid w:val="00D32D09"/>
    <w:rsid w:val="00D33EFC"/>
    <w:rsid w:val="00D35A05"/>
    <w:rsid w:val="00D36832"/>
    <w:rsid w:val="00D40DBC"/>
    <w:rsid w:val="00D4548B"/>
    <w:rsid w:val="00D46CFC"/>
    <w:rsid w:val="00D578D5"/>
    <w:rsid w:val="00D57C8C"/>
    <w:rsid w:val="00D644BE"/>
    <w:rsid w:val="00D66EA7"/>
    <w:rsid w:val="00D677EB"/>
    <w:rsid w:val="00D76A18"/>
    <w:rsid w:val="00D80849"/>
    <w:rsid w:val="00D82E8F"/>
    <w:rsid w:val="00D96EB8"/>
    <w:rsid w:val="00DC0019"/>
    <w:rsid w:val="00DC025F"/>
    <w:rsid w:val="00DC082A"/>
    <w:rsid w:val="00DC1E4C"/>
    <w:rsid w:val="00DD118C"/>
    <w:rsid w:val="00DD777C"/>
    <w:rsid w:val="00DE185C"/>
    <w:rsid w:val="00E127B9"/>
    <w:rsid w:val="00E13F3A"/>
    <w:rsid w:val="00E15A9C"/>
    <w:rsid w:val="00E15D3F"/>
    <w:rsid w:val="00E1759F"/>
    <w:rsid w:val="00E260B3"/>
    <w:rsid w:val="00E4052F"/>
    <w:rsid w:val="00E45866"/>
    <w:rsid w:val="00E5325F"/>
    <w:rsid w:val="00E55A8D"/>
    <w:rsid w:val="00E64318"/>
    <w:rsid w:val="00E6595B"/>
    <w:rsid w:val="00E66235"/>
    <w:rsid w:val="00E67F26"/>
    <w:rsid w:val="00E70424"/>
    <w:rsid w:val="00E80CEA"/>
    <w:rsid w:val="00E83C24"/>
    <w:rsid w:val="00E860B1"/>
    <w:rsid w:val="00E911F5"/>
    <w:rsid w:val="00E9318D"/>
    <w:rsid w:val="00EA4292"/>
    <w:rsid w:val="00EB105B"/>
    <w:rsid w:val="00EB79CC"/>
    <w:rsid w:val="00EC1303"/>
    <w:rsid w:val="00EC1B46"/>
    <w:rsid w:val="00EC22F6"/>
    <w:rsid w:val="00EC3975"/>
    <w:rsid w:val="00ED5407"/>
    <w:rsid w:val="00EE095E"/>
    <w:rsid w:val="00EE159C"/>
    <w:rsid w:val="00EE3807"/>
    <w:rsid w:val="00EF598D"/>
    <w:rsid w:val="00EF6095"/>
    <w:rsid w:val="00F017A3"/>
    <w:rsid w:val="00F076B8"/>
    <w:rsid w:val="00F07B29"/>
    <w:rsid w:val="00F12C2B"/>
    <w:rsid w:val="00F165DA"/>
    <w:rsid w:val="00F17642"/>
    <w:rsid w:val="00F23852"/>
    <w:rsid w:val="00F30952"/>
    <w:rsid w:val="00F445A8"/>
    <w:rsid w:val="00F47905"/>
    <w:rsid w:val="00F527F0"/>
    <w:rsid w:val="00F53193"/>
    <w:rsid w:val="00F64B3B"/>
    <w:rsid w:val="00F6586C"/>
    <w:rsid w:val="00F71CAE"/>
    <w:rsid w:val="00F72664"/>
    <w:rsid w:val="00F77F2D"/>
    <w:rsid w:val="00F84E6A"/>
    <w:rsid w:val="00F87EA0"/>
    <w:rsid w:val="00F93BBB"/>
    <w:rsid w:val="00F94774"/>
    <w:rsid w:val="00F9765C"/>
    <w:rsid w:val="00FA00BF"/>
    <w:rsid w:val="00FA02D9"/>
    <w:rsid w:val="00FA245A"/>
    <w:rsid w:val="00FA3FC5"/>
    <w:rsid w:val="00FA663B"/>
    <w:rsid w:val="00FA6C20"/>
    <w:rsid w:val="00FB1D7A"/>
    <w:rsid w:val="00FC2F28"/>
    <w:rsid w:val="00FC4FDE"/>
    <w:rsid w:val="00FC53DB"/>
    <w:rsid w:val="00FD173D"/>
    <w:rsid w:val="00FD4AB2"/>
    <w:rsid w:val="00FD4FD5"/>
    <w:rsid w:val="00FD6D19"/>
    <w:rsid w:val="00FE0CDA"/>
    <w:rsid w:val="00FE2B45"/>
    <w:rsid w:val="00FE4643"/>
    <w:rsid w:val="00FE5435"/>
    <w:rsid w:val="00FE68DF"/>
    <w:rsid w:val="00FE7BA5"/>
    <w:rsid w:val="00FF3C48"/>
    <w:rsid w:val="025CB253"/>
    <w:rsid w:val="063B90E4"/>
    <w:rsid w:val="06DD13DF"/>
    <w:rsid w:val="06E3A4A3"/>
    <w:rsid w:val="0753930E"/>
    <w:rsid w:val="09D5B6FE"/>
    <w:rsid w:val="105FE6E8"/>
    <w:rsid w:val="125225DC"/>
    <w:rsid w:val="149DF131"/>
    <w:rsid w:val="15ECFBC8"/>
    <w:rsid w:val="180F252C"/>
    <w:rsid w:val="1AED8349"/>
    <w:rsid w:val="1C2A88F5"/>
    <w:rsid w:val="1C318381"/>
    <w:rsid w:val="1D24F68B"/>
    <w:rsid w:val="1F07BEA9"/>
    <w:rsid w:val="229F7EFF"/>
    <w:rsid w:val="273D178B"/>
    <w:rsid w:val="291AAE35"/>
    <w:rsid w:val="2A35BAAA"/>
    <w:rsid w:val="2BC7C9A1"/>
    <w:rsid w:val="2DA3E7D0"/>
    <w:rsid w:val="2FB0C25D"/>
    <w:rsid w:val="30A6261F"/>
    <w:rsid w:val="336914E8"/>
    <w:rsid w:val="359DAB1F"/>
    <w:rsid w:val="35A43BE3"/>
    <w:rsid w:val="377C4C5F"/>
    <w:rsid w:val="38964E3E"/>
    <w:rsid w:val="390842AF"/>
    <w:rsid w:val="3C5ECD4A"/>
    <w:rsid w:val="3EAF4A48"/>
    <w:rsid w:val="3F7FC8E4"/>
    <w:rsid w:val="3FC2D003"/>
    <w:rsid w:val="40346BE1"/>
    <w:rsid w:val="45F19506"/>
    <w:rsid w:val="4CE503CF"/>
    <w:rsid w:val="4E1D60A4"/>
    <w:rsid w:val="4E629278"/>
    <w:rsid w:val="576B6FD2"/>
    <w:rsid w:val="5BE1D381"/>
    <w:rsid w:val="5DACD265"/>
    <w:rsid w:val="5F7C90BC"/>
    <w:rsid w:val="667D1032"/>
    <w:rsid w:val="6D637720"/>
    <w:rsid w:val="6EF97F10"/>
    <w:rsid w:val="71184CE3"/>
    <w:rsid w:val="714BDB29"/>
    <w:rsid w:val="71D6DD37"/>
    <w:rsid w:val="742F75EE"/>
    <w:rsid w:val="74724019"/>
    <w:rsid w:val="74A265C4"/>
    <w:rsid w:val="76874745"/>
    <w:rsid w:val="7ED0A03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44B5DE"/>
  <w15:docId w15:val="{15DE8102-BFFE-41A6-89CD-F716A5B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Bullet L1,L"/>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5A2729"/>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A2729"/>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94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94E77"/>
    <w:rPr>
      <w:rFonts w:ascii="Times New Roman" w:eastAsia="Times New Roman" w:hAnsi="Times New Roman" w:cs="Times New Roman"/>
      <w:b/>
      <w:bCs/>
      <w:sz w:val="20"/>
      <w:szCs w:val="20"/>
      <w:lang w:val="en-GB"/>
    </w:rPr>
  </w:style>
  <w:style w:type="paragraph" w:styleId="Revision">
    <w:name w:val="Revision"/>
    <w:hidden/>
    <w:uiPriority w:val="99"/>
    <w:semiHidden/>
    <w:rsid w:val="00E911F5"/>
    <w:rPr>
      <w:rFonts w:ascii="Times New Roman" w:eastAsia="Times New Roman" w:hAnsi="Times New Roman" w:cs="Times New Roman"/>
      <w:sz w:val="22"/>
      <w:lang w:val="en-GB"/>
    </w:rPr>
  </w:style>
  <w:style w:type="paragraph" w:styleId="NormalWeb">
    <w:name w:val="Normal (Web)"/>
    <w:basedOn w:val="Normal"/>
    <w:uiPriority w:val="99"/>
    <w:unhideWhenUsed/>
    <w:rsid w:val="00C55A3F"/>
    <w:pPr>
      <w:spacing w:before="100" w:beforeAutospacing="1" w:after="100" w:afterAutospacing="1"/>
      <w:jc w:val="left"/>
    </w:pPr>
    <w:rPr>
      <w:sz w:val="24"/>
      <w:szCs w:val="22"/>
      <w:lang w:val="en-CA" w:eastAsia="en-CA"/>
    </w:rPr>
  </w:style>
  <w:style w:type="paragraph" w:customStyle="1" w:styleId="CBD-Para">
    <w:name w:val="CBD-Para"/>
    <w:basedOn w:val="Normal"/>
    <w:link w:val="CBD-ParaCharChar"/>
    <w:rsid w:val="00C55A3F"/>
    <w:pPr>
      <w:keepLines/>
      <w:numPr>
        <w:numId w:val="26"/>
      </w:numPr>
      <w:spacing w:before="120" w:after="120"/>
    </w:pPr>
    <w:rPr>
      <w:szCs w:val="22"/>
      <w:lang w:val="en-US"/>
    </w:rPr>
  </w:style>
  <w:style w:type="character" w:customStyle="1" w:styleId="CBD-ParaCharChar">
    <w:name w:val="CBD-Para Char Char"/>
    <w:link w:val="CBD-Para"/>
    <w:rsid w:val="00C55A3F"/>
    <w:rPr>
      <w:rFonts w:ascii="Times New Roman" w:eastAsia="Times New Roman" w:hAnsi="Times New Roman" w:cs="Times New Roman"/>
      <w:sz w:val="22"/>
      <w:szCs w:val="22"/>
      <w:lang w:val="en-US"/>
    </w:rPr>
  </w:style>
  <w:style w:type="paragraph" w:customStyle="1" w:styleId="CBD-Para-a">
    <w:name w:val="CBD-Para-a"/>
    <w:basedOn w:val="CBD-Para"/>
    <w:rsid w:val="00C55A3F"/>
    <w:pPr>
      <w:numPr>
        <w:ilvl w:val="1"/>
      </w:numPr>
      <w:tabs>
        <w:tab w:val="clear" w:pos="1080"/>
        <w:tab w:val="num" w:pos="360"/>
        <w:tab w:val="num" w:pos="2160"/>
      </w:tabs>
      <w:spacing w:before="60" w:after="60"/>
      <w:ind w:left="0" w:firstLine="0"/>
    </w:pPr>
  </w:style>
  <w:style w:type="character" w:customStyle="1" w:styleId="normaltextrun">
    <w:name w:val="normaltextrun"/>
    <w:basedOn w:val="DefaultParagraphFont"/>
    <w:rsid w:val="004E56F3"/>
  </w:style>
  <w:style w:type="character" w:customStyle="1" w:styleId="eop">
    <w:name w:val="eop"/>
    <w:basedOn w:val="DefaultParagraphFont"/>
    <w:rsid w:val="00002265"/>
  </w:style>
  <w:style w:type="character" w:styleId="UnresolvedMention">
    <w:name w:val="Unresolved Mention"/>
    <w:basedOn w:val="DefaultParagraphFont"/>
    <w:uiPriority w:val="99"/>
    <w:semiHidden/>
    <w:unhideWhenUsed/>
    <w:rsid w:val="0089235D"/>
    <w:rPr>
      <w:color w:val="605E5C"/>
      <w:shd w:val="clear" w:color="auto" w:fill="E1DFDD"/>
    </w:rPr>
  </w:style>
  <w:style w:type="character" w:customStyle="1" w:styleId="al-author-name-more">
    <w:name w:val="al-author-name-more"/>
    <w:basedOn w:val="DefaultParagraphFont"/>
    <w:rsid w:val="005A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756">
      <w:bodyDiv w:val="1"/>
      <w:marLeft w:val="0"/>
      <w:marRight w:val="0"/>
      <w:marTop w:val="0"/>
      <w:marBottom w:val="0"/>
      <w:divBdr>
        <w:top w:val="none" w:sz="0" w:space="0" w:color="auto"/>
        <w:left w:val="none" w:sz="0" w:space="0" w:color="auto"/>
        <w:bottom w:val="none" w:sz="0" w:space="0" w:color="auto"/>
        <w:right w:val="none" w:sz="0" w:space="0" w:color="auto"/>
      </w:divBdr>
    </w:div>
    <w:div w:id="291982230">
      <w:bodyDiv w:val="1"/>
      <w:marLeft w:val="0"/>
      <w:marRight w:val="0"/>
      <w:marTop w:val="0"/>
      <w:marBottom w:val="0"/>
      <w:divBdr>
        <w:top w:val="none" w:sz="0" w:space="0" w:color="auto"/>
        <w:left w:val="none" w:sz="0" w:space="0" w:color="auto"/>
        <w:bottom w:val="none" w:sz="0" w:space="0" w:color="auto"/>
        <w:right w:val="none" w:sz="0" w:space="0" w:color="auto"/>
      </w:divBdr>
    </w:div>
    <w:div w:id="334650971">
      <w:bodyDiv w:val="1"/>
      <w:marLeft w:val="0"/>
      <w:marRight w:val="0"/>
      <w:marTop w:val="0"/>
      <w:marBottom w:val="0"/>
      <w:divBdr>
        <w:top w:val="none" w:sz="0" w:space="0" w:color="auto"/>
        <w:left w:val="none" w:sz="0" w:space="0" w:color="auto"/>
        <w:bottom w:val="none" w:sz="0" w:space="0" w:color="auto"/>
        <w:right w:val="none" w:sz="0" w:space="0" w:color="auto"/>
      </w:divBdr>
    </w:div>
    <w:div w:id="377433709">
      <w:bodyDiv w:val="1"/>
      <w:marLeft w:val="0"/>
      <w:marRight w:val="0"/>
      <w:marTop w:val="0"/>
      <w:marBottom w:val="0"/>
      <w:divBdr>
        <w:top w:val="none" w:sz="0" w:space="0" w:color="auto"/>
        <w:left w:val="none" w:sz="0" w:space="0" w:color="auto"/>
        <w:bottom w:val="none" w:sz="0" w:space="0" w:color="auto"/>
        <w:right w:val="none" w:sz="0" w:space="0" w:color="auto"/>
      </w:divBdr>
    </w:div>
    <w:div w:id="448163928">
      <w:bodyDiv w:val="1"/>
      <w:marLeft w:val="0"/>
      <w:marRight w:val="0"/>
      <w:marTop w:val="0"/>
      <w:marBottom w:val="0"/>
      <w:divBdr>
        <w:top w:val="none" w:sz="0" w:space="0" w:color="auto"/>
        <w:left w:val="none" w:sz="0" w:space="0" w:color="auto"/>
        <w:bottom w:val="none" w:sz="0" w:space="0" w:color="auto"/>
        <w:right w:val="none" w:sz="0" w:space="0" w:color="auto"/>
      </w:divBdr>
    </w:div>
    <w:div w:id="713430396">
      <w:bodyDiv w:val="1"/>
      <w:marLeft w:val="0"/>
      <w:marRight w:val="0"/>
      <w:marTop w:val="0"/>
      <w:marBottom w:val="0"/>
      <w:divBdr>
        <w:top w:val="none" w:sz="0" w:space="0" w:color="auto"/>
        <w:left w:val="none" w:sz="0" w:space="0" w:color="auto"/>
        <w:bottom w:val="none" w:sz="0" w:space="0" w:color="auto"/>
        <w:right w:val="none" w:sz="0" w:space="0" w:color="auto"/>
      </w:divBdr>
    </w:div>
    <w:div w:id="737900812">
      <w:bodyDiv w:val="1"/>
      <w:marLeft w:val="0"/>
      <w:marRight w:val="0"/>
      <w:marTop w:val="0"/>
      <w:marBottom w:val="0"/>
      <w:divBdr>
        <w:top w:val="none" w:sz="0" w:space="0" w:color="auto"/>
        <w:left w:val="none" w:sz="0" w:space="0" w:color="auto"/>
        <w:bottom w:val="none" w:sz="0" w:space="0" w:color="auto"/>
        <w:right w:val="none" w:sz="0" w:space="0" w:color="auto"/>
      </w:divBdr>
    </w:div>
    <w:div w:id="783773861">
      <w:bodyDiv w:val="1"/>
      <w:marLeft w:val="0"/>
      <w:marRight w:val="0"/>
      <w:marTop w:val="0"/>
      <w:marBottom w:val="0"/>
      <w:divBdr>
        <w:top w:val="none" w:sz="0" w:space="0" w:color="auto"/>
        <w:left w:val="none" w:sz="0" w:space="0" w:color="auto"/>
        <w:bottom w:val="none" w:sz="0" w:space="0" w:color="auto"/>
        <w:right w:val="none" w:sz="0" w:space="0" w:color="auto"/>
      </w:divBdr>
    </w:div>
    <w:div w:id="920140729">
      <w:bodyDiv w:val="1"/>
      <w:marLeft w:val="0"/>
      <w:marRight w:val="0"/>
      <w:marTop w:val="0"/>
      <w:marBottom w:val="0"/>
      <w:divBdr>
        <w:top w:val="none" w:sz="0" w:space="0" w:color="auto"/>
        <w:left w:val="none" w:sz="0" w:space="0" w:color="auto"/>
        <w:bottom w:val="none" w:sz="0" w:space="0" w:color="auto"/>
        <w:right w:val="none" w:sz="0" w:space="0" w:color="auto"/>
      </w:divBdr>
    </w:div>
    <w:div w:id="1131485763">
      <w:bodyDiv w:val="1"/>
      <w:marLeft w:val="0"/>
      <w:marRight w:val="0"/>
      <w:marTop w:val="0"/>
      <w:marBottom w:val="0"/>
      <w:divBdr>
        <w:top w:val="none" w:sz="0" w:space="0" w:color="auto"/>
        <w:left w:val="none" w:sz="0" w:space="0" w:color="auto"/>
        <w:bottom w:val="none" w:sz="0" w:space="0" w:color="auto"/>
        <w:right w:val="none" w:sz="0" w:space="0" w:color="auto"/>
      </w:divBdr>
    </w:div>
    <w:div w:id="1467888492">
      <w:bodyDiv w:val="1"/>
      <w:marLeft w:val="0"/>
      <w:marRight w:val="0"/>
      <w:marTop w:val="0"/>
      <w:marBottom w:val="0"/>
      <w:divBdr>
        <w:top w:val="none" w:sz="0" w:space="0" w:color="auto"/>
        <w:left w:val="none" w:sz="0" w:space="0" w:color="auto"/>
        <w:bottom w:val="none" w:sz="0" w:space="0" w:color="auto"/>
        <w:right w:val="none" w:sz="0" w:space="0" w:color="auto"/>
      </w:divBdr>
    </w:div>
    <w:div w:id="1508982676">
      <w:bodyDiv w:val="1"/>
      <w:marLeft w:val="0"/>
      <w:marRight w:val="0"/>
      <w:marTop w:val="0"/>
      <w:marBottom w:val="0"/>
      <w:divBdr>
        <w:top w:val="none" w:sz="0" w:space="0" w:color="auto"/>
        <w:left w:val="none" w:sz="0" w:space="0" w:color="auto"/>
        <w:bottom w:val="none" w:sz="0" w:space="0" w:color="auto"/>
        <w:right w:val="none" w:sz="0" w:space="0" w:color="auto"/>
      </w:divBdr>
    </w:div>
    <w:div w:id="1617978295">
      <w:bodyDiv w:val="1"/>
      <w:marLeft w:val="0"/>
      <w:marRight w:val="0"/>
      <w:marTop w:val="0"/>
      <w:marBottom w:val="0"/>
      <w:divBdr>
        <w:top w:val="none" w:sz="0" w:space="0" w:color="auto"/>
        <w:left w:val="none" w:sz="0" w:space="0" w:color="auto"/>
        <w:bottom w:val="none" w:sz="0" w:space="0" w:color="auto"/>
        <w:right w:val="none" w:sz="0" w:space="0" w:color="auto"/>
      </w:divBdr>
    </w:div>
    <w:div w:id="1676179182">
      <w:bodyDiv w:val="1"/>
      <w:marLeft w:val="0"/>
      <w:marRight w:val="0"/>
      <w:marTop w:val="0"/>
      <w:marBottom w:val="0"/>
      <w:divBdr>
        <w:top w:val="none" w:sz="0" w:space="0" w:color="auto"/>
        <w:left w:val="none" w:sz="0" w:space="0" w:color="auto"/>
        <w:bottom w:val="none" w:sz="0" w:space="0" w:color="auto"/>
        <w:right w:val="none" w:sz="0" w:space="0" w:color="auto"/>
      </w:divBdr>
      <w:divsChild>
        <w:div w:id="65929622">
          <w:marLeft w:val="0"/>
          <w:marRight w:val="0"/>
          <w:marTop w:val="0"/>
          <w:marBottom w:val="0"/>
          <w:divBdr>
            <w:top w:val="none" w:sz="0" w:space="0" w:color="auto"/>
            <w:left w:val="none" w:sz="0" w:space="0" w:color="auto"/>
            <w:bottom w:val="none" w:sz="0" w:space="0" w:color="auto"/>
            <w:right w:val="none" w:sz="0" w:space="0" w:color="auto"/>
          </w:divBdr>
        </w:div>
      </w:divsChild>
    </w:div>
    <w:div w:id="1908221084">
      <w:bodyDiv w:val="1"/>
      <w:marLeft w:val="0"/>
      <w:marRight w:val="0"/>
      <w:marTop w:val="0"/>
      <w:marBottom w:val="0"/>
      <w:divBdr>
        <w:top w:val="none" w:sz="0" w:space="0" w:color="auto"/>
        <w:left w:val="none" w:sz="0" w:space="0" w:color="auto"/>
        <w:bottom w:val="none" w:sz="0" w:space="0" w:color="auto"/>
        <w:right w:val="none" w:sz="0" w:space="0" w:color="auto"/>
      </w:divBdr>
    </w:div>
    <w:div w:id="2062242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1/cop-11-dec-02-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93/jas/skz092"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02-e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decisions/cop-13/cop-13-dec-23-en.pdf"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bd.int/doc/decisions/cop-14/cop-14-dec-25-en.pdf" TargetMode="External"/><Relationship Id="rId23" Type="http://schemas.openxmlformats.org/officeDocument/2006/relationships/hyperlink" Target="https://www.cbd.int/doc/decisions/cop-14/cop-14-dec-24-en.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bd.int/doc/decisions/cop-14/cop-14-dec-25-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cbd.int/doc/decisions/cop-13/cop-13-dec-24-en.pdf"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5ec1/d94f/60fb5937bc06b92013ec09dd/sbi-02-inf-33-en.pdf" TargetMode="External"/><Relationship Id="rId13" Type="http://schemas.openxmlformats.org/officeDocument/2006/relationships/hyperlink" Target="https://rsis.ramsar.org/" TargetMode="External"/><Relationship Id="rId18" Type="http://schemas.openxmlformats.org/officeDocument/2006/relationships/hyperlink" Target="https://pame.protectedplanet.net" TargetMode="External"/><Relationship Id="rId3" Type="http://schemas.openxmlformats.org/officeDocument/2006/relationships/hyperlink" Target="https://knowledge4policy.ec.europa.eu/biodiversity_en" TargetMode="External"/><Relationship Id="rId21" Type="http://schemas.openxmlformats.org/officeDocument/2006/relationships/hyperlink" Target="https://www.allianceforbio.org/" TargetMode="External"/><Relationship Id="rId7" Type="http://schemas.openxmlformats.org/officeDocument/2006/relationships/hyperlink" Target="https://www.cbd.int/gbo/" TargetMode="External"/><Relationship Id="rId12" Type="http://schemas.openxmlformats.org/officeDocument/2006/relationships/hyperlink" Target="https://absch.cbd.int/" TargetMode="External"/><Relationship Id="rId17" Type="http://schemas.openxmlformats.org/officeDocument/2006/relationships/hyperlink" Target="https://www.protectedplanet.net/" TargetMode="External"/><Relationship Id="rId2" Type="http://schemas.openxmlformats.org/officeDocument/2006/relationships/hyperlink" Target="https://www.cbd.int/doc/meetings/cop/cop-11/official/cop-11-31-en.pdf" TargetMode="External"/><Relationship Id="rId16" Type="http://schemas.openxmlformats.org/officeDocument/2006/relationships/hyperlink" Target="https://www.unbiodiversitylab.org/" TargetMode="External"/><Relationship Id="rId20" Type="http://schemas.openxmlformats.org/officeDocument/2006/relationships/hyperlink" Target="https://www.unep-wcmc.org/resources-and-data/biodiversitysynergies" TargetMode="External"/><Relationship Id="rId1" Type="http://schemas.openxmlformats.org/officeDocument/2006/relationships/hyperlink" Target="https://www.cbd.int/doc/decisions/cop-11/cop-11-dec-02-en.pdf" TargetMode="External"/><Relationship Id="rId6" Type="http://schemas.openxmlformats.org/officeDocument/2006/relationships/hyperlink" Target="https://www.cbd.int/doc/c/e798/4a32/5521e93c4e04a2f720acc08a/sbi-03-07-en.pdf" TargetMode="External"/><Relationship Id="rId11" Type="http://schemas.openxmlformats.org/officeDocument/2006/relationships/hyperlink" Target="http://bch.cbd.int/" TargetMode="External"/><Relationship Id="rId5" Type="http://schemas.openxmlformats.org/officeDocument/2006/relationships/hyperlink" Target="https://panorama.solutions/en" TargetMode="External"/><Relationship Id="rId15" Type="http://schemas.openxmlformats.org/officeDocument/2006/relationships/hyperlink" Target="https://www.iucnredlist.org/assessment/sis" TargetMode="External"/><Relationship Id="rId10" Type="http://schemas.openxmlformats.org/officeDocument/2006/relationships/hyperlink" Target="https://www.cbd.int/chm/" TargetMode="External"/><Relationship Id="rId19" Type="http://schemas.openxmlformats.org/officeDocument/2006/relationships/hyperlink" Target="https://www.iccaregistry.org/" TargetMode="External"/><Relationship Id="rId4" Type="http://schemas.openxmlformats.org/officeDocument/2006/relationships/hyperlink" Target="https://www.gbif.org/data4nature" TargetMode="External"/><Relationship Id="rId9" Type="http://schemas.openxmlformats.org/officeDocument/2006/relationships/hyperlink" Target="http://www-public.imtbs-tsp.eu/~gibson/Teaching/Teaching-ReadingMaterial/Rowley06.pdf" TargetMode="External"/><Relationship Id="rId14" Type="http://schemas.openxmlformats.org/officeDocument/2006/relationships/hyperlink" Target="http://www.informea.org" TargetMode="External"/><Relationship Id="rId22" Type="http://schemas.openxmlformats.org/officeDocument/2006/relationships/hyperlink" Target="https://www.unep-wcmc.org/resources-and-data/biodiversitysyner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570E80729904BF18606D2C151EE1CE9"/>
        <w:category>
          <w:name w:val="General"/>
          <w:gallery w:val="placeholder"/>
        </w:category>
        <w:types>
          <w:type w:val="bbPlcHdr"/>
        </w:types>
        <w:behaviors>
          <w:behavior w:val="content"/>
        </w:behaviors>
        <w:guid w:val="{8EA2AC44-1841-44A6-9A51-EE950DC92893}"/>
      </w:docPartPr>
      <w:docPartBody>
        <w:p w:rsidR="00634CB2" w:rsidRDefault="00980655" w:rsidP="00980655">
          <w:pPr>
            <w:pStyle w:val="1570E80729904BF18606D2C151EE1CE9"/>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2638A"/>
    <w:rsid w:val="002570BC"/>
    <w:rsid w:val="00350D55"/>
    <w:rsid w:val="00362DF9"/>
    <w:rsid w:val="003F7D47"/>
    <w:rsid w:val="0046422C"/>
    <w:rsid w:val="004760CF"/>
    <w:rsid w:val="004E092F"/>
    <w:rsid w:val="00500A2B"/>
    <w:rsid w:val="005225D9"/>
    <w:rsid w:val="00536BF2"/>
    <w:rsid w:val="0058288D"/>
    <w:rsid w:val="00626256"/>
    <w:rsid w:val="00634CB2"/>
    <w:rsid w:val="00665C6B"/>
    <w:rsid w:val="006801B3"/>
    <w:rsid w:val="006B3177"/>
    <w:rsid w:val="006C0225"/>
    <w:rsid w:val="006D1EBD"/>
    <w:rsid w:val="00810A55"/>
    <w:rsid w:val="00873E33"/>
    <w:rsid w:val="008826B1"/>
    <w:rsid w:val="008C6619"/>
    <w:rsid w:val="008D420E"/>
    <w:rsid w:val="00955F5B"/>
    <w:rsid w:val="00980655"/>
    <w:rsid w:val="0098642F"/>
    <w:rsid w:val="009A1B3B"/>
    <w:rsid w:val="009A2933"/>
    <w:rsid w:val="00A46630"/>
    <w:rsid w:val="00A644FB"/>
    <w:rsid w:val="00AC0B94"/>
    <w:rsid w:val="00BD0638"/>
    <w:rsid w:val="00C775BB"/>
    <w:rsid w:val="00C8104B"/>
    <w:rsid w:val="00CA4AAB"/>
    <w:rsid w:val="00D31D12"/>
    <w:rsid w:val="00DE7532"/>
    <w:rsid w:val="00FC0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0655"/>
  </w:style>
  <w:style w:type="paragraph" w:customStyle="1" w:styleId="1570E80729904BF18606D2C151EE1CE9">
    <w:name w:val="1570E80729904BF18606D2C151EE1CE9"/>
    <w:rsid w:val="00980655"/>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2D6766C9-A195-4778-A557-C9B1F0EC5917}">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CB00A9-9878-4F46-AE7A-12B8FC45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7209</Words>
  <Characters>41095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Knowledge management and the clearing-house mechanism</vt:lpstr>
    </vt:vector>
  </TitlesOfParts>
  <Company>SCBD</Company>
  <LinksUpToDate>false</LinksUpToDate>
  <CharactersWithSpaces>48208</CharactersWithSpaces>
  <SharedDoc>false</SharedDoc>
  <HLinks>
    <vt:vector size="180" baseType="variant">
      <vt:variant>
        <vt:i4>720968</vt:i4>
      </vt:variant>
      <vt:variant>
        <vt:i4>27</vt:i4>
      </vt:variant>
      <vt:variant>
        <vt:i4>0</vt:i4>
      </vt:variant>
      <vt:variant>
        <vt:i4>5</vt:i4>
      </vt:variant>
      <vt:variant>
        <vt:lpwstr>https://www.cbd.int/doc/decisions/cop-14/cop-14-dec-24-en.pdf</vt:lpwstr>
      </vt:variant>
      <vt:variant>
        <vt:lpwstr/>
      </vt:variant>
      <vt:variant>
        <vt:i4>786511</vt:i4>
      </vt:variant>
      <vt:variant>
        <vt:i4>24</vt:i4>
      </vt:variant>
      <vt:variant>
        <vt:i4>0</vt:i4>
      </vt:variant>
      <vt:variant>
        <vt:i4>5</vt:i4>
      </vt:variant>
      <vt:variant>
        <vt:lpwstr>https://www.cbd.int/doc/decisions/cop-13/cop-13-dec-24-en.pdf</vt:lpwstr>
      </vt:variant>
      <vt:variant>
        <vt:lpwstr/>
      </vt:variant>
      <vt:variant>
        <vt:i4>3997808</vt:i4>
      </vt:variant>
      <vt:variant>
        <vt:i4>18</vt:i4>
      </vt:variant>
      <vt:variant>
        <vt:i4>0</vt:i4>
      </vt:variant>
      <vt:variant>
        <vt:i4>5</vt:i4>
      </vt:variant>
      <vt:variant>
        <vt:lpwstr>https://doi.org/10.1093/jas/skz092</vt:lpwstr>
      </vt:variant>
      <vt:variant>
        <vt:lpwstr/>
      </vt:variant>
      <vt:variant>
        <vt:i4>655432</vt:i4>
      </vt:variant>
      <vt:variant>
        <vt:i4>15</vt:i4>
      </vt:variant>
      <vt:variant>
        <vt:i4>0</vt:i4>
      </vt:variant>
      <vt:variant>
        <vt:i4>5</vt:i4>
      </vt:variant>
      <vt:variant>
        <vt:lpwstr>https://www.cbd.int/doc/decisions/cop-14/cop-14-dec-25-en.pdf</vt:lpwstr>
      </vt:variant>
      <vt:variant>
        <vt:lpwstr/>
      </vt:variant>
      <vt:variant>
        <vt:i4>524367</vt:i4>
      </vt:variant>
      <vt:variant>
        <vt:i4>9</vt:i4>
      </vt:variant>
      <vt:variant>
        <vt:i4>0</vt:i4>
      </vt:variant>
      <vt:variant>
        <vt:i4>5</vt:i4>
      </vt:variant>
      <vt:variant>
        <vt:lpwstr>https://www.cbd.int/doc/decisions/cop-11/cop-11-dec-02-en.pdf</vt:lpwstr>
      </vt:variant>
      <vt:variant>
        <vt:lpwstr/>
      </vt:variant>
      <vt:variant>
        <vt:i4>720972</vt:i4>
      </vt:variant>
      <vt:variant>
        <vt:i4>6</vt:i4>
      </vt:variant>
      <vt:variant>
        <vt:i4>0</vt:i4>
      </vt:variant>
      <vt:variant>
        <vt:i4>5</vt:i4>
      </vt:variant>
      <vt:variant>
        <vt:lpwstr>https://www.cbd.int/doc/decisions/cop-12/cop-12-dec-02-en.pdf</vt:lpwstr>
      </vt:variant>
      <vt:variant>
        <vt:lpwstr/>
      </vt:variant>
      <vt:variant>
        <vt:i4>720975</vt:i4>
      </vt:variant>
      <vt:variant>
        <vt:i4>3</vt:i4>
      </vt:variant>
      <vt:variant>
        <vt:i4>0</vt:i4>
      </vt:variant>
      <vt:variant>
        <vt:i4>5</vt:i4>
      </vt:variant>
      <vt:variant>
        <vt:lpwstr>https://www.cbd.int/doc/decisions/cop-13/cop-13-dec-23-en.pdf</vt:lpwstr>
      </vt:variant>
      <vt:variant>
        <vt:lpwstr/>
      </vt:variant>
      <vt:variant>
        <vt:i4>655432</vt:i4>
      </vt:variant>
      <vt:variant>
        <vt:i4>0</vt:i4>
      </vt:variant>
      <vt:variant>
        <vt:i4>0</vt:i4>
      </vt:variant>
      <vt:variant>
        <vt:i4>5</vt:i4>
      </vt:variant>
      <vt:variant>
        <vt:lpwstr>https://www.cbd.int/doc/decisions/cop-14/cop-14-dec-25-en.pdf</vt:lpwstr>
      </vt:variant>
      <vt:variant>
        <vt:lpwstr/>
      </vt:variant>
      <vt:variant>
        <vt:i4>4128812</vt:i4>
      </vt:variant>
      <vt:variant>
        <vt:i4>63</vt:i4>
      </vt:variant>
      <vt:variant>
        <vt:i4>0</vt:i4>
      </vt:variant>
      <vt:variant>
        <vt:i4>5</vt:i4>
      </vt:variant>
      <vt:variant>
        <vt:lpwstr>https://www.unep-wcmc.org/resources-and-data/biodiversitysynergies</vt:lpwstr>
      </vt:variant>
      <vt:variant>
        <vt:lpwstr/>
      </vt:variant>
      <vt:variant>
        <vt:i4>2883694</vt:i4>
      </vt:variant>
      <vt:variant>
        <vt:i4>60</vt:i4>
      </vt:variant>
      <vt:variant>
        <vt:i4>0</vt:i4>
      </vt:variant>
      <vt:variant>
        <vt:i4>5</vt:i4>
      </vt:variant>
      <vt:variant>
        <vt:lpwstr>https://www.allianceforbio.org/</vt:lpwstr>
      </vt:variant>
      <vt:variant>
        <vt:lpwstr/>
      </vt:variant>
      <vt:variant>
        <vt:i4>4128812</vt:i4>
      </vt:variant>
      <vt:variant>
        <vt:i4>57</vt:i4>
      </vt:variant>
      <vt:variant>
        <vt:i4>0</vt:i4>
      </vt:variant>
      <vt:variant>
        <vt:i4>5</vt:i4>
      </vt:variant>
      <vt:variant>
        <vt:lpwstr>https://www.unep-wcmc.org/resources-and-data/biodiversitysynergies</vt:lpwstr>
      </vt:variant>
      <vt:variant>
        <vt:lpwstr/>
      </vt:variant>
      <vt:variant>
        <vt:i4>4390914</vt:i4>
      </vt:variant>
      <vt:variant>
        <vt:i4>54</vt:i4>
      </vt:variant>
      <vt:variant>
        <vt:i4>0</vt:i4>
      </vt:variant>
      <vt:variant>
        <vt:i4>5</vt:i4>
      </vt:variant>
      <vt:variant>
        <vt:lpwstr>https://www.iccaregistry.org/</vt:lpwstr>
      </vt:variant>
      <vt:variant>
        <vt:lpwstr/>
      </vt:variant>
      <vt:variant>
        <vt:i4>1245260</vt:i4>
      </vt:variant>
      <vt:variant>
        <vt:i4>51</vt:i4>
      </vt:variant>
      <vt:variant>
        <vt:i4>0</vt:i4>
      </vt:variant>
      <vt:variant>
        <vt:i4>5</vt:i4>
      </vt:variant>
      <vt:variant>
        <vt:lpwstr>https://pame.protectedplanet.net/</vt:lpwstr>
      </vt:variant>
      <vt:variant>
        <vt:lpwstr/>
      </vt:variant>
      <vt:variant>
        <vt:i4>5767238</vt:i4>
      </vt:variant>
      <vt:variant>
        <vt:i4>48</vt:i4>
      </vt:variant>
      <vt:variant>
        <vt:i4>0</vt:i4>
      </vt:variant>
      <vt:variant>
        <vt:i4>5</vt:i4>
      </vt:variant>
      <vt:variant>
        <vt:lpwstr>https://www.protectedplanet.net/</vt:lpwstr>
      </vt:variant>
      <vt:variant>
        <vt:lpwstr/>
      </vt:variant>
      <vt:variant>
        <vt:i4>2949173</vt:i4>
      </vt:variant>
      <vt:variant>
        <vt:i4>45</vt:i4>
      </vt:variant>
      <vt:variant>
        <vt:i4>0</vt:i4>
      </vt:variant>
      <vt:variant>
        <vt:i4>5</vt:i4>
      </vt:variant>
      <vt:variant>
        <vt:lpwstr>https://www.unbiodiversitylab.org/</vt:lpwstr>
      </vt:variant>
      <vt:variant>
        <vt:lpwstr/>
      </vt:variant>
      <vt:variant>
        <vt:i4>3014765</vt:i4>
      </vt:variant>
      <vt:variant>
        <vt:i4>42</vt:i4>
      </vt:variant>
      <vt:variant>
        <vt:i4>0</vt:i4>
      </vt:variant>
      <vt:variant>
        <vt:i4>5</vt:i4>
      </vt:variant>
      <vt:variant>
        <vt:lpwstr>https://www.iucnredlist.org/assessment/sis</vt:lpwstr>
      </vt:variant>
      <vt:variant>
        <vt:lpwstr/>
      </vt:variant>
      <vt:variant>
        <vt:i4>4194389</vt:i4>
      </vt:variant>
      <vt:variant>
        <vt:i4>39</vt:i4>
      </vt:variant>
      <vt:variant>
        <vt:i4>0</vt:i4>
      </vt:variant>
      <vt:variant>
        <vt:i4>5</vt:i4>
      </vt:variant>
      <vt:variant>
        <vt:lpwstr>http://www.informea.org/</vt:lpwstr>
      </vt:variant>
      <vt:variant>
        <vt:lpwstr/>
      </vt:variant>
      <vt:variant>
        <vt:i4>1835037</vt:i4>
      </vt:variant>
      <vt:variant>
        <vt:i4>36</vt:i4>
      </vt:variant>
      <vt:variant>
        <vt:i4>0</vt:i4>
      </vt:variant>
      <vt:variant>
        <vt:i4>5</vt:i4>
      </vt:variant>
      <vt:variant>
        <vt:lpwstr>https://rsis.ramsar.org/</vt:lpwstr>
      </vt:variant>
      <vt:variant>
        <vt:lpwstr/>
      </vt:variant>
      <vt:variant>
        <vt:i4>3342368</vt:i4>
      </vt:variant>
      <vt:variant>
        <vt:i4>33</vt:i4>
      </vt:variant>
      <vt:variant>
        <vt:i4>0</vt:i4>
      </vt:variant>
      <vt:variant>
        <vt:i4>5</vt:i4>
      </vt:variant>
      <vt:variant>
        <vt:lpwstr>https://absch.cbd.int/</vt:lpwstr>
      </vt:variant>
      <vt:variant>
        <vt:lpwstr/>
      </vt:variant>
      <vt:variant>
        <vt:i4>3866726</vt:i4>
      </vt:variant>
      <vt:variant>
        <vt:i4>30</vt:i4>
      </vt:variant>
      <vt:variant>
        <vt:i4>0</vt:i4>
      </vt:variant>
      <vt:variant>
        <vt:i4>5</vt:i4>
      </vt:variant>
      <vt:variant>
        <vt:lpwstr>http://bch.cbd.int/</vt:lpwstr>
      </vt:variant>
      <vt:variant>
        <vt:lpwstr/>
      </vt:variant>
      <vt:variant>
        <vt:i4>131156</vt:i4>
      </vt:variant>
      <vt:variant>
        <vt:i4>27</vt:i4>
      </vt:variant>
      <vt:variant>
        <vt:i4>0</vt:i4>
      </vt:variant>
      <vt:variant>
        <vt:i4>5</vt:i4>
      </vt:variant>
      <vt:variant>
        <vt:lpwstr>https://www.cbd.int/chm/</vt:lpwstr>
      </vt:variant>
      <vt:variant>
        <vt:lpwstr/>
      </vt:variant>
      <vt:variant>
        <vt:i4>4980748</vt:i4>
      </vt:variant>
      <vt:variant>
        <vt:i4>24</vt:i4>
      </vt:variant>
      <vt:variant>
        <vt:i4>0</vt:i4>
      </vt:variant>
      <vt:variant>
        <vt:i4>5</vt:i4>
      </vt:variant>
      <vt:variant>
        <vt:lpwstr>http://www-public.imtbs-tsp.eu/~gibson/Teaching/Teaching-ReadingMaterial/Rowley06.pdf</vt:lpwstr>
      </vt:variant>
      <vt:variant>
        <vt:lpwstr/>
      </vt:variant>
      <vt:variant>
        <vt:i4>5505041</vt:i4>
      </vt:variant>
      <vt:variant>
        <vt:i4>21</vt:i4>
      </vt:variant>
      <vt:variant>
        <vt:i4>0</vt:i4>
      </vt:variant>
      <vt:variant>
        <vt:i4>5</vt:i4>
      </vt:variant>
      <vt:variant>
        <vt:lpwstr>https://www.cbd.int/doc/c/5ec1/d94f/60fb5937bc06b92013ec09dd/sbi-02-inf-33-en.pdf</vt:lpwstr>
      </vt:variant>
      <vt:variant>
        <vt:lpwstr/>
      </vt:variant>
      <vt:variant>
        <vt:i4>524370</vt:i4>
      </vt:variant>
      <vt:variant>
        <vt:i4>18</vt:i4>
      </vt:variant>
      <vt:variant>
        <vt:i4>0</vt:i4>
      </vt:variant>
      <vt:variant>
        <vt:i4>5</vt:i4>
      </vt:variant>
      <vt:variant>
        <vt:lpwstr>https://www.cbd.int/gbo/</vt:lpwstr>
      </vt:variant>
      <vt:variant>
        <vt:lpwstr/>
      </vt:variant>
      <vt:variant>
        <vt:i4>1703956</vt:i4>
      </vt:variant>
      <vt:variant>
        <vt:i4>15</vt:i4>
      </vt:variant>
      <vt:variant>
        <vt:i4>0</vt:i4>
      </vt:variant>
      <vt:variant>
        <vt:i4>5</vt:i4>
      </vt:variant>
      <vt:variant>
        <vt:lpwstr>https://www.cbd.int/doc/c/e798/4a32/5521e93c4e04a2f720acc08a/sbi-03-07-en.pdf</vt:lpwstr>
      </vt:variant>
      <vt:variant>
        <vt:lpwstr/>
      </vt:variant>
      <vt:variant>
        <vt:i4>852061</vt:i4>
      </vt:variant>
      <vt:variant>
        <vt:i4>12</vt:i4>
      </vt:variant>
      <vt:variant>
        <vt:i4>0</vt:i4>
      </vt:variant>
      <vt:variant>
        <vt:i4>5</vt:i4>
      </vt:variant>
      <vt:variant>
        <vt:lpwstr>https://panorama.solutions/en</vt:lpwstr>
      </vt:variant>
      <vt:variant>
        <vt:lpwstr/>
      </vt:variant>
      <vt:variant>
        <vt:i4>1114197</vt:i4>
      </vt:variant>
      <vt:variant>
        <vt:i4>9</vt:i4>
      </vt:variant>
      <vt:variant>
        <vt:i4>0</vt:i4>
      </vt:variant>
      <vt:variant>
        <vt:i4>5</vt:i4>
      </vt:variant>
      <vt:variant>
        <vt:lpwstr>https://www.gbif.org/data4nature</vt:lpwstr>
      </vt:variant>
      <vt:variant>
        <vt:lpwstr/>
      </vt:variant>
      <vt:variant>
        <vt:i4>4653182</vt:i4>
      </vt:variant>
      <vt:variant>
        <vt:i4>6</vt:i4>
      </vt:variant>
      <vt:variant>
        <vt:i4>0</vt:i4>
      </vt:variant>
      <vt:variant>
        <vt:i4>5</vt:i4>
      </vt:variant>
      <vt:variant>
        <vt:lpwstr>https://knowledge4policy.ec.europa.eu/biodiversity_en</vt:lpwstr>
      </vt:variant>
      <vt:variant>
        <vt:lpwstr/>
      </vt:variant>
      <vt:variant>
        <vt:i4>786448</vt:i4>
      </vt:variant>
      <vt:variant>
        <vt:i4>3</vt:i4>
      </vt:variant>
      <vt:variant>
        <vt:i4>0</vt:i4>
      </vt:variant>
      <vt:variant>
        <vt:i4>5</vt:i4>
      </vt:variant>
      <vt:variant>
        <vt:lpwstr>https://www.cbd.int/doc/meetings/cop/cop-11/official/cop-11-31-en.pdf</vt:lpwstr>
      </vt:variant>
      <vt:variant>
        <vt:lpwstr/>
      </vt:variant>
      <vt:variant>
        <vt:i4>524367</vt:i4>
      </vt:variant>
      <vt:variant>
        <vt:i4>0</vt:i4>
      </vt:variant>
      <vt:variant>
        <vt:i4>0</vt:i4>
      </vt:variant>
      <vt:variant>
        <vt:i4>5</vt:i4>
      </vt:variant>
      <vt:variant>
        <vt:lpwstr>https://www.cbd.int/doc/decisions/cop-11/cop-11-dec-02-en.pdf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CBD/SBI/REC/3/10</dc:subject>
  <dc:creator>SBI-3</dc:creator>
  <cp:keywords>Convention on Biological Diversity, Subsidiary Body on Implementation</cp:keywords>
  <cp:lastModifiedBy>Veronique Lefebvre</cp:lastModifiedBy>
  <cp:revision>4</cp:revision>
  <cp:lastPrinted>2022-03-29T10:54:00Z</cp:lastPrinted>
  <dcterms:created xsi:type="dcterms:W3CDTF">2022-05-10T15:52:00Z</dcterms:created>
  <dcterms:modified xsi:type="dcterms:W3CDTF">2022-05-10T21:21:00Z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