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146E9F" w:rsidRPr="009D078B" w:rsidTr="003F1EDE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146E9F" w:rsidRPr="00661EF8" w:rsidRDefault="00146E9F" w:rsidP="00146E9F">
            <w:pPr>
              <w:rPr>
                <w:rFonts w:eastAsiaTheme="minorEastAsia"/>
                <w:kern w:val="22"/>
              </w:rPr>
            </w:pPr>
            <w:r w:rsidRPr="00661EF8">
              <w:rPr>
                <w:rFonts w:eastAsiaTheme="minorEastAsia"/>
                <w:noProof/>
                <w:kern w:val="22"/>
                <w:lang w:eastAsia="zh-CN"/>
              </w:rPr>
              <w:drawing>
                <wp:inline distT="0" distB="0" distL="0" distR="0" wp14:anchorId="6F885B7C" wp14:editId="5D2A8E5E">
                  <wp:extent cx="428625" cy="361950"/>
                  <wp:effectExtent l="0" t="0" r="9525" b="0"/>
                  <wp:docPr id="3" name="Picture 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146E9F" w:rsidRPr="00661EF8" w:rsidRDefault="00146E9F" w:rsidP="00146E9F">
            <w:pPr>
              <w:rPr>
                <w:rFonts w:eastAsiaTheme="minorEastAsia"/>
                <w:kern w:val="22"/>
              </w:rPr>
            </w:pPr>
            <w:r w:rsidRPr="00661EF8">
              <w:rPr>
                <w:rFonts w:eastAsiaTheme="minorEastAsia"/>
                <w:noProof/>
                <w:kern w:val="22"/>
                <w:lang w:eastAsia="zh-CN"/>
              </w:rPr>
              <w:drawing>
                <wp:inline distT="0" distB="0" distL="0" distR="0" wp14:anchorId="44A4A2C3" wp14:editId="7B04DAEB">
                  <wp:extent cx="333375" cy="390525"/>
                  <wp:effectExtent l="0" t="0" r="9525" b="9525"/>
                  <wp:docPr id="2" name="Picture 2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146E9F" w:rsidRPr="00661EF8" w:rsidRDefault="00146E9F" w:rsidP="00146E9F">
            <w:pPr>
              <w:jc w:val="right"/>
              <w:rPr>
                <w:rFonts w:ascii="Arial" w:eastAsiaTheme="minorEastAsia" w:hAnsi="Arial" w:cs="Arial"/>
                <w:b/>
                <w:kern w:val="22"/>
                <w:sz w:val="32"/>
                <w:szCs w:val="32"/>
              </w:rPr>
            </w:pPr>
            <w:r w:rsidRPr="00661EF8">
              <w:rPr>
                <w:rFonts w:ascii="Arial" w:eastAsiaTheme="minorEastAsia" w:hAnsi="Arial" w:cs="Arial"/>
                <w:b/>
                <w:kern w:val="22"/>
                <w:sz w:val="32"/>
                <w:szCs w:val="32"/>
              </w:rPr>
              <w:t>CBD</w:t>
            </w:r>
          </w:p>
        </w:tc>
      </w:tr>
      <w:tr w:rsidR="00146E9F" w:rsidRPr="009D078B" w:rsidTr="003F1EDE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146E9F" w:rsidRPr="00661EF8" w:rsidRDefault="00146E9F" w:rsidP="00146E9F">
            <w:pPr>
              <w:rPr>
                <w:rFonts w:eastAsiaTheme="minorEastAsia"/>
                <w:kern w:val="22"/>
              </w:rPr>
            </w:pPr>
            <w:r w:rsidRPr="00661EF8">
              <w:rPr>
                <w:rFonts w:eastAsiaTheme="minorEastAsia"/>
                <w:noProof/>
                <w:kern w:val="22"/>
                <w:lang w:eastAsia="zh-CN"/>
              </w:rPr>
              <w:drawing>
                <wp:inline distT="0" distB="0" distL="0" distR="0" wp14:anchorId="044F5F89" wp14:editId="7410CF7A">
                  <wp:extent cx="2876550" cy="1076325"/>
                  <wp:effectExtent l="0" t="0" r="0" b="9525"/>
                  <wp:docPr id="1" name="Picture 1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146E9F" w:rsidRPr="00661EF8" w:rsidRDefault="00146E9F" w:rsidP="00146E9F">
            <w:pPr>
              <w:ind w:left="1215"/>
              <w:rPr>
                <w:rFonts w:eastAsiaTheme="minorEastAsia"/>
                <w:kern w:val="22"/>
                <w:szCs w:val="22"/>
              </w:rPr>
            </w:pPr>
            <w:r w:rsidRPr="00661EF8">
              <w:rPr>
                <w:rFonts w:eastAsiaTheme="minorEastAsia"/>
                <w:kern w:val="22"/>
                <w:szCs w:val="22"/>
              </w:rPr>
              <w:t>Distr.</w:t>
            </w:r>
          </w:p>
          <w:p w:rsidR="00146E9F" w:rsidRPr="00661EF8" w:rsidRDefault="00697447" w:rsidP="00146E9F">
            <w:pPr>
              <w:ind w:left="1215"/>
              <w:rPr>
                <w:rFonts w:eastAsiaTheme="minorEastAsia"/>
                <w:kern w:val="22"/>
                <w:szCs w:val="22"/>
              </w:rPr>
            </w:pPr>
            <w:r w:rsidRPr="00661EF8">
              <w:rPr>
                <w:rFonts w:eastAsiaTheme="minorEastAsia"/>
                <w:caps/>
                <w:kern w:val="22"/>
                <w:szCs w:val="22"/>
              </w:rPr>
              <w:t>GENERAL</w:t>
            </w:r>
          </w:p>
          <w:p w:rsidR="00146E9F" w:rsidRPr="00661EF8" w:rsidRDefault="00146E9F" w:rsidP="00146E9F">
            <w:pPr>
              <w:ind w:left="1215"/>
              <w:rPr>
                <w:rFonts w:eastAsiaTheme="minorEastAsia"/>
                <w:kern w:val="22"/>
                <w:szCs w:val="22"/>
              </w:rPr>
            </w:pPr>
          </w:p>
          <w:p w:rsidR="00146E9F" w:rsidRPr="00661EF8" w:rsidRDefault="00146E9F" w:rsidP="00146E9F">
            <w:pPr>
              <w:ind w:left="1215"/>
              <w:rPr>
                <w:rFonts w:eastAsiaTheme="minorEastAsia"/>
                <w:kern w:val="22"/>
                <w:szCs w:val="22"/>
              </w:rPr>
            </w:pPr>
            <w:r w:rsidRPr="00661EF8">
              <w:rPr>
                <w:rFonts w:eastAsiaTheme="minorEastAsia"/>
                <w:kern w:val="22"/>
                <w:lang w:val="en-US"/>
              </w:rPr>
              <w:t>CBD/SBI/</w:t>
            </w:r>
            <w:r w:rsidR="00697447" w:rsidRPr="00661EF8">
              <w:rPr>
                <w:rFonts w:eastAsiaTheme="minorEastAsia"/>
                <w:kern w:val="22"/>
                <w:lang w:val="en-US"/>
              </w:rPr>
              <w:t>REC/2/</w:t>
            </w:r>
            <w:r w:rsidR="00D203FA" w:rsidRPr="00661EF8">
              <w:rPr>
                <w:rFonts w:eastAsiaTheme="minorEastAsia"/>
                <w:kern w:val="22"/>
                <w:lang w:val="en-US"/>
              </w:rPr>
              <w:t>20</w:t>
            </w:r>
          </w:p>
          <w:p w:rsidR="00146E9F" w:rsidRPr="00661EF8" w:rsidRDefault="00146E9F" w:rsidP="00146E9F">
            <w:pPr>
              <w:ind w:left="1215"/>
              <w:rPr>
                <w:rFonts w:eastAsiaTheme="minorEastAsia"/>
                <w:kern w:val="22"/>
                <w:szCs w:val="22"/>
              </w:rPr>
            </w:pPr>
            <w:r w:rsidRPr="00661EF8">
              <w:rPr>
                <w:rFonts w:eastAsiaTheme="minorEastAsia"/>
                <w:kern w:val="22"/>
                <w:szCs w:val="22"/>
                <w:lang w:val="en-US"/>
              </w:rPr>
              <w:t>12 July 2018</w:t>
            </w:r>
          </w:p>
          <w:p w:rsidR="00146E9F" w:rsidRPr="00661EF8" w:rsidRDefault="00146E9F" w:rsidP="00146E9F">
            <w:pPr>
              <w:ind w:left="1215"/>
              <w:rPr>
                <w:rFonts w:eastAsiaTheme="minorEastAsia"/>
                <w:kern w:val="22"/>
                <w:szCs w:val="22"/>
              </w:rPr>
            </w:pPr>
          </w:p>
          <w:p w:rsidR="00146E9F" w:rsidRPr="00661EF8" w:rsidRDefault="00146E9F" w:rsidP="00146E9F">
            <w:pPr>
              <w:ind w:left="1215"/>
              <w:rPr>
                <w:rFonts w:eastAsiaTheme="minorEastAsia"/>
                <w:kern w:val="22"/>
                <w:szCs w:val="22"/>
              </w:rPr>
            </w:pPr>
            <w:r w:rsidRPr="00661EF8">
              <w:rPr>
                <w:rFonts w:eastAsiaTheme="minorEastAsia"/>
                <w:kern w:val="22"/>
                <w:szCs w:val="22"/>
              </w:rPr>
              <w:t>ORIGINAL: ENGLISH</w:t>
            </w:r>
          </w:p>
          <w:p w:rsidR="00146E9F" w:rsidRPr="00661EF8" w:rsidRDefault="00146E9F" w:rsidP="00146E9F">
            <w:pPr>
              <w:rPr>
                <w:rFonts w:eastAsiaTheme="minorEastAsia"/>
                <w:kern w:val="22"/>
              </w:rPr>
            </w:pPr>
          </w:p>
        </w:tc>
      </w:tr>
    </w:tbl>
    <w:p w:rsidR="00146E9F" w:rsidRPr="009D078B" w:rsidRDefault="00146E9F" w:rsidP="009D078B">
      <w:pPr>
        <w:kinsoku w:val="0"/>
        <w:overflowPunct w:val="0"/>
        <w:autoSpaceDE w:val="0"/>
        <w:autoSpaceDN w:val="0"/>
        <w:ind w:left="227" w:right="3970" w:hanging="227"/>
        <w:jc w:val="left"/>
        <w:rPr>
          <w:rFonts w:eastAsia="Batang"/>
          <w:color w:val="000000"/>
          <w:kern w:val="22"/>
          <w:lang w:eastAsia="ko-KR"/>
        </w:rPr>
      </w:pPr>
      <w:r w:rsidRPr="00661EF8">
        <w:rPr>
          <w:rFonts w:eastAsiaTheme="minorEastAsia"/>
          <w:kern w:val="22"/>
          <w:szCs w:val="22"/>
        </w:rPr>
        <w:t>SUBSIDIARY BODY ON IMPLEMENTATION</w:t>
      </w:r>
    </w:p>
    <w:p w:rsidR="00146E9F" w:rsidRPr="009D078B" w:rsidRDefault="00146E9F" w:rsidP="00146E9F">
      <w:pPr>
        <w:kinsoku w:val="0"/>
        <w:overflowPunct w:val="0"/>
        <w:autoSpaceDE w:val="0"/>
        <w:autoSpaceDN w:val="0"/>
        <w:ind w:left="227" w:right="3970" w:hanging="227"/>
        <w:jc w:val="left"/>
        <w:rPr>
          <w:rFonts w:eastAsia="Batang"/>
          <w:color w:val="000000"/>
          <w:kern w:val="22"/>
          <w:lang w:eastAsia="ko-KR"/>
        </w:rPr>
      </w:pPr>
      <w:r w:rsidRPr="009D078B">
        <w:rPr>
          <w:rFonts w:eastAsia="Batang"/>
          <w:color w:val="000000"/>
          <w:kern w:val="22"/>
          <w:lang w:eastAsia="ko-KR"/>
        </w:rPr>
        <w:t>Second meeting</w:t>
      </w:r>
    </w:p>
    <w:p w:rsidR="00146E9F" w:rsidRPr="009D078B" w:rsidRDefault="00146E9F" w:rsidP="00146E9F">
      <w:pPr>
        <w:kinsoku w:val="0"/>
        <w:overflowPunct w:val="0"/>
        <w:autoSpaceDE w:val="0"/>
        <w:autoSpaceDN w:val="0"/>
        <w:ind w:left="227" w:right="3970" w:hanging="227"/>
        <w:jc w:val="left"/>
        <w:rPr>
          <w:rFonts w:eastAsia="Batang"/>
          <w:color w:val="000000"/>
          <w:kern w:val="22"/>
          <w:lang w:eastAsia="ko-KR"/>
        </w:rPr>
      </w:pPr>
      <w:r w:rsidRPr="009D078B">
        <w:rPr>
          <w:rFonts w:eastAsia="Batang"/>
          <w:color w:val="000000"/>
          <w:kern w:val="22"/>
          <w:lang w:eastAsia="ko-KR"/>
        </w:rPr>
        <w:t>Montreal, Canada, 9-13 July 2018</w:t>
      </w:r>
    </w:p>
    <w:p w:rsidR="00C9161D" w:rsidRPr="00661EF8" w:rsidRDefault="00405146" w:rsidP="00146E9F">
      <w:pPr>
        <w:rPr>
          <w:kern w:val="22"/>
        </w:rPr>
      </w:pPr>
      <w:r w:rsidRPr="00661EF8">
        <w:rPr>
          <w:kern w:val="22"/>
        </w:rPr>
        <w:t xml:space="preserve">Agenda item </w:t>
      </w:r>
      <w:r w:rsidR="00AF122F" w:rsidRPr="00661EF8">
        <w:rPr>
          <w:kern w:val="22"/>
        </w:rPr>
        <w:t>17</w:t>
      </w:r>
    </w:p>
    <w:p w:rsidR="009D078B" w:rsidRPr="00661EF8" w:rsidRDefault="009D078B" w:rsidP="00661EF8">
      <w:pPr>
        <w:pStyle w:val="Heading2"/>
        <w:tabs>
          <w:tab w:val="clear" w:pos="720"/>
        </w:tabs>
        <w:spacing w:before="240" w:after="240"/>
        <w:rPr>
          <w:rFonts w:ascii="Times New Roman Bold" w:hAnsi="Times New Roman Bold" w:cs="Times New Roman Bold"/>
          <w:kern w:val="22"/>
        </w:rPr>
      </w:pPr>
      <w:r w:rsidRPr="00661EF8">
        <w:rPr>
          <w:rFonts w:ascii="Times New Roman Bold" w:hAnsi="Times New Roman Bold" w:cs="Times New Roman Bold"/>
          <w:iCs w:val="0"/>
          <w:kern w:val="22"/>
        </w:rPr>
        <w:t>RECOMMENDATION ADOPTED BY THE SUBSIDIARY BODY ON IMPLEMENTATION</w:t>
      </w:r>
    </w:p>
    <w:p w:rsidR="00C9161D" w:rsidRPr="00661EF8" w:rsidRDefault="00065006" w:rsidP="00661EF8">
      <w:pPr>
        <w:pStyle w:val="recommendationheader"/>
        <w:ind w:left="1701" w:hanging="708"/>
        <w:jc w:val="left"/>
        <w:rPr>
          <w:kern w:val="22"/>
        </w:rPr>
      </w:pPr>
      <w:sdt>
        <w:sdtPr>
          <w:rPr>
            <w:rFonts w:eastAsia="MS Mincho"/>
            <w:kern w:val="22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203FA" w:rsidRPr="00661EF8">
            <w:rPr>
              <w:rFonts w:eastAsia="MS Mincho"/>
              <w:kern w:val="22"/>
              <w:lang w:val="en-US"/>
            </w:rPr>
            <w:t>2/20</w:t>
          </w:r>
          <w:r w:rsidR="00697447" w:rsidRPr="00661EF8">
            <w:rPr>
              <w:rFonts w:eastAsia="MS Mincho"/>
              <w:kern w:val="22"/>
              <w:lang w:val="en-US"/>
            </w:rPr>
            <w:t>.</w:t>
          </w:r>
          <w:r w:rsidR="00697447" w:rsidRPr="00661EF8">
            <w:rPr>
              <w:rFonts w:eastAsia="MS Mincho"/>
              <w:kern w:val="22"/>
              <w:lang w:val="en-US"/>
            </w:rPr>
            <w:tab/>
            <w:t>Trust fund for facilitating the participation of Parties in the Convention process: allocation of resources and possibilities of engaging the private sector</w:t>
          </w:r>
        </w:sdtContent>
      </w:sdt>
    </w:p>
    <w:p w:rsidR="004515C4" w:rsidRPr="00661EF8" w:rsidRDefault="004515C4" w:rsidP="004515C4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iCs/>
          <w:kern w:val="22"/>
          <w:szCs w:val="22"/>
        </w:rPr>
      </w:pPr>
      <w:r w:rsidRPr="00661EF8">
        <w:rPr>
          <w:i/>
          <w:iCs/>
          <w:kern w:val="22"/>
          <w:szCs w:val="22"/>
        </w:rPr>
        <w:t>The Subsidiary Body on Implementation</w:t>
      </w:r>
    </w:p>
    <w:p w:rsidR="004515C4" w:rsidRPr="00661EF8" w:rsidRDefault="004515C4" w:rsidP="003B7D5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kern w:val="22"/>
          <w:szCs w:val="22"/>
        </w:rPr>
      </w:pPr>
      <w:r w:rsidRPr="00661EF8">
        <w:rPr>
          <w:kern w:val="22"/>
          <w:szCs w:val="22"/>
        </w:rPr>
        <w:t>1.</w:t>
      </w:r>
      <w:r w:rsidRPr="00661EF8">
        <w:rPr>
          <w:kern w:val="22"/>
          <w:szCs w:val="22"/>
        </w:rPr>
        <w:tab/>
      </w:r>
      <w:r w:rsidRPr="00661EF8">
        <w:rPr>
          <w:i/>
          <w:iCs/>
          <w:kern w:val="22"/>
          <w:szCs w:val="22"/>
        </w:rPr>
        <w:t>Notes</w:t>
      </w:r>
      <w:r w:rsidRPr="00661EF8">
        <w:rPr>
          <w:kern w:val="22"/>
          <w:szCs w:val="22"/>
        </w:rPr>
        <w:t xml:space="preserve"> the analysis of the contributions to the BZ Trust Fund and of the level of participation of developing countries in the meetings of the Convention and its Protocols;</w:t>
      </w:r>
    </w:p>
    <w:p w:rsidR="004515C4" w:rsidRPr="00661EF8" w:rsidRDefault="004515C4" w:rsidP="003B7D5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kern w:val="22"/>
          <w:szCs w:val="22"/>
        </w:rPr>
      </w:pPr>
      <w:r w:rsidRPr="00661EF8">
        <w:rPr>
          <w:kern w:val="22"/>
          <w:szCs w:val="22"/>
        </w:rPr>
        <w:t>2.</w:t>
      </w:r>
      <w:r w:rsidRPr="00661EF8">
        <w:rPr>
          <w:kern w:val="22"/>
          <w:szCs w:val="22"/>
        </w:rPr>
        <w:tab/>
      </w:r>
      <w:r w:rsidRPr="00661EF8">
        <w:rPr>
          <w:i/>
          <w:iCs/>
          <w:kern w:val="22"/>
          <w:szCs w:val="22"/>
        </w:rPr>
        <w:t>Notes</w:t>
      </w:r>
      <w:r w:rsidR="00764C13" w:rsidRPr="00661EF8">
        <w:rPr>
          <w:i/>
          <w:iCs/>
          <w:kern w:val="22"/>
          <w:szCs w:val="22"/>
        </w:rPr>
        <w:t xml:space="preserve"> also</w:t>
      </w:r>
      <w:r w:rsidRPr="00661EF8">
        <w:rPr>
          <w:kern w:val="22"/>
          <w:szCs w:val="22"/>
        </w:rPr>
        <w:t xml:space="preserve"> that current trends in the level of funding and participation could have implications for the operations and legitimacy of the Convention</w:t>
      </w:r>
      <w:bookmarkStart w:id="0" w:name="_GoBack"/>
      <w:bookmarkEnd w:id="0"/>
      <w:r w:rsidRPr="00661EF8">
        <w:rPr>
          <w:kern w:val="22"/>
          <w:szCs w:val="22"/>
        </w:rPr>
        <w:t xml:space="preserve"> and its Protocols</w:t>
      </w:r>
      <w:r w:rsidR="00A62677" w:rsidRPr="00661EF8">
        <w:rPr>
          <w:kern w:val="22"/>
          <w:szCs w:val="22"/>
        </w:rPr>
        <w:t>;</w:t>
      </w:r>
    </w:p>
    <w:p w:rsidR="004515C4" w:rsidRPr="00661EF8" w:rsidRDefault="00A62677" w:rsidP="003B7D5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kern w:val="22"/>
          <w:szCs w:val="22"/>
        </w:rPr>
      </w:pPr>
      <w:r w:rsidRPr="00661EF8">
        <w:rPr>
          <w:kern w:val="22"/>
          <w:szCs w:val="22"/>
        </w:rPr>
        <w:t>3.</w:t>
      </w:r>
      <w:r w:rsidRPr="00661EF8">
        <w:rPr>
          <w:kern w:val="22"/>
          <w:szCs w:val="22"/>
        </w:rPr>
        <w:tab/>
      </w:r>
      <w:r w:rsidRPr="00661EF8">
        <w:rPr>
          <w:i/>
          <w:kern w:val="22"/>
          <w:szCs w:val="22"/>
        </w:rPr>
        <w:t>R</w:t>
      </w:r>
      <w:r w:rsidR="004515C4" w:rsidRPr="00661EF8">
        <w:rPr>
          <w:i/>
          <w:kern w:val="22"/>
          <w:szCs w:val="22"/>
        </w:rPr>
        <w:t>ecommend</w:t>
      </w:r>
      <w:r w:rsidRPr="00661EF8">
        <w:rPr>
          <w:i/>
          <w:kern w:val="22"/>
          <w:szCs w:val="22"/>
        </w:rPr>
        <w:t>s</w:t>
      </w:r>
      <w:r w:rsidR="004515C4" w:rsidRPr="00661EF8">
        <w:rPr>
          <w:kern w:val="22"/>
          <w:szCs w:val="22"/>
        </w:rPr>
        <w:t xml:space="preserve"> that the Conference of the Parties at its fourteenth meeting adopt a decision along the following lines:</w:t>
      </w:r>
    </w:p>
    <w:p w:rsidR="004515C4" w:rsidRPr="009D078B" w:rsidRDefault="004515C4" w:rsidP="003B7D5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iCs/>
          <w:kern w:val="22"/>
          <w:szCs w:val="22"/>
        </w:rPr>
      </w:pPr>
      <w:r w:rsidRPr="00661EF8">
        <w:rPr>
          <w:i/>
          <w:iCs/>
          <w:kern w:val="22"/>
          <w:szCs w:val="22"/>
        </w:rPr>
        <w:t>The Conference of the Parties</w:t>
      </w:r>
    </w:p>
    <w:p w:rsidR="00514BEC" w:rsidRPr="00661EF8" w:rsidRDefault="00AD2BA2" w:rsidP="003B7D5B">
      <w:pPr>
        <w:numPr>
          <w:ilvl w:val="0"/>
          <w:numId w:val="19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szCs w:val="22"/>
        </w:rPr>
      </w:pPr>
      <w:r w:rsidRPr="00661EF8">
        <w:rPr>
          <w:i/>
          <w:iCs/>
          <w:kern w:val="22"/>
          <w:szCs w:val="22"/>
        </w:rPr>
        <w:t>Invites</w:t>
      </w:r>
      <w:r w:rsidR="004515C4" w:rsidRPr="00661EF8">
        <w:rPr>
          <w:kern w:val="22"/>
          <w:szCs w:val="22"/>
        </w:rPr>
        <w:t xml:space="preserve"> developed country Parties</w:t>
      </w:r>
      <w:r w:rsidR="00743F62" w:rsidRPr="00661EF8">
        <w:rPr>
          <w:kern w:val="22"/>
          <w:szCs w:val="22"/>
        </w:rPr>
        <w:t xml:space="preserve"> and other Parties in a position to do so, including in the context of the South-South cooperation</w:t>
      </w:r>
      <w:r w:rsidR="0021127A" w:rsidRPr="00661EF8">
        <w:rPr>
          <w:kern w:val="22"/>
          <w:szCs w:val="22"/>
        </w:rPr>
        <w:t>,</w:t>
      </w:r>
      <w:r w:rsidR="004515C4" w:rsidRPr="00661EF8">
        <w:rPr>
          <w:kern w:val="22"/>
          <w:szCs w:val="22"/>
        </w:rPr>
        <w:t xml:space="preserve"> to increase their contributions to the BZ Trust Fund in order to </w:t>
      </w:r>
      <w:r w:rsidRPr="00661EF8">
        <w:rPr>
          <w:kern w:val="22"/>
          <w:szCs w:val="22"/>
        </w:rPr>
        <w:t xml:space="preserve">enable </w:t>
      </w:r>
      <w:r w:rsidR="004515C4" w:rsidRPr="00661EF8">
        <w:rPr>
          <w:kern w:val="22"/>
          <w:szCs w:val="22"/>
        </w:rPr>
        <w:t xml:space="preserve">the full and effective participation of representatives of developing country Parties, in particular the least developed countries and small island developing States, as well as </w:t>
      </w:r>
      <w:r w:rsidR="0047640D" w:rsidRPr="00661EF8">
        <w:rPr>
          <w:kern w:val="22"/>
          <w:szCs w:val="22"/>
        </w:rPr>
        <w:t xml:space="preserve">countries </w:t>
      </w:r>
      <w:r w:rsidR="004515C4" w:rsidRPr="00661EF8">
        <w:rPr>
          <w:kern w:val="22"/>
          <w:szCs w:val="22"/>
        </w:rPr>
        <w:t>with economies in transition;</w:t>
      </w:r>
    </w:p>
    <w:p w:rsidR="004515C4" w:rsidRPr="00661EF8" w:rsidRDefault="004515C4" w:rsidP="003B7D5B">
      <w:pPr>
        <w:numPr>
          <w:ilvl w:val="0"/>
          <w:numId w:val="19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szCs w:val="22"/>
        </w:rPr>
      </w:pPr>
      <w:r w:rsidRPr="00661EF8">
        <w:rPr>
          <w:i/>
          <w:kern w:val="22"/>
          <w:szCs w:val="22"/>
        </w:rPr>
        <w:t>Recalls</w:t>
      </w:r>
      <w:r w:rsidRPr="00661EF8">
        <w:rPr>
          <w:kern w:val="22"/>
          <w:szCs w:val="22"/>
        </w:rPr>
        <w:t xml:space="preserve"> paragraph 31 of decision </w:t>
      </w:r>
      <w:hyperlink r:id="rId12" w:history="1">
        <w:r w:rsidRPr="00661EF8">
          <w:rPr>
            <w:color w:val="0000FF"/>
            <w:kern w:val="22"/>
            <w:szCs w:val="22"/>
            <w:u w:val="single"/>
          </w:rPr>
          <w:t>IX/34</w:t>
        </w:r>
      </w:hyperlink>
      <w:r w:rsidRPr="00661EF8">
        <w:rPr>
          <w:kern w:val="22"/>
          <w:szCs w:val="22"/>
        </w:rPr>
        <w:t xml:space="preserve">, and </w:t>
      </w:r>
      <w:r w:rsidRPr="00661EF8">
        <w:rPr>
          <w:i/>
          <w:iCs/>
          <w:kern w:val="22"/>
          <w:szCs w:val="22"/>
        </w:rPr>
        <w:t xml:space="preserve">requests </w:t>
      </w:r>
      <w:r w:rsidRPr="00661EF8">
        <w:rPr>
          <w:kern w:val="22"/>
          <w:szCs w:val="22"/>
        </w:rPr>
        <w:t>the Executive Secretary, when allocating the funding from the BZ Trust Fund, to continue to accord first priority to funding for least developed countries and small island developing States;</w:t>
      </w:r>
    </w:p>
    <w:p w:rsidR="004515C4" w:rsidRPr="00661EF8" w:rsidRDefault="004515C4" w:rsidP="003B7D5B">
      <w:pPr>
        <w:numPr>
          <w:ilvl w:val="0"/>
          <w:numId w:val="19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  <w:szCs w:val="22"/>
        </w:rPr>
      </w:pPr>
      <w:r w:rsidRPr="00661EF8">
        <w:rPr>
          <w:i/>
          <w:iCs/>
          <w:kern w:val="22"/>
          <w:szCs w:val="22"/>
        </w:rPr>
        <w:t xml:space="preserve">Takes note </w:t>
      </w:r>
      <w:r w:rsidRPr="00661EF8">
        <w:rPr>
          <w:iCs/>
          <w:kern w:val="22"/>
          <w:szCs w:val="22"/>
        </w:rPr>
        <w:t>of the</w:t>
      </w:r>
      <w:r w:rsidRPr="00661EF8">
        <w:rPr>
          <w:kern w:val="22"/>
          <w:szCs w:val="22"/>
        </w:rPr>
        <w:t xml:space="preserve"> various existing guidelines for the engagement of the private sector with the United Nations system;</w:t>
      </w:r>
    </w:p>
    <w:p w:rsidR="00514BEC" w:rsidRPr="00661EF8" w:rsidRDefault="004515C4" w:rsidP="003B7D5B">
      <w:pPr>
        <w:numPr>
          <w:ilvl w:val="0"/>
          <w:numId w:val="19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720" w:firstLine="720"/>
        <w:rPr>
          <w:kern w:val="22"/>
        </w:rPr>
      </w:pPr>
      <w:r w:rsidRPr="00661EF8">
        <w:rPr>
          <w:i/>
          <w:iCs/>
          <w:kern w:val="22"/>
          <w:szCs w:val="22"/>
        </w:rPr>
        <w:t>Requests</w:t>
      </w:r>
      <w:r w:rsidRPr="00661EF8">
        <w:rPr>
          <w:kern w:val="22"/>
          <w:szCs w:val="22"/>
        </w:rPr>
        <w:t xml:space="preserve"> the Executive Secretary to keep under review the experience of other conventions and United Nations processes</w:t>
      </w:r>
      <w:r w:rsidR="00227AA7" w:rsidRPr="00661EF8">
        <w:rPr>
          <w:kern w:val="22"/>
          <w:szCs w:val="22"/>
        </w:rPr>
        <w:t xml:space="preserve"> (a)</w:t>
      </w:r>
      <w:r w:rsidRPr="00661EF8">
        <w:rPr>
          <w:kern w:val="22"/>
          <w:szCs w:val="22"/>
        </w:rPr>
        <w:t xml:space="preserve"> </w:t>
      </w:r>
      <w:r w:rsidR="00227AA7" w:rsidRPr="00661EF8">
        <w:rPr>
          <w:kern w:val="22"/>
        </w:rPr>
        <w:t xml:space="preserve">with respect to the funding of the participation of eligible developing country Parties, including </w:t>
      </w:r>
      <w:r w:rsidR="00227AA7" w:rsidRPr="00661EF8">
        <w:rPr>
          <w:kern w:val="22"/>
          <w:szCs w:val="22"/>
        </w:rPr>
        <w:t>the least developed countries and small island developing States</w:t>
      </w:r>
      <w:r w:rsidR="00227AA7" w:rsidRPr="00661EF8">
        <w:rPr>
          <w:kern w:val="22"/>
        </w:rPr>
        <w:t xml:space="preserve"> and Parties with economies in transition</w:t>
      </w:r>
      <w:r w:rsidR="002550CD" w:rsidRPr="00661EF8">
        <w:rPr>
          <w:kern w:val="22"/>
        </w:rPr>
        <w:t>,</w:t>
      </w:r>
      <w:r w:rsidR="00227AA7" w:rsidRPr="00661EF8">
        <w:rPr>
          <w:kern w:val="22"/>
        </w:rPr>
        <w:t xml:space="preserve"> (b) </w:t>
      </w:r>
      <w:r w:rsidRPr="00661EF8">
        <w:rPr>
          <w:kern w:val="22"/>
          <w:szCs w:val="22"/>
        </w:rPr>
        <w:t xml:space="preserve">in engaging the private sector to contribute to funds for the participation of delegates from developing countries in their meetings, and </w:t>
      </w:r>
      <w:r w:rsidR="00227AA7" w:rsidRPr="00661EF8">
        <w:rPr>
          <w:kern w:val="22"/>
          <w:szCs w:val="22"/>
        </w:rPr>
        <w:t xml:space="preserve">(c) </w:t>
      </w:r>
      <w:r w:rsidRPr="00661EF8">
        <w:rPr>
          <w:kern w:val="22"/>
          <w:szCs w:val="22"/>
        </w:rPr>
        <w:t>to inform the Bureau of the Conference of the Parties of further developments in this respect.</w:t>
      </w:r>
    </w:p>
    <w:p w:rsidR="00C9161D" w:rsidRPr="00661EF8" w:rsidRDefault="00A62677" w:rsidP="00C9161D">
      <w:pPr>
        <w:jc w:val="center"/>
        <w:rPr>
          <w:kern w:val="22"/>
        </w:rPr>
      </w:pPr>
      <w:r w:rsidRPr="00661EF8">
        <w:rPr>
          <w:kern w:val="22"/>
        </w:rPr>
        <w:t>__________</w:t>
      </w:r>
    </w:p>
    <w:p w:rsidR="00B3369F" w:rsidRPr="00661EF8" w:rsidRDefault="00B3369F" w:rsidP="00C9161D">
      <w:pPr>
        <w:rPr>
          <w:kern w:val="22"/>
        </w:rPr>
      </w:pPr>
    </w:p>
    <w:sectPr w:rsidR="00B3369F" w:rsidRPr="00661EF8" w:rsidSect="009C200D">
      <w:headerReference w:type="even" r:id="rId13"/>
      <w:headerReference w:type="default" r:id="rId14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006" w:rsidRDefault="00065006" w:rsidP="00CF1848">
      <w:r>
        <w:separator/>
      </w:r>
    </w:p>
  </w:endnote>
  <w:endnote w:type="continuationSeparator" w:id="0">
    <w:p w:rsidR="00065006" w:rsidRDefault="00065006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006" w:rsidRDefault="00065006" w:rsidP="00CF1848">
      <w:r>
        <w:separator/>
      </w:r>
    </w:p>
  </w:footnote>
  <w:footnote w:type="continuationSeparator" w:id="0">
    <w:p w:rsidR="00065006" w:rsidRDefault="00065006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534681" w:rsidRPr="0014445B" w:rsidRDefault="00AF122F" w:rsidP="00534681">
        <w:pPr>
          <w:pStyle w:val="Header"/>
          <w:rPr>
            <w:lang w:val="fr-FR"/>
          </w:rPr>
        </w:pPr>
        <w:r>
          <w:rPr>
            <w:lang w:val="fr-FR"/>
          </w:rPr>
          <w:t>CBD/SBI/2/CRP.12</w:t>
        </w:r>
      </w:p>
    </w:sdtContent>
  </w:sdt>
  <w:p w:rsidR="00534681" w:rsidRPr="0014445B" w:rsidRDefault="00534681" w:rsidP="00534681">
    <w:pPr>
      <w:pStyle w:val="Header"/>
      <w:rPr>
        <w:lang w:val="fr-FR"/>
      </w:rPr>
    </w:pPr>
    <w:r w:rsidRPr="0014445B">
      <w:rPr>
        <w:lang w:val="fr-FR"/>
      </w:rPr>
      <w:t xml:space="preserve">Page </w:t>
    </w:r>
    <w:r>
      <w:fldChar w:fldCharType="begin"/>
    </w:r>
    <w:r w:rsidRPr="0014445B">
      <w:rPr>
        <w:lang w:val="fr-FR"/>
      </w:rPr>
      <w:instrText xml:space="preserve"> PAGE   \* MERGEFORMAT </w:instrText>
    </w:r>
    <w:r>
      <w:fldChar w:fldCharType="separate"/>
    </w:r>
    <w:r w:rsidR="00227AA7">
      <w:rPr>
        <w:noProof/>
        <w:lang w:val="fr-FR"/>
      </w:rPr>
      <w:t>2</w:t>
    </w:r>
    <w:r>
      <w:rPr>
        <w:noProof/>
      </w:rPr>
      <w:fldChar w:fldCharType="end"/>
    </w:r>
  </w:p>
  <w:p w:rsidR="00534681" w:rsidRPr="0014445B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Pr="0014445B" w:rsidRDefault="00AF122F" w:rsidP="009505C9">
        <w:pPr>
          <w:pStyle w:val="Header"/>
          <w:jc w:val="right"/>
          <w:rPr>
            <w:lang w:val="fr-FR"/>
          </w:rPr>
        </w:pPr>
        <w:r>
          <w:rPr>
            <w:lang w:val="fr-FR"/>
          </w:rPr>
          <w:t>CBD/SBI/2/CRP.12</w:t>
        </w:r>
      </w:p>
    </w:sdtContent>
  </w:sdt>
  <w:p w:rsidR="009505C9" w:rsidRPr="0014445B" w:rsidRDefault="009505C9" w:rsidP="009505C9">
    <w:pPr>
      <w:pStyle w:val="Header"/>
      <w:jc w:val="right"/>
      <w:rPr>
        <w:lang w:val="fr-FR"/>
      </w:rPr>
    </w:pPr>
    <w:r w:rsidRPr="0014445B">
      <w:rPr>
        <w:lang w:val="fr-FR"/>
      </w:rPr>
      <w:t xml:space="preserve">Page </w:t>
    </w:r>
    <w:r>
      <w:fldChar w:fldCharType="begin"/>
    </w:r>
    <w:r w:rsidRPr="0014445B">
      <w:rPr>
        <w:lang w:val="fr-FR"/>
      </w:rPr>
      <w:instrText xml:space="preserve"> PAGE   \* MERGEFORMAT </w:instrText>
    </w:r>
    <w:r>
      <w:fldChar w:fldCharType="separate"/>
    </w:r>
    <w:r w:rsidR="009C200D" w:rsidRPr="0014445B">
      <w:rPr>
        <w:noProof/>
        <w:lang w:val="fr-FR"/>
      </w:rPr>
      <w:t>1</w:t>
    </w:r>
    <w:r>
      <w:rPr>
        <w:noProof/>
      </w:rPr>
      <w:fldChar w:fldCharType="end"/>
    </w:r>
  </w:p>
  <w:p w:rsidR="009505C9" w:rsidRPr="0014445B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576694D"/>
    <w:multiLevelType w:val="multilevel"/>
    <w:tmpl w:val="E0E2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9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1D"/>
    <w:rsid w:val="0004494A"/>
    <w:rsid w:val="00063350"/>
    <w:rsid w:val="00065006"/>
    <w:rsid w:val="000B136B"/>
    <w:rsid w:val="000E673A"/>
    <w:rsid w:val="000F74F5"/>
    <w:rsid w:val="000F7CB5"/>
    <w:rsid w:val="00105372"/>
    <w:rsid w:val="0011426F"/>
    <w:rsid w:val="00122414"/>
    <w:rsid w:val="00131E7A"/>
    <w:rsid w:val="0014445B"/>
    <w:rsid w:val="00146E9F"/>
    <w:rsid w:val="001516F7"/>
    <w:rsid w:val="00172AF6"/>
    <w:rsid w:val="00176CEE"/>
    <w:rsid w:val="001D0008"/>
    <w:rsid w:val="0021127A"/>
    <w:rsid w:val="00225BD0"/>
    <w:rsid w:val="00227AA7"/>
    <w:rsid w:val="002550CD"/>
    <w:rsid w:val="00372F74"/>
    <w:rsid w:val="003B7D5B"/>
    <w:rsid w:val="003F7224"/>
    <w:rsid w:val="00405146"/>
    <w:rsid w:val="00407F7D"/>
    <w:rsid w:val="00427D21"/>
    <w:rsid w:val="00430964"/>
    <w:rsid w:val="004515C4"/>
    <w:rsid w:val="004644C2"/>
    <w:rsid w:val="00467F9C"/>
    <w:rsid w:val="0047284C"/>
    <w:rsid w:val="0047640D"/>
    <w:rsid w:val="00514BEC"/>
    <w:rsid w:val="00534681"/>
    <w:rsid w:val="00534A5C"/>
    <w:rsid w:val="00552FB2"/>
    <w:rsid w:val="005B13DE"/>
    <w:rsid w:val="006122BA"/>
    <w:rsid w:val="00661EF8"/>
    <w:rsid w:val="00683C9B"/>
    <w:rsid w:val="00697447"/>
    <w:rsid w:val="006B2290"/>
    <w:rsid w:val="006F2EAE"/>
    <w:rsid w:val="007036A5"/>
    <w:rsid w:val="00717D88"/>
    <w:rsid w:val="00743F62"/>
    <w:rsid w:val="00756018"/>
    <w:rsid w:val="00764C13"/>
    <w:rsid w:val="007942D3"/>
    <w:rsid w:val="007B6C09"/>
    <w:rsid w:val="007E09DA"/>
    <w:rsid w:val="008178B6"/>
    <w:rsid w:val="00865B74"/>
    <w:rsid w:val="008A0651"/>
    <w:rsid w:val="008D530D"/>
    <w:rsid w:val="00901935"/>
    <w:rsid w:val="00930BA1"/>
    <w:rsid w:val="0093169E"/>
    <w:rsid w:val="00940C21"/>
    <w:rsid w:val="009505C9"/>
    <w:rsid w:val="009635F0"/>
    <w:rsid w:val="009C200D"/>
    <w:rsid w:val="009D078B"/>
    <w:rsid w:val="00A44503"/>
    <w:rsid w:val="00A62677"/>
    <w:rsid w:val="00A852EB"/>
    <w:rsid w:val="00AA0DCA"/>
    <w:rsid w:val="00AD2BA2"/>
    <w:rsid w:val="00AF122F"/>
    <w:rsid w:val="00B3369F"/>
    <w:rsid w:val="00B621C2"/>
    <w:rsid w:val="00BC1A51"/>
    <w:rsid w:val="00C9161D"/>
    <w:rsid w:val="00CC1C7B"/>
    <w:rsid w:val="00CF1848"/>
    <w:rsid w:val="00D12044"/>
    <w:rsid w:val="00D203FA"/>
    <w:rsid w:val="00D47BD9"/>
    <w:rsid w:val="00D76A18"/>
    <w:rsid w:val="00D76D98"/>
    <w:rsid w:val="00DD118C"/>
    <w:rsid w:val="00E66235"/>
    <w:rsid w:val="00E83C24"/>
    <w:rsid w:val="00E9318D"/>
    <w:rsid w:val="00EB459D"/>
    <w:rsid w:val="00F21B56"/>
    <w:rsid w:val="00F47B33"/>
    <w:rsid w:val="00F51DC3"/>
    <w:rsid w:val="00F94774"/>
    <w:rsid w:val="00FC0944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006019-7C61-4A9C-8080-98244E64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19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C9B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C9B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bd.int/doc/decisions/cop-09/cop-09-dec-34-e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500A2B"/>
    <w:rsid w:val="0058288D"/>
    <w:rsid w:val="006801B3"/>
    <w:rsid w:val="007F1B76"/>
    <w:rsid w:val="00810A55"/>
    <w:rsid w:val="008C6619"/>
    <w:rsid w:val="008D420E"/>
    <w:rsid w:val="0098642F"/>
    <w:rsid w:val="00D1539B"/>
    <w:rsid w:val="00D6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B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D80DD5-535D-4534-B8AA-18B46A9D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2/20.	Trust fund for facilitating the participation of Parties in the Convention process: allocation of resources and possibilities of engaging the private sector</vt:lpstr>
    </vt:vector>
  </TitlesOfParts>
  <Company>SCBD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2/20.	Trust fund for facilitating the participation of Parties in the Convention process: allocation of resources and possibilities of engaging the private sector</dc:title>
  <dc:subject>CBD/SBI/2/CRP.12</dc:subject>
  <dc:creator>SBI 2</dc:creator>
  <cp:lastModifiedBy>Veronique Lefebvre</cp:lastModifiedBy>
  <cp:revision>3</cp:revision>
  <cp:lastPrinted>2018-07-11T23:00:00Z</cp:lastPrinted>
  <dcterms:created xsi:type="dcterms:W3CDTF">2018-07-30T19:08:00Z</dcterms:created>
  <dcterms:modified xsi:type="dcterms:W3CDTF">2018-07-30T19:08:00Z</dcterms:modified>
  <cp:contentStatus>GENERAL</cp:contentStatus>
</cp:coreProperties>
</file>