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A0"/>
      </w:tblPr>
      <w:tblGrid>
        <w:gridCol w:w="976"/>
        <w:gridCol w:w="5141"/>
        <w:gridCol w:w="4090"/>
      </w:tblGrid>
      <w:tr w:rsidR="00396A44" w:rsidRPr="007C5887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396A44" w:rsidRPr="007C5887" w:rsidRDefault="00480C8D">
            <w:pPr>
              <w:rPr>
                <w:lang w:val="es-ES"/>
              </w:rPr>
            </w:pPr>
            <w:r w:rsidRPr="007C5887">
              <w:rPr>
                <w:snapToGrid/>
                <w:lang w:val="es-ES" w:eastAsia="es-UY"/>
              </w:rPr>
              <w:drawing>
                <wp:inline distT="0" distB="0" distL="0" distR="0">
                  <wp:extent cx="427355" cy="361950"/>
                  <wp:effectExtent l="19050" t="0" r="0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396A44" w:rsidRPr="007C5887" w:rsidRDefault="00480C8D">
            <w:pPr>
              <w:rPr>
                <w:lang w:val="es-ES"/>
              </w:rPr>
            </w:pPr>
            <w:r w:rsidRPr="007C5887">
              <w:rPr>
                <w:snapToGrid/>
                <w:lang w:val="es-ES" w:eastAsia="es-UY"/>
              </w:rPr>
              <w:drawing>
                <wp:inline distT="0" distB="0" distL="0" distR="0">
                  <wp:extent cx="338455" cy="397510"/>
                  <wp:effectExtent l="19050" t="0" r="4445" b="0"/>
                  <wp:docPr id="2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396A44" w:rsidRPr="007C5887" w:rsidRDefault="00396A44">
            <w:pPr>
              <w:jc w:val="right"/>
              <w:rPr>
                <w:b/>
                <w:sz w:val="32"/>
                <w:lang w:val="es-ES"/>
              </w:rPr>
            </w:pPr>
            <w:r w:rsidRPr="007C5887">
              <w:rPr>
                <w:b/>
                <w:sz w:val="32"/>
                <w:lang w:val="es-ES"/>
              </w:rPr>
              <w:t>CBD</w:t>
            </w:r>
          </w:p>
        </w:tc>
      </w:tr>
      <w:tr w:rsidR="00396A44" w:rsidRPr="007C5887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396A44" w:rsidRPr="007C5887" w:rsidRDefault="00480C8D">
            <w:pPr>
              <w:rPr>
                <w:lang w:val="es-ES"/>
              </w:rPr>
            </w:pPr>
            <w:r w:rsidRPr="007C5887">
              <w:rPr>
                <w:snapToGrid/>
                <w:lang w:val="es-ES" w:eastAsia="es-UY"/>
              </w:rPr>
              <w:drawing>
                <wp:inline distT="0" distB="0" distL="0" distR="0">
                  <wp:extent cx="2903220" cy="1068705"/>
                  <wp:effectExtent l="19050" t="0" r="0" b="0"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396A44" w:rsidRPr="007C5887" w:rsidRDefault="00396A44">
            <w:pPr>
              <w:ind w:left="1461"/>
              <w:rPr>
                <w:lang w:val="es-ES"/>
              </w:rPr>
            </w:pPr>
            <w:r w:rsidRPr="007C5887">
              <w:rPr>
                <w:lang w:val="es-ES"/>
              </w:rPr>
              <w:t>Distr.</w:t>
            </w:r>
          </w:p>
          <w:p w:rsidR="00396A44" w:rsidRPr="007C5887" w:rsidRDefault="00B85E00">
            <w:pPr>
              <w:ind w:left="1461"/>
              <w:rPr>
                <w:lang w:val="es-ES"/>
              </w:rPr>
            </w:pPr>
            <w:r w:rsidRPr="007C5887">
              <w:rPr>
                <w:caps/>
                <w:lang w:val="es-ES"/>
              </w:rPr>
              <w:t>GENERAL</w:t>
            </w:r>
          </w:p>
          <w:p w:rsidR="00396A44" w:rsidRPr="007C5887" w:rsidRDefault="00396A44">
            <w:pPr>
              <w:ind w:left="1461"/>
              <w:rPr>
                <w:lang w:val="es-ES"/>
              </w:rPr>
            </w:pPr>
          </w:p>
          <w:p w:rsidR="00396A44" w:rsidRPr="007C5887" w:rsidRDefault="00396A44">
            <w:pPr>
              <w:ind w:left="1461"/>
              <w:rPr>
                <w:lang w:val="es-ES"/>
              </w:rPr>
            </w:pPr>
            <w:r w:rsidRPr="007C5887">
              <w:rPr>
                <w:lang w:val="es-ES"/>
              </w:rPr>
              <w:t>CBD/SBI/</w:t>
            </w:r>
            <w:r w:rsidR="00AA6C17" w:rsidRPr="007C5887">
              <w:rPr>
                <w:lang w:val="es-ES"/>
              </w:rPr>
              <w:t>REC/</w:t>
            </w:r>
            <w:r w:rsidRPr="007C5887">
              <w:rPr>
                <w:lang w:val="es-ES"/>
              </w:rPr>
              <w:t>2/</w:t>
            </w:r>
            <w:r w:rsidR="00AA6C17" w:rsidRPr="007C5887">
              <w:rPr>
                <w:lang w:val="es-ES"/>
              </w:rPr>
              <w:t>18</w:t>
            </w:r>
          </w:p>
          <w:p w:rsidR="00396A44" w:rsidRPr="007C5887" w:rsidRDefault="00396A44">
            <w:pPr>
              <w:ind w:left="1461"/>
              <w:rPr>
                <w:lang w:val="es-ES"/>
              </w:rPr>
            </w:pPr>
            <w:r w:rsidRPr="007C5887">
              <w:rPr>
                <w:lang w:val="es-ES"/>
              </w:rPr>
              <w:t>1</w:t>
            </w:r>
            <w:r w:rsidR="00AA6C17" w:rsidRPr="007C5887">
              <w:rPr>
                <w:lang w:val="es-ES"/>
              </w:rPr>
              <w:t>3</w:t>
            </w:r>
            <w:r w:rsidRPr="007C5887">
              <w:rPr>
                <w:lang w:val="es-ES"/>
              </w:rPr>
              <w:t xml:space="preserve"> de julio de 2018</w:t>
            </w:r>
          </w:p>
          <w:p w:rsidR="00396A44" w:rsidRPr="007C5887" w:rsidRDefault="00396A44">
            <w:pPr>
              <w:ind w:left="1461"/>
              <w:rPr>
                <w:lang w:val="es-ES"/>
              </w:rPr>
            </w:pPr>
          </w:p>
          <w:p w:rsidR="00396A44" w:rsidRPr="007C5887" w:rsidRDefault="00396A44">
            <w:pPr>
              <w:ind w:left="1461"/>
              <w:rPr>
                <w:lang w:val="es-ES"/>
              </w:rPr>
            </w:pPr>
            <w:r w:rsidRPr="007C5887">
              <w:rPr>
                <w:lang w:val="es-ES"/>
              </w:rPr>
              <w:t>ESPAÑOL</w:t>
            </w:r>
          </w:p>
          <w:p w:rsidR="00396A44" w:rsidRPr="007C5887" w:rsidRDefault="00396A44">
            <w:pPr>
              <w:ind w:left="1461"/>
              <w:rPr>
                <w:lang w:val="es-ES"/>
              </w:rPr>
            </w:pPr>
            <w:r w:rsidRPr="007C5887">
              <w:rPr>
                <w:lang w:val="es-ES"/>
              </w:rPr>
              <w:t>ORIGINAL: INGLÉS</w:t>
            </w:r>
          </w:p>
          <w:p w:rsidR="00396A44" w:rsidRPr="007C5887" w:rsidRDefault="00396A44">
            <w:pPr>
              <w:rPr>
                <w:lang w:val="es-ES"/>
              </w:rPr>
            </w:pPr>
          </w:p>
        </w:tc>
      </w:tr>
    </w:tbl>
    <w:p w:rsidR="00396A44" w:rsidRPr="007C5887" w:rsidRDefault="00396A44">
      <w:pPr>
        <w:kinsoku w:val="0"/>
        <w:overflowPunct w:val="0"/>
        <w:autoSpaceDE w:val="0"/>
        <w:autoSpaceDN w:val="0"/>
        <w:ind w:left="227" w:right="3970" w:hanging="227"/>
        <w:jc w:val="left"/>
        <w:rPr>
          <w:rFonts w:ascii="Batang" w:eastAsia="Batang"/>
          <w:color w:val="000000"/>
          <w:kern w:val="22"/>
          <w:lang w:val="es-ES"/>
        </w:rPr>
      </w:pPr>
      <w:bookmarkStart w:id="0" w:name="Meeting"/>
      <w:r w:rsidRPr="007C5887">
        <w:rPr>
          <w:lang w:val="es-ES"/>
        </w:rPr>
        <w:t>ÓRGANO SUBSIDIARIO SOBRE LA APLICACIÓN</w:t>
      </w:r>
      <w:bookmarkEnd w:id="0"/>
    </w:p>
    <w:p w:rsidR="00396A44" w:rsidRPr="007C5887" w:rsidRDefault="00396A44">
      <w:pPr>
        <w:pStyle w:val="Cornernotation"/>
        <w:kinsoku w:val="0"/>
        <w:overflowPunct w:val="0"/>
        <w:autoSpaceDE w:val="0"/>
        <w:autoSpaceDN w:val="0"/>
        <w:ind w:left="227" w:right="3970" w:hanging="227"/>
        <w:rPr>
          <w:color w:val="000000"/>
          <w:kern w:val="22"/>
          <w:lang w:val="es-ES"/>
        </w:rPr>
      </w:pPr>
      <w:r w:rsidRPr="007C5887">
        <w:rPr>
          <w:color w:val="000000"/>
          <w:kern w:val="22"/>
          <w:lang w:val="es-ES"/>
        </w:rPr>
        <w:t>Segunda reunión</w:t>
      </w:r>
    </w:p>
    <w:p w:rsidR="00396A44" w:rsidRPr="007C5887" w:rsidRDefault="00396A44">
      <w:pPr>
        <w:pStyle w:val="Cornernotation"/>
        <w:kinsoku w:val="0"/>
        <w:overflowPunct w:val="0"/>
        <w:autoSpaceDE w:val="0"/>
        <w:autoSpaceDN w:val="0"/>
        <w:ind w:left="227" w:right="3970" w:hanging="227"/>
        <w:rPr>
          <w:color w:val="000000"/>
          <w:kern w:val="22"/>
          <w:lang w:val="es-ES"/>
        </w:rPr>
      </w:pPr>
      <w:r w:rsidRPr="007C5887">
        <w:rPr>
          <w:color w:val="000000"/>
          <w:kern w:val="22"/>
          <w:lang w:val="es-ES"/>
        </w:rPr>
        <w:t>Montreal (Canadá), 9 a 13 de julio de 2018</w:t>
      </w:r>
    </w:p>
    <w:p w:rsidR="00396A44" w:rsidRPr="007C5887" w:rsidRDefault="00396A44">
      <w:pPr>
        <w:pStyle w:val="Cornernotation"/>
        <w:ind w:right="3973"/>
        <w:rPr>
          <w:lang w:val="es-ES"/>
        </w:rPr>
      </w:pPr>
      <w:r w:rsidRPr="007C5887">
        <w:rPr>
          <w:lang w:val="es-ES"/>
        </w:rPr>
        <w:t>Tema</w:t>
      </w:r>
      <w:r w:rsidRPr="007C5887">
        <w:rPr>
          <w:color w:val="000000"/>
          <w:lang w:val="es-ES"/>
        </w:rPr>
        <w:t xml:space="preserve"> 8 del programa</w:t>
      </w:r>
    </w:p>
    <w:p w:rsidR="00AA6C17" w:rsidRPr="007C5887" w:rsidRDefault="00AA6C17" w:rsidP="00AA6C17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240" w:after="240"/>
        <w:jc w:val="center"/>
        <w:rPr>
          <w:kern w:val="22"/>
          <w:lang w:val="es-ES"/>
        </w:rPr>
      </w:pPr>
      <w:r w:rsidRPr="007C5887">
        <w:rPr>
          <w:b/>
          <w:kern w:val="22"/>
          <w:szCs w:val="22"/>
          <w:lang w:val="es-ES"/>
        </w:rPr>
        <w:t>RECOMENDACIÓN ADOPTADA POR EL ÓRGANO SUBSIDIARIO SOBRE LA APLICACIÓN</w:t>
      </w:r>
    </w:p>
    <w:p w:rsidR="00396A44" w:rsidRPr="007C5887" w:rsidRDefault="00AA6C17" w:rsidP="00AA6C17">
      <w:pPr>
        <w:spacing w:before="120" w:after="240"/>
        <w:ind w:left="1701" w:hanging="567"/>
        <w:jc w:val="left"/>
        <w:rPr>
          <w:b/>
          <w:caps/>
          <w:lang w:val="es-ES"/>
        </w:rPr>
      </w:pPr>
      <w:r w:rsidRPr="007C5887">
        <w:rPr>
          <w:b/>
          <w:lang w:val="es-ES"/>
        </w:rPr>
        <w:t>2/18.</w:t>
      </w:r>
      <w:r w:rsidRPr="007C5887">
        <w:rPr>
          <w:b/>
          <w:lang w:val="es-ES"/>
        </w:rPr>
        <w:tab/>
        <w:t>Elementos de orientación metodológica para la det</w:t>
      </w:r>
      <w:r w:rsidR="003F010D" w:rsidRPr="007C5887">
        <w:rPr>
          <w:b/>
          <w:lang w:val="es-ES"/>
        </w:rPr>
        <w:t>ermin</w:t>
      </w:r>
      <w:r w:rsidRPr="007C5887">
        <w:rPr>
          <w:b/>
          <w:lang w:val="es-ES"/>
        </w:rPr>
        <w:t xml:space="preserve">ación, el seguimiento y la evaluación de la contribución de los pueblos indígenas y las comunidades locales a la consecución del Plan Estratégico para la Diversidad Biológica 2011-2020 y </w:t>
      </w:r>
      <w:r w:rsidR="004245BC" w:rsidRPr="007C5887">
        <w:rPr>
          <w:b/>
          <w:lang w:val="es-ES"/>
        </w:rPr>
        <w:t xml:space="preserve">el logro de </w:t>
      </w:r>
      <w:r w:rsidRPr="007C5887">
        <w:rPr>
          <w:b/>
          <w:lang w:val="es-ES"/>
        </w:rPr>
        <w:t>las Metas de Aichi para la Diversidad Biológica</w:t>
      </w:r>
    </w:p>
    <w:p w:rsidR="00AA6C17" w:rsidRPr="007C5887" w:rsidRDefault="00AA6C17" w:rsidP="00AA6C17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09"/>
        <w:rPr>
          <w:i/>
          <w:kern w:val="22"/>
          <w:szCs w:val="22"/>
          <w:lang w:val="es-ES"/>
        </w:rPr>
      </w:pPr>
      <w:bookmarkStart w:id="1" w:name="_GoBack"/>
      <w:r w:rsidRPr="007C5887">
        <w:rPr>
          <w:i/>
          <w:kern w:val="22"/>
          <w:szCs w:val="22"/>
          <w:lang w:val="es-ES"/>
        </w:rPr>
        <w:t>El Órgano Subsidiario sobre la Aplicación</w:t>
      </w:r>
    </w:p>
    <w:p w:rsidR="00AA6C17" w:rsidRPr="007C5887" w:rsidRDefault="00AA6C17" w:rsidP="00AA6C17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kern w:val="22"/>
          <w:lang w:val="es-ES"/>
        </w:rPr>
      </w:pPr>
      <w:r w:rsidRPr="007C5887">
        <w:rPr>
          <w:i/>
          <w:kern w:val="22"/>
          <w:szCs w:val="22"/>
          <w:lang w:val="es-ES"/>
        </w:rPr>
        <w:t>Recomienda</w:t>
      </w:r>
      <w:r w:rsidRPr="007C5887">
        <w:rPr>
          <w:kern w:val="22"/>
          <w:szCs w:val="22"/>
          <w:lang w:val="es-ES"/>
        </w:rPr>
        <w:t xml:space="preserve"> a la Conferencia de las Partes que en su 14</w:t>
      </w:r>
      <w:r w:rsidRPr="007C5887">
        <w:rPr>
          <w:kern w:val="22"/>
          <w:szCs w:val="22"/>
          <w:vertAlign w:val="superscript"/>
          <w:lang w:val="es-ES"/>
        </w:rPr>
        <w:t>a</w:t>
      </w:r>
      <w:r w:rsidRPr="007C5887">
        <w:rPr>
          <w:kern w:val="22"/>
          <w:szCs w:val="22"/>
          <w:lang w:val="es-ES"/>
        </w:rPr>
        <w:t xml:space="preserve"> reunión adopte una decisión del siguiente tenor:</w:t>
      </w:r>
    </w:p>
    <w:p w:rsidR="00396A44" w:rsidRPr="007C5887" w:rsidRDefault="00396A44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firstLine="720"/>
        <w:rPr>
          <w:i/>
          <w:kern w:val="22"/>
          <w:szCs w:val="24"/>
          <w:lang w:val="es-ES"/>
        </w:rPr>
      </w:pPr>
      <w:r w:rsidRPr="007C5887">
        <w:rPr>
          <w:i/>
          <w:kern w:val="22"/>
          <w:szCs w:val="24"/>
          <w:lang w:val="es-ES"/>
        </w:rPr>
        <w:t>La Conferencia de las Partes,</w:t>
      </w:r>
    </w:p>
    <w:bookmarkEnd w:id="1"/>
    <w:p w:rsidR="00396A44" w:rsidRPr="007C5887" w:rsidRDefault="00396A44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kern w:val="22"/>
          <w:szCs w:val="24"/>
          <w:lang w:val="es-ES"/>
        </w:rPr>
      </w:pPr>
      <w:r w:rsidRPr="007C5887">
        <w:rPr>
          <w:i/>
          <w:kern w:val="22"/>
          <w:szCs w:val="24"/>
          <w:lang w:val="es-ES"/>
        </w:rPr>
        <w:t>Recordando</w:t>
      </w:r>
      <w:r w:rsidRPr="007C5887">
        <w:rPr>
          <w:kern w:val="22"/>
          <w:szCs w:val="24"/>
          <w:lang w:val="es-ES"/>
        </w:rPr>
        <w:t xml:space="preserve"> la decisión XIII/20, en la que la Conferencia de las Partes pidió al Secretario Ejecutivo que elaborase elementos de orientación metodológica relativos a las contribuciones de los pueblos indígenas y las comunidades locales,</w:t>
      </w:r>
    </w:p>
    <w:p w:rsidR="00396A44" w:rsidRPr="007C5887" w:rsidRDefault="00396A4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rFonts w:ascii="MS Mincho" w:eastAsia="MS Mincho"/>
          <w:kern w:val="22"/>
          <w:lang w:val="es-ES"/>
        </w:rPr>
      </w:pPr>
      <w:r w:rsidRPr="007C5887">
        <w:rPr>
          <w:i/>
          <w:lang w:val="es-ES"/>
        </w:rPr>
        <w:t>Reconociendo</w:t>
      </w:r>
      <w:r w:rsidRPr="007C5887">
        <w:rPr>
          <w:lang w:val="es-ES"/>
        </w:rPr>
        <w:t xml:space="preserve"> la importancia de las acciones colectivas </w:t>
      </w:r>
      <w:r w:rsidR="00371A4A" w:rsidRPr="007C5887">
        <w:rPr>
          <w:lang w:val="es-ES"/>
        </w:rPr>
        <w:t xml:space="preserve">holísticas </w:t>
      </w:r>
      <w:r w:rsidRPr="007C5887">
        <w:rPr>
          <w:lang w:val="es-ES"/>
        </w:rPr>
        <w:t xml:space="preserve">de los pueblos indígenas y las comunidades locales </w:t>
      </w:r>
      <w:r w:rsidR="00371A4A" w:rsidRPr="007C5887">
        <w:rPr>
          <w:lang w:val="es-ES"/>
        </w:rPr>
        <w:t>para</w:t>
      </w:r>
      <w:r w:rsidRPr="007C5887">
        <w:rPr>
          <w:lang w:val="es-ES"/>
        </w:rPr>
        <w:t xml:space="preserve"> el logro de los objetivos del Plan Estratégico para la Diversidad Biológica 2011-2020</w:t>
      </w:r>
      <w:r w:rsidRPr="007C5887">
        <w:rPr>
          <w:rStyle w:val="FootnoteReference"/>
          <w:kern w:val="22"/>
          <w:lang w:val="es-ES"/>
        </w:rPr>
        <w:footnoteReference w:id="1"/>
      </w:r>
      <w:r w:rsidRPr="007C5887">
        <w:rPr>
          <w:kern w:val="22"/>
          <w:lang w:val="es-ES"/>
        </w:rPr>
        <w:t xml:space="preserve"> </w:t>
      </w:r>
      <w:r w:rsidRPr="007C5887">
        <w:rPr>
          <w:lang w:val="es-ES"/>
        </w:rPr>
        <w:t>y las Metas de Aichi para la Diversidad Biológica dentro de un marco de derechos, principios y valores</w:t>
      </w:r>
      <w:r w:rsidR="003F010D" w:rsidRPr="007C5887">
        <w:rPr>
          <w:lang w:val="es-ES"/>
        </w:rPr>
        <w:t xml:space="preserve"> éticos</w:t>
      </w:r>
      <w:r w:rsidRPr="007C5887">
        <w:rPr>
          <w:lang w:val="es-ES"/>
        </w:rPr>
        <w:t xml:space="preserve">, gobernanza y </w:t>
      </w:r>
      <w:r w:rsidR="00F657A9" w:rsidRPr="007C5887">
        <w:rPr>
          <w:lang w:val="es-ES"/>
        </w:rPr>
        <w:t>roles</w:t>
      </w:r>
      <w:r w:rsidRPr="007C5887">
        <w:rPr>
          <w:lang w:val="es-ES"/>
        </w:rPr>
        <w:t xml:space="preserve"> diferenciad</w:t>
      </w:r>
      <w:r w:rsidR="00F657A9" w:rsidRPr="007C5887">
        <w:rPr>
          <w:lang w:val="es-ES"/>
        </w:rPr>
        <w:t>o</w:t>
      </w:r>
      <w:r w:rsidRPr="007C5887">
        <w:rPr>
          <w:lang w:val="es-ES"/>
        </w:rPr>
        <w:t>s de mujeres y hombres en los pueblos indígenas y las comunidades locales</w:t>
      </w:r>
      <w:r w:rsidRPr="007C5887">
        <w:rPr>
          <w:kern w:val="22"/>
          <w:lang w:val="es-ES"/>
        </w:rPr>
        <w:t>;</w:t>
      </w:r>
    </w:p>
    <w:p w:rsidR="00396A44" w:rsidRPr="007C5887" w:rsidRDefault="00396A4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kern w:val="22"/>
          <w:lang w:val="es-ES"/>
        </w:rPr>
      </w:pPr>
      <w:r w:rsidRPr="007C5887">
        <w:rPr>
          <w:iCs/>
          <w:kern w:val="22"/>
          <w:lang w:val="es-ES"/>
        </w:rPr>
        <w:t>1.</w:t>
      </w:r>
      <w:r w:rsidRPr="007C5887">
        <w:rPr>
          <w:iCs/>
          <w:kern w:val="22"/>
          <w:lang w:val="es-ES"/>
        </w:rPr>
        <w:tab/>
      </w:r>
      <w:r w:rsidRPr="007C5887">
        <w:rPr>
          <w:i/>
          <w:lang w:val="es-ES"/>
        </w:rPr>
        <w:t>Acoge con satisfacción</w:t>
      </w:r>
      <w:r w:rsidRPr="007C5887">
        <w:rPr>
          <w:lang w:val="es-ES"/>
        </w:rPr>
        <w:t xml:space="preserve"> la lista indicativa y no exhaustiva de elementos de or</w:t>
      </w:r>
      <w:r w:rsidR="002B08CB" w:rsidRPr="007C5887">
        <w:rPr>
          <w:lang w:val="es-ES"/>
        </w:rPr>
        <w:t xml:space="preserve">ientación metodológica para la </w:t>
      </w:r>
      <w:r w:rsidRPr="007C5887">
        <w:rPr>
          <w:lang w:val="es-ES"/>
        </w:rPr>
        <w:t>det</w:t>
      </w:r>
      <w:r w:rsidR="002B08CB" w:rsidRPr="007C5887">
        <w:rPr>
          <w:lang w:val="es-ES"/>
        </w:rPr>
        <w:t>erm</w:t>
      </w:r>
      <w:r w:rsidRPr="007C5887">
        <w:rPr>
          <w:lang w:val="es-ES"/>
        </w:rPr>
        <w:t>i</w:t>
      </w:r>
      <w:r w:rsidR="002B08CB" w:rsidRPr="007C5887">
        <w:rPr>
          <w:lang w:val="es-ES"/>
        </w:rPr>
        <w:t>n</w:t>
      </w:r>
      <w:r w:rsidRPr="007C5887">
        <w:rPr>
          <w:lang w:val="es-ES"/>
        </w:rPr>
        <w:t xml:space="preserve">ación, el seguimiento y la evaluación de la contribución de los pueblos indígenas y las comunidades locales a la consecución de los objetivos del Plan Estratégico para la Diversidad Biológica 2011-2020 y </w:t>
      </w:r>
      <w:r w:rsidR="004245BC" w:rsidRPr="007C5887">
        <w:rPr>
          <w:lang w:val="es-ES"/>
        </w:rPr>
        <w:t xml:space="preserve">el logro de </w:t>
      </w:r>
      <w:r w:rsidRPr="007C5887">
        <w:rPr>
          <w:lang w:val="es-ES"/>
        </w:rPr>
        <w:t>las Metas de Aichi para la Diversidad Biológica, que figura en el anexo de la presente decisión</w:t>
      </w:r>
      <w:r w:rsidRPr="007C5887">
        <w:rPr>
          <w:i/>
          <w:kern w:val="22"/>
          <w:lang w:val="es-ES"/>
        </w:rPr>
        <w:t>;</w:t>
      </w:r>
    </w:p>
    <w:p w:rsidR="00396A44" w:rsidRPr="007C5887" w:rsidRDefault="00396A4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kern w:val="22"/>
          <w:lang w:val="es-ES"/>
        </w:rPr>
      </w:pPr>
      <w:r w:rsidRPr="007C5887">
        <w:rPr>
          <w:iCs/>
          <w:kern w:val="22"/>
          <w:lang w:val="es-ES"/>
        </w:rPr>
        <w:t>2.</w:t>
      </w:r>
      <w:r w:rsidRPr="007C5887">
        <w:rPr>
          <w:iCs/>
          <w:kern w:val="22"/>
          <w:lang w:val="es-ES"/>
        </w:rPr>
        <w:tab/>
      </w:r>
      <w:r w:rsidRPr="007C5887">
        <w:rPr>
          <w:i/>
          <w:lang w:val="es-ES"/>
        </w:rPr>
        <w:t>Invita</w:t>
      </w:r>
      <w:r w:rsidRPr="007C5887">
        <w:rPr>
          <w:lang w:val="es-ES"/>
        </w:rPr>
        <w:t xml:space="preserve"> a las Partes, otros Gobiernos y organizaciones de interesados </w:t>
      </w:r>
      <w:r w:rsidR="00D20BAF" w:rsidRPr="007C5887">
        <w:rPr>
          <w:lang w:val="es-ES"/>
        </w:rPr>
        <w:t xml:space="preserve">directos </w:t>
      </w:r>
      <w:r w:rsidRPr="007C5887">
        <w:rPr>
          <w:lang w:val="es-ES"/>
        </w:rPr>
        <w:t xml:space="preserve">pertinentes a que hagan uso de los principios rectores </w:t>
      </w:r>
      <w:r w:rsidR="004245BC" w:rsidRPr="007C5887">
        <w:rPr>
          <w:lang w:val="es-ES"/>
        </w:rPr>
        <w:t>para</w:t>
      </w:r>
      <w:r w:rsidRPr="007C5887">
        <w:rPr>
          <w:lang w:val="es-ES"/>
        </w:rPr>
        <w:t xml:space="preserve"> la evaluación de la contribución de la acci</w:t>
      </w:r>
      <w:r w:rsidR="004245BC" w:rsidRPr="007C5887">
        <w:rPr>
          <w:lang w:val="es-ES"/>
        </w:rPr>
        <w:t>ó</w:t>
      </w:r>
      <w:r w:rsidRPr="007C5887">
        <w:rPr>
          <w:lang w:val="es-ES"/>
        </w:rPr>
        <w:t>n colectiva de los pueblos indígenas y las comunidades locales que figuran en el anexo de la decisión XIII/20, y consideren utilizar la lista indicativa y no exhaustiva de elementos de orientació</w:t>
      </w:r>
      <w:r w:rsidR="00D20BAF" w:rsidRPr="007C5887">
        <w:rPr>
          <w:lang w:val="es-ES"/>
        </w:rPr>
        <w:t>n metodológica</w:t>
      </w:r>
      <w:r w:rsidRPr="007C5887">
        <w:rPr>
          <w:lang w:val="es-ES"/>
        </w:rPr>
        <w:t xml:space="preserve"> que figura en el anexo de la presente decisión al diseñar y aplicar enfoques metodológicos para evaluar la contribución de los pueblos indígenas y las comunidades locales a la consecución de los objetivos del Plan Estratégico para la Diversidad Biológica 2011-2020 y </w:t>
      </w:r>
      <w:r w:rsidR="00D20BAF" w:rsidRPr="007C5887">
        <w:rPr>
          <w:lang w:val="es-ES"/>
        </w:rPr>
        <w:t xml:space="preserve">el logro </w:t>
      </w:r>
      <w:r w:rsidRPr="007C5887">
        <w:rPr>
          <w:lang w:val="es-ES"/>
        </w:rPr>
        <w:t>de las Metas de Aichi para la Diversidad Biológica y al presentar informes a través del mecanismo de presentación de informes financieros</w:t>
      </w:r>
      <w:r w:rsidRPr="007C5887">
        <w:rPr>
          <w:kern w:val="22"/>
          <w:lang w:val="es-ES"/>
        </w:rPr>
        <w:t>.</w:t>
      </w:r>
    </w:p>
    <w:p w:rsidR="00396A44" w:rsidRPr="007C5887" w:rsidRDefault="00396A44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120"/>
        <w:jc w:val="center"/>
        <w:rPr>
          <w:b/>
          <w:kern w:val="22"/>
          <w:lang w:val="es-ES"/>
        </w:rPr>
      </w:pPr>
      <w:r w:rsidRPr="007C5887">
        <w:rPr>
          <w:b/>
          <w:i/>
          <w:kern w:val="22"/>
          <w:lang w:val="es-ES"/>
        </w:rPr>
        <w:lastRenderedPageBreak/>
        <w:t>Anexo</w:t>
      </w:r>
    </w:p>
    <w:p w:rsidR="00396A44" w:rsidRPr="007C5887" w:rsidRDefault="00396A44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rPr>
          <w:b/>
          <w:kern w:val="22"/>
          <w:lang w:val="es-ES"/>
        </w:rPr>
      </w:pPr>
      <w:r w:rsidRPr="007C5887">
        <w:rPr>
          <w:b/>
          <w:kern w:val="22"/>
          <w:lang w:val="es-ES"/>
        </w:rPr>
        <w:t>LISTA DE ELEMENTOS DE ORIENTACIÓN METODOLÓGICA</w:t>
      </w:r>
    </w:p>
    <w:p w:rsidR="00396A44" w:rsidRPr="007C5887" w:rsidRDefault="00396A4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rPr>
          <w:i/>
          <w:kern w:val="22"/>
          <w:lang w:val="es-ES"/>
        </w:rPr>
      </w:pPr>
      <w:r w:rsidRPr="007C5887">
        <w:rPr>
          <w:lang w:val="es-ES"/>
        </w:rPr>
        <w:t xml:space="preserve">Se alienta </w:t>
      </w:r>
      <w:r w:rsidR="004245BC" w:rsidRPr="007C5887">
        <w:rPr>
          <w:lang w:val="es-ES"/>
        </w:rPr>
        <w:t>el uso de</w:t>
      </w:r>
      <w:r w:rsidRPr="007C5887">
        <w:rPr>
          <w:lang w:val="es-ES"/>
        </w:rPr>
        <w:t xml:space="preserve"> los principios rectores recogidos en la decisión XIII/20 de la Conferencia de las Partes en el Convenio sobre la Diversidad Biológica en los </w:t>
      </w:r>
      <w:r w:rsidR="00CE32E7" w:rsidRPr="007C5887">
        <w:rPr>
          <w:lang w:val="es-ES"/>
        </w:rPr>
        <w:t xml:space="preserve">enfoques metodológicos para la </w:t>
      </w:r>
      <w:r w:rsidRPr="007C5887">
        <w:rPr>
          <w:lang w:val="es-ES"/>
        </w:rPr>
        <w:t>det</w:t>
      </w:r>
      <w:r w:rsidR="00CE32E7" w:rsidRPr="007C5887">
        <w:rPr>
          <w:lang w:val="es-ES"/>
        </w:rPr>
        <w:t>erm</w:t>
      </w:r>
      <w:r w:rsidRPr="007C5887">
        <w:rPr>
          <w:lang w:val="es-ES"/>
        </w:rPr>
        <w:t>i</w:t>
      </w:r>
      <w:r w:rsidR="00CE32E7" w:rsidRPr="007C5887">
        <w:rPr>
          <w:lang w:val="es-ES"/>
        </w:rPr>
        <w:t>n</w:t>
      </w:r>
      <w:r w:rsidRPr="007C5887">
        <w:rPr>
          <w:lang w:val="es-ES"/>
        </w:rPr>
        <w:t xml:space="preserve">ación, el seguimiento y la evaluación de la contribución de los pueblos indígenas y las comunidades locales a la consecución de los objetivos del Plan Estratégico para la Diversidad Biológica 2011-2020 y </w:t>
      </w:r>
      <w:r w:rsidR="00CE32E7" w:rsidRPr="007C5887">
        <w:rPr>
          <w:lang w:val="es-ES"/>
        </w:rPr>
        <w:t xml:space="preserve">el logro </w:t>
      </w:r>
      <w:r w:rsidRPr="007C5887">
        <w:rPr>
          <w:lang w:val="es-ES"/>
        </w:rPr>
        <w:t xml:space="preserve">de las Metas de Aichi para la Diversidad Biológica, </w:t>
      </w:r>
      <w:r w:rsidR="00CE32E7" w:rsidRPr="007C5887">
        <w:rPr>
          <w:lang w:val="es-ES"/>
        </w:rPr>
        <w:t>para</w:t>
      </w:r>
      <w:r w:rsidRPr="007C5887">
        <w:rPr>
          <w:lang w:val="es-ES"/>
        </w:rPr>
        <w:t xml:space="preserve"> enmarcar y orientar el diseño y la aplicación de tales metodologías, y se invita a considerar la siguiente lista indicativa y no exhaustiva de elementos metodológicos en su diseño y aplicación</w:t>
      </w:r>
      <w:r w:rsidRPr="007C5887">
        <w:rPr>
          <w:kern w:val="22"/>
          <w:lang w:val="es-ES"/>
        </w:rPr>
        <w:t>: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Reconocer e incluir plenamente los conocimientos tradicionales, garantizando la complementariedad de los sistemas de conocimientos, la creación de condiciones para un diálogo eficaz entre los sistemas de conocimientos, incluida la ciencia, y procesos que permitan la creación conjunta de conocimiento desde el principio;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Incluir una amplia variedad de enfoques metodológicos según lo requiera la especificidad de los contextos, teniendo en cuenta la diversidad de circunstancias nacionales y la diversidad cultural de los pueblos indígenas y las comunidades locales, y aplicarlos de manera adaptada a las circunstancias locales;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Reconocer las múltiples perspectivas y cosmovisiones relacionadas con los valores, incluidos los valores sociales, económicos, culturales y espirituales, vinculadas a la conservación y la utilización sostenible de la diversidad biológica, y reflejarlas en la elección de enfoques e instrumentos metodológicos;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Utilizar métodos combinados para la investigación y otras metodologías que puedan funcionar con distintos tipos de datos, en particular la combinación de información y datos cuantitativos y cualitativos;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Aplicar enfoques, procesos y herramientas de múltiples escalas para captar y evaluar la situación a nivel local y, al mismo tiempo, considerar los vínculos en el paisaje y con marcos de políticas nacionales y subnacionales;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 xml:space="preserve">Probar y perfeccionar enfoques metodológicos mediante proyectos </w:t>
      </w:r>
      <w:r w:rsidR="004245BC" w:rsidRPr="007C5887">
        <w:rPr>
          <w:kern w:val="22"/>
          <w:szCs w:val="24"/>
          <w:lang w:val="es-ES"/>
        </w:rPr>
        <w:t>experimentales</w:t>
      </w:r>
      <w:r w:rsidRPr="007C5887">
        <w:rPr>
          <w:kern w:val="22"/>
          <w:szCs w:val="24"/>
          <w:lang w:val="es-ES"/>
        </w:rPr>
        <w:t xml:space="preserve">, reconociendo que se trata de un campo </w:t>
      </w:r>
      <w:r w:rsidR="00F657A9" w:rsidRPr="007C5887">
        <w:rPr>
          <w:kern w:val="22"/>
          <w:szCs w:val="24"/>
          <w:lang w:val="es-ES"/>
        </w:rPr>
        <w:t>nuevo</w:t>
      </w:r>
      <w:r w:rsidRPr="007C5887">
        <w:rPr>
          <w:kern w:val="22"/>
          <w:szCs w:val="24"/>
          <w:lang w:val="es-ES"/>
        </w:rPr>
        <w:t xml:space="preserve"> y que es necesario desarrollarlos </w:t>
      </w:r>
      <w:r w:rsidR="00F657A9" w:rsidRPr="007C5887">
        <w:rPr>
          <w:kern w:val="22"/>
          <w:szCs w:val="24"/>
          <w:lang w:val="es-ES"/>
        </w:rPr>
        <w:t>teniendo en cuenta las</w:t>
      </w:r>
      <w:r w:rsidRPr="007C5887">
        <w:rPr>
          <w:kern w:val="22"/>
          <w:szCs w:val="24"/>
          <w:lang w:val="es-ES"/>
        </w:rPr>
        <w:t xml:space="preserve"> lecciones </w:t>
      </w:r>
      <w:r w:rsidR="00F657A9" w:rsidRPr="007C5887">
        <w:rPr>
          <w:kern w:val="22"/>
          <w:szCs w:val="24"/>
          <w:lang w:val="es-ES"/>
        </w:rPr>
        <w:t>apr</w:t>
      </w:r>
      <w:r w:rsidRPr="007C5887">
        <w:rPr>
          <w:kern w:val="22"/>
          <w:szCs w:val="24"/>
          <w:lang w:val="es-ES"/>
        </w:rPr>
        <w:t>e</w:t>
      </w:r>
      <w:r w:rsidR="00F657A9" w:rsidRPr="007C5887">
        <w:rPr>
          <w:kern w:val="22"/>
          <w:szCs w:val="24"/>
          <w:lang w:val="es-ES"/>
        </w:rPr>
        <w:t>ndi</w:t>
      </w:r>
      <w:r w:rsidRPr="007C5887">
        <w:rPr>
          <w:kern w:val="22"/>
          <w:szCs w:val="24"/>
          <w:lang w:val="es-ES"/>
        </w:rPr>
        <w:t>das de la experiencia y de una diversidad de contextos;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Garantizar la participación plena y efectiva de los pueblos indígenas y las comunidades locales en todo el proceso de elaboración y aplicación de los enfoques, presta</w:t>
      </w:r>
      <w:r w:rsidR="00C0224B" w:rsidRPr="007C5887">
        <w:rPr>
          <w:kern w:val="22"/>
          <w:szCs w:val="24"/>
          <w:lang w:val="es-ES"/>
        </w:rPr>
        <w:t>n</w:t>
      </w:r>
      <w:r w:rsidRPr="007C5887">
        <w:rPr>
          <w:kern w:val="22"/>
          <w:szCs w:val="24"/>
          <w:lang w:val="es-ES"/>
        </w:rPr>
        <w:t>do especial atención a la participación de las mujeres, los jóvenes, l</w:t>
      </w:r>
      <w:r w:rsidR="00F657A9" w:rsidRPr="007C5887">
        <w:rPr>
          <w:kern w:val="22"/>
          <w:szCs w:val="24"/>
          <w:lang w:val="es-ES"/>
        </w:rPr>
        <w:t>o</w:t>
      </w:r>
      <w:r w:rsidRPr="007C5887">
        <w:rPr>
          <w:kern w:val="22"/>
          <w:szCs w:val="24"/>
          <w:lang w:val="es-ES"/>
        </w:rPr>
        <w:t xml:space="preserve">s </w:t>
      </w:r>
      <w:r w:rsidR="00F657A9" w:rsidRPr="007C5887">
        <w:rPr>
          <w:kern w:val="22"/>
          <w:szCs w:val="24"/>
          <w:lang w:val="es-ES"/>
        </w:rPr>
        <w:t>anci</w:t>
      </w:r>
      <w:r w:rsidR="00A56932" w:rsidRPr="007C5887">
        <w:rPr>
          <w:kern w:val="22"/>
          <w:szCs w:val="24"/>
          <w:lang w:val="es-ES"/>
        </w:rPr>
        <w:t>a</w:t>
      </w:r>
      <w:r w:rsidR="00F657A9" w:rsidRPr="007C5887">
        <w:rPr>
          <w:kern w:val="22"/>
          <w:szCs w:val="24"/>
          <w:lang w:val="es-ES"/>
        </w:rPr>
        <w:t>n</w:t>
      </w:r>
      <w:r w:rsidR="00A56932" w:rsidRPr="007C5887">
        <w:rPr>
          <w:kern w:val="22"/>
          <w:szCs w:val="24"/>
          <w:lang w:val="es-ES"/>
        </w:rPr>
        <w:t>o</w:t>
      </w:r>
      <w:r w:rsidR="00F657A9" w:rsidRPr="007C5887">
        <w:rPr>
          <w:kern w:val="22"/>
          <w:szCs w:val="24"/>
          <w:lang w:val="es-ES"/>
        </w:rPr>
        <w:t>s</w:t>
      </w:r>
      <w:r w:rsidRPr="007C5887">
        <w:rPr>
          <w:kern w:val="22"/>
          <w:szCs w:val="24"/>
          <w:lang w:val="es-ES"/>
        </w:rPr>
        <w:t xml:space="preserve"> y demás grupos que forman parte de las comunidades;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 xml:space="preserve">Fomentar las interacciones intergeneracionales en los procesos de evaluación, dando participación a los jóvenes, </w:t>
      </w:r>
      <w:r w:rsidR="00F657A9" w:rsidRPr="007C5887">
        <w:rPr>
          <w:kern w:val="22"/>
          <w:szCs w:val="24"/>
          <w:lang w:val="es-ES"/>
        </w:rPr>
        <w:t>los ancianos</w:t>
      </w:r>
      <w:r w:rsidRPr="007C5887">
        <w:rPr>
          <w:kern w:val="22"/>
          <w:szCs w:val="24"/>
          <w:lang w:val="es-ES"/>
        </w:rPr>
        <w:t xml:space="preserve"> y otros grupos, para estimular el aprendizaje y contribuir a proteger y promover la transferencia intergeneracional de las innovaciones, las prácticas y los conocimientos tradicionales;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Incluir en las evaluaciones el análisis de los roles diferenciados en función de género y explorar oportunidades y condiciones para fomentar la igualdad de género;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Reconocer que las acciones colectivas están relacionadas con la utilización consuetudinaria sostenible y que los resultados pueden ser amplios, abarcando cuestiones tales como los medios de vida y la seguridad alimentaria, así como el bienestar físico y mental;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lastRenderedPageBreak/>
        <w:t>Procurar contribuir al reconocimiento de derechos, especialmente la tenencia de la tierra</w:t>
      </w:r>
      <w:r w:rsidRPr="007C5887">
        <w:rPr>
          <w:rStyle w:val="FootnoteReference"/>
          <w:rFonts w:eastAsia="MS Gothic"/>
          <w:kern w:val="22"/>
          <w:szCs w:val="24"/>
          <w:lang w:val="es-ES"/>
        </w:rPr>
        <w:footnoteReference w:id="2"/>
      </w:r>
      <w:r w:rsidRPr="007C5887">
        <w:rPr>
          <w:kern w:val="22"/>
          <w:szCs w:val="24"/>
          <w:lang w:val="es-ES"/>
        </w:rPr>
        <w:t xml:space="preserve"> </w:t>
      </w:r>
      <w:r w:rsidRPr="007C5887">
        <w:rPr>
          <w:szCs w:val="24"/>
          <w:lang w:val="es-ES"/>
        </w:rPr>
        <w:t>y el acceso a los recursos consuetudinarios</w:t>
      </w:r>
      <w:r w:rsidRPr="007C5887">
        <w:rPr>
          <w:rStyle w:val="FootnoteReference"/>
          <w:rFonts w:eastAsia="MS Gothic"/>
          <w:kern w:val="22"/>
          <w:szCs w:val="24"/>
          <w:lang w:val="es-ES"/>
        </w:rPr>
        <w:footnoteReference w:id="3"/>
      </w:r>
      <w:r w:rsidRPr="007C5887">
        <w:rPr>
          <w:kern w:val="22"/>
          <w:szCs w:val="24"/>
          <w:lang w:val="es-ES"/>
        </w:rPr>
        <w:t xml:space="preserve"> </w:t>
      </w:r>
      <w:r w:rsidRPr="007C5887">
        <w:rPr>
          <w:szCs w:val="24"/>
          <w:lang w:val="es-ES"/>
        </w:rPr>
        <w:t>y su influencia en la eficacia de la</w:t>
      </w:r>
      <w:r w:rsidR="00F657A9" w:rsidRPr="007C5887">
        <w:rPr>
          <w:szCs w:val="24"/>
          <w:lang w:val="es-ES"/>
        </w:rPr>
        <w:t>s</w:t>
      </w:r>
      <w:r w:rsidRPr="007C5887">
        <w:rPr>
          <w:szCs w:val="24"/>
          <w:lang w:val="es-ES"/>
        </w:rPr>
        <w:t xml:space="preserve"> acci</w:t>
      </w:r>
      <w:r w:rsidR="00F657A9" w:rsidRPr="007C5887">
        <w:rPr>
          <w:szCs w:val="24"/>
          <w:lang w:val="es-ES"/>
        </w:rPr>
        <w:t>o</w:t>
      </w:r>
      <w:r w:rsidRPr="007C5887">
        <w:rPr>
          <w:szCs w:val="24"/>
          <w:lang w:val="es-ES"/>
        </w:rPr>
        <w:t>n</w:t>
      </w:r>
      <w:r w:rsidR="00F657A9" w:rsidRPr="007C5887">
        <w:rPr>
          <w:szCs w:val="24"/>
          <w:lang w:val="es-ES"/>
        </w:rPr>
        <w:t>e</w:t>
      </w:r>
      <w:r w:rsidR="00C0224B" w:rsidRPr="007C5887">
        <w:rPr>
          <w:szCs w:val="24"/>
          <w:lang w:val="es-ES"/>
        </w:rPr>
        <w:t>s</w:t>
      </w:r>
      <w:r w:rsidRPr="007C5887">
        <w:rPr>
          <w:szCs w:val="24"/>
          <w:lang w:val="es-ES"/>
        </w:rPr>
        <w:t xml:space="preserve"> colectiva</w:t>
      </w:r>
      <w:r w:rsidR="00F657A9" w:rsidRPr="007C5887">
        <w:rPr>
          <w:szCs w:val="24"/>
          <w:lang w:val="es-ES"/>
        </w:rPr>
        <w:t>s</w:t>
      </w:r>
      <w:r w:rsidRPr="007C5887">
        <w:rPr>
          <w:szCs w:val="24"/>
          <w:lang w:val="es-ES"/>
        </w:rPr>
        <w:t>, así como mediante el empoderamiento comunitario para fomentar la seguridad de la tenencia y el acceso</w:t>
      </w:r>
      <w:r w:rsidRPr="007C5887">
        <w:rPr>
          <w:kern w:val="22"/>
          <w:szCs w:val="24"/>
          <w:lang w:val="es-ES"/>
        </w:rPr>
        <w:t>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Incluir otros elementos pertinentes de las evaluaciones de la gobernanza, concretamente la función, las características y la vitalidad de los sistemas de gobernanza consuetudinarios;</w:t>
      </w:r>
    </w:p>
    <w:p w:rsidR="00396A44" w:rsidRPr="007C5887" w:rsidRDefault="00275DAC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Incluir</w:t>
      </w:r>
      <w:r w:rsidR="00C0224B" w:rsidRPr="007C5887">
        <w:rPr>
          <w:kern w:val="22"/>
          <w:szCs w:val="24"/>
          <w:lang w:val="es-ES"/>
        </w:rPr>
        <w:t>,</w:t>
      </w:r>
      <w:r w:rsidRPr="007C5887">
        <w:rPr>
          <w:kern w:val="22"/>
          <w:szCs w:val="24"/>
          <w:lang w:val="es-ES"/>
        </w:rPr>
        <w:t xml:space="preserve"> en las evaluaciones</w:t>
      </w:r>
      <w:r w:rsidR="00C0224B" w:rsidRPr="007C5887">
        <w:rPr>
          <w:kern w:val="22"/>
          <w:szCs w:val="24"/>
          <w:lang w:val="es-ES"/>
        </w:rPr>
        <w:t>,</w:t>
      </w:r>
      <w:r w:rsidRPr="007C5887">
        <w:rPr>
          <w:kern w:val="22"/>
          <w:szCs w:val="24"/>
          <w:lang w:val="es-ES"/>
        </w:rPr>
        <w:t xml:space="preserve"> la </w:t>
      </w:r>
      <w:r w:rsidR="00396A44" w:rsidRPr="007C5887">
        <w:rPr>
          <w:kern w:val="22"/>
          <w:szCs w:val="24"/>
          <w:lang w:val="es-ES"/>
        </w:rPr>
        <w:t>det</w:t>
      </w:r>
      <w:r w:rsidRPr="007C5887">
        <w:rPr>
          <w:kern w:val="22"/>
          <w:szCs w:val="24"/>
          <w:lang w:val="es-ES"/>
        </w:rPr>
        <w:t>erm</w:t>
      </w:r>
      <w:r w:rsidR="00396A44" w:rsidRPr="007C5887">
        <w:rPr>
          <w:kern w:val="22"/>
          <w:szCs w:val="24"/>
          <w:lang w:val="es-ES"/>
        </w:rPr>
        <w:t>i</w:t>
      </w:r>
      <w:r w:rsidRPr="007C5887">
        <w:rPr>
          <w:kern w:val="22"/>
          <w:szCs w:val="24"/>
          <w:lang w:val="es-ES"/>
        </w:rPr>
        <w:t>n</w:t>
      </w:r>
      <w:r w:rsidR="00396A44" w:rsidRPr="007C5887">
        <w:rPr>
          <w:kern w:val="22"/>
          <w:szCs w:val="24"/>
          <w:lang w:val="es-ES"/>
        </w:rPr>
        <w:t xml:space="preserve">ación de los conflictos reales o potenciales que afecten a las acciones colectivas, utilizar los procesos de evaluación para fomentar el diálogo entre grupos que puedan tener intereses </w:t>
      </w:r>
      <w:r w:rsidR="00C0224B" w:rsidRPr="007C5887">
        <w:rPr>
          <w:kern w:val="22"/>
          <w:szCs w:val="24"/>
          <w:lang w:val="es-ES"/>
        </w:rPr>
        <w:t>opuestos</w:t>
      </w:r>
      <w:r w:rsidR="00396A44" w:rsidRPr="007C5887">
        <w:rPr>
          <w:kern w:val="22"/>
          <w:szCs w:val="24"/>
          <w:lang w:val="es-ES"/>
        </w:rPr>
        <w:t xml:space="preserve">, y explorar </w:t>
      </w:r>
      <w:r w:rsidR="00855DEF" w:rsidRPr="007C5887">
        <w:rPr>
          <w:kern w:val="22"/>
          <w:szCs w:val="24"/>
          <w:lang w:val="es-ES"/>
        </w:rPr>
        <w:t>otr</w:t>
      </w:r>
      <w:r w:rsidR="00396A44" w:rsidRPr="007C5887">
        <w:rPr>
          <w:kern w:val="22"/>
          <w:szCs w:val="24"/>
          <w:lang w:val="es-ES"/>
        </w:rPr>
        <w:t>as oportunidades para resolver conflictos mediante el diálogo y la cooperación, incluido mediante mecanismos de resolución de conflictos culturalmente apropiados;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Considerar evaluaciones basadas en zonas que se centren en las tierras y los recursos que son propiedad</w:t>
      </w:r>
      <w:r w:rsidR="00855DEF" w:rsidRPr="007C5887">
        <w:rPr>
          <w:kern w:val="22"/>
          <w:szCs w:val="24"/>
          <w:lang w:val="es-ES"/>
        </w:rPr>
        <w:t xml:space="preserve"> de los</w:t>
      </w:r>
      <w:r w:rsidRPr="007C5887">
        <w:rPr>
          <w:kern w:val="22"/>
          <w:szCs w:val="24"/>
          <w:lang w:val="es-ES"/>
        </w:rPr>
        <w:t xml:space="preserve"> pueblos indígenas </w:t>
      </w:r>
      <w:r w:rsidR="00855DEF" w:rsidRPr="007C5887">
        <w:rPr>
          <w:kern w:val="22"/>
          <w:szCs w:val="24"/>
          <w:lang w:val="es-ES"/>
        </w:rPr>
        <w:t xml:space="preserve">y </w:t>
      </w:r>
      <w:r w:rsidRPr="007C5887">
        <w:rPr>
          <w:kern w:val="22"/>
          <w:szCs w:val="24"/>
          <w:lang w:val="es-ES"/>
        </w:rPr>
        <w:t>las comunidades locales</w:t>
      </w:r>
      <w:r w:rsidR="00855DEF" w:rsidRPr="007C5887">
        <w:rPr>
          <w:kern w:val="22"/>
          <w:szCs w:val="24"/>
          <w:lang w:val="es-ES"/>
        </w:rPr>
        <w:t xml:space="preserve"> o que están ocupados o son utilizados por ellos</w:t>
      </w:r>
      <w:r w:rsidRPr="007C5887">
        <w:rPr>
          <w:kern w:val="22"/>
          <w:szCs w:val="24"/>
          <w:lang w:val="es-ES"/>
        </w:rPr>
        <w:t>, y en componentes específicos de la diversidad biológica, como las especies que están presentes en los hábitats y que son objeto de acciones colectivas;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 xml:space="preserve">Considerar el uso de </w:t>
      </w:r>
      <w:r w:rsidR="00855DEF" w:rsidRPr="007C5887">
        <w:rPr>
          <w:kern w:val="22"/>
          <w:szCs w:val="24"/>
          <w:lang w:val="es-ES"/>
        </w:rPr>
        <w:t>di</w:t>
      </w:r>
      <w:r w:rsidRPr="007C5887">
        <w:rPr>
          <w:kern w:val="22"/>
          <w:szCs w:val="24"/>
          <w:lang w:val="es-ES"/>
        </w:rPr>
        <w:t>v</w:t>
      </w:r>
      <w:r w:rsidR="00855DEF" w:rsidRPr="007C5887">
        <w:rPr>
          <w:kern w:val="22"/>
          <w:szCs w:val="24"/>
          <w:lang w:val="es-ES"/>
        </w:rPr>
        <w:t>e</w:t>
      </w:r>
      <w:r w:rsidRPr="007C5887">
        <w:rPr>
          <w:kern w:val="22"/>
          <w:szCs w:val="24"/>
          <w:lang w:val="es-ES"/>
        </w:rPr>
        <w:t>r</w:t>
      </w:r>
      <w:r w:rsidR="00855DEF" w:rsidRPr="007C5887">
        <w:rPr>
          <w:kern w:val="22"/>
          <w:szCs w:val="24"/>
          <w:lang w:val="es-ES"/>
        </w:rPr>
        <w:t>s</w:t>
      </w:r>
      <w:r w:rsidRPr="007C5887">
        <w:rPr>
          <w:kern w:val="22"/>
          <w:szCs w:val="24"/>
          <w:lang w:val="es-ES"/>
        </w:rPr>
        <w:t>as formas de análisis geoespacial para las evaluaciones basadas en zonas, de manera que combine</w:t>
      </w:r>
      <w:r w:rsidR="00C0224B" w:rsidRPr="007C5887">
        <w:rPr>
          <w:kern w:val="22"/>
          <w:szCs w:val="24"/>
          <w:lang w:val="es-ES"/>
        </w:rPr>
        <w:t>n</w:t>
      </w:r>
      <w:r w:rsidRPr="007C5887">
        <w:rPr>
          <w:kern w:val="22"/>
          <w:szCs w:val="24"/>
          <w:lang w:val="es-ES"/>
        </w:rPr>
        <w:t xml:space="preserve"> herramientas tecnológicas con conocimientos tradicionales, y procurar que sean accesibles a las comunidades;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 xml:space="preserve">Promover la elaboración de conjuntos de indicadores y sistemas de </w:t>
      </w:r>
      <w:r w:rsidR="00855DEF" w:rsidRPr="007C5887">
        <w:rPr>
          <w:kern w:val="22"/>
          <w:szCs w:val="24"/>
          <w:lang w:val="es-ES"/>
        </w:rPr>
        <w:t>parámetros</w:t>
      </w:r>
      <w:r w:rsidRPr="007C5887">
        <w:rPr>
          <w:kern w:val="22"/>
          <w:szCs w:val="24"/>
          <w:lang w:val="es-ES"/>
        </w:rPr>
        <w:t xml:space="preserve"> de medición sólidos para la evaluación de la</w:t>
      </w:r>
      <w:r w:rsidR="00855DEF" w:rsidRPr="007C5887">
        <w:rPr>
          <w:kern w:val="22"/>
          <w:szCs w:val="24"/>
          <w:lang w:val="es-ES"/>
        </w:rPr>
        <w:t>s</w:t>
      </w:r>
      <w:r w:rsidRPr="007C5887">
        <w:rPr>
          <w:kern w:val="22"/>
          <w:szCs w:val="24"/>
          <w:lang w:val="es-ES"/>
        </w:rPr>
        <w:t xml:space="preserve"> acci</w:t>
      </w:r>
      <w:r w:rsidR="00855DEF" w:rsidRPr="007C5887">
        <w:rPr>
          <w:kern w:val="22"/>
          <w:szCs w:val="24"/>
          <w:lang w:val="es-ES"/>
        </w:rPr>
        <w:t>o</w:t>
      </w:r>
      <w:r w:rsidRPr="007C5887">
        <w:rPr>
          <w:kern w:val="22"/>
          <w:szCs w:val="24"/>
          <w:lang w:val="es-ES"/>
        </w:rPr>
        <w:t>n</w:t>
      </w:r>
      <w:r w:rsidR="00855DEF" w:rsidRPr="007C5887">
        <w:rPr>
          <w:kern w:val="22"/>
          <w:szCs w:val="24"/>
          <w:lang w:val="es-ES"/>
        </w:rPr>
        <w:t>es</w:t>
      </w:r>
      <w:r w:rsidRPr="007C5887">
        <w:rPr>
          <w:kern w:val="22"/>
          <w:szCs w:val="24"/>
          <w:lang w:val="es-ES"/>
        </w:rPr>
        <w:t xml:space="preserve"> colectiva</w:t>
      </w:r>
      <w:r w:rsidR="00855DEF" w:rsidRPr="007C5887">
        <w:rPr>
          <w:kern w:val="22"/>
          <w:szCs w:val="24"/>
          <w:lang w:val="es-ES"/>
        </w:rPr>
        <w:t>s</w:t>
      </w:r>
      <w:r w:rsidRPr="007C5887">
        <w:rPr>
          <w:kern w:val="22"/>
          <w:szCs w:val="24"/>
          <w:lang w:val="es-ES"/>
        </w:rPr>
        <w:t xml:space="preserve">, combinando indicadores de distintos tipos (cuantitativos y cualitativos, de proceso y resultado, individuales y agregados, etc.) e integrando indicadores basados en la cultura que reflejen los sistemas de valores de las comunidades y las particularidades de los contextos, </w:t>
      </w:r>
      <w:r w:rsidR="00A56932" w:rsidRPr="007C5887">
        <w:rPr>
          <w:kern w:val="22"/>
          <w:szCs w:val="24"/>
          <w:lang w:val="es-ES"/>
        </w:rPr>
        <w:t>ob</w:t>
      </w:r>
      <w:r w:rsidRPr="007C5887">
        <w:rPr>
          <w:kern w:val="22"/>
          <w:szCs w:val="24"/>
          <w:lang w:val="es-ES"/>
        </w:rPr>
        <w:t>se</w:t>
      </w:r>
      <w:r w:rsidR="00A56932" w:rsidRPr="007C5887">
        <w:rPr>
          <w:kern w:val="22"/>
          <w:szCs w:val="24"/>
          <w:lang w:val="es-ES"/>
        </w:rPr>
        <w:t>rv</w:t>
      </w:r>
      <w:r w:rsidRPr="007C5887">
        <w:rPr>
          <w:kern w:val="22"/>
          <w:szCs w:val="24"/>
          <w:lang w:val="es-ES"/>
        </w:rPr>
        <w:t>ando también que mantener cierta coherencia en los indicadores que se usan a lo largo del tiempo posibilitará comparaciones en escalas temporales y que establecer una base de referencia permite una mayor evaluación de</w:t>
      </w:r>
      <w:r w:rsidR="00C0224B" w:rsidRPr="007C5887">
        <w:rPr>
          <w:kern w:val="22"/>
          <w:szCs w:val="24"/>
          <w:lang w:val="es-ES"/>
        </w:rPr>
        <w:t xml:space="preserve"> los</w:t>
      </w:r>
      <w:r w:rsidRPr="007C5887">
        <w:rPr>
          <w:kern w:val="22"/>
          <w:szCs w:val="24"/>
          <w:lang w:val="es-ES"/>
        </w:rPr>
        <w:t xml:space="preserve"> cambios o</w:t>
      </w:r>
      <w:r w:rsidR="00C0224B" w:rsidRPr="007C5887">
        <w:rPr>
          <w:kern w:val="22"/>
          <w:szCs w:val="24"/>
          <w:lang w:val="es-ES"/>
        </w:rPr>
        <w:t xml:space="preserve"> las</w:t>
      </w:r>
      <w:r w:rsidRPr="007C5887">
        <w:rPr>
          <w:kern w:val="22"/>
          <w:szCs w:val="24"/>
          <w:lang w:val="es-ES"/>
        </w:rPr>
        <w:t xml:space="preserve"> tendencias;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Integrar los enfoques para analizar el estado y las tendencias del cambio en las evaluaciones, así como entender los impulsores de cambios y las condiciones para obtener resultados satisfactorios;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Avanzar en el trabajo sobre metodologías de valoración que sean pertinentes</w:t>
      </w:r>
      <w:r w:rsidR="007C5887" w:rsidRPr="007C5887">
        <w:rPr>
          <w:kern w:val="22"/>
          <w:szCs w:val="24"/>
          <w:lang w:val="es-ES"/>
        </w:rPr>
        <w:t xml:space="preserve"> y aplicables a los contextos</w:t>
      </w:r>
      <w:r w:rsidRPr="007C5887">
        <w:rPr>
          <w:kern w:val="22"/>
          <w:szCs w:val="24"/>
          <w:lang w:val="es-ES"/>
        </w:rPr>
        <w:t xml:space="preserve">, garantizando la consideración de toda la gama de valores </w:t>
      </w:r>
      <w:r w:rsidR="007C5887" w:rsidRPr="007C5887">
        <w:rPr>
          <w:kern w:val="22"/>
          <w:szCs w:val="24"/>
          <w:lang w:val="es-ES"/>
        </w:rPr>
        <w:t>de</w:t>
      </w:r>
      <w:r w:rsidRPr="007C5887">
        <w:rPr>
          <w:kern w:val="22"/>
          <w:szCs w:val="24"/>
          <w:lang w:val="es-ES"/>
        </w:rPr>
        <w:t xml:space="preserve"> la diversidad biológica para las comunidades y su</w:t>
      </w:r>
      <w:r w:rsidR="00A56932" w:rsidRPr="007C5887">
        <w:rPr>
          <w:kern w:val="22"/>
          <w:szCs w:val="24"/>
          <w:lang w:val="es-ES"/>
        </w:rPr>
        <w:t>s</w:t>
      </w:r>
      <w:r w:rsidRPr="007C5887">
        <w:rPr>
          <w:kern w:val="22"/>
          <w:szCs w:val="24"/>
          <w:lang w:val="es-ES"/>
        </w:rPr>
        <w:t xml:space="preserve"> acci</w:t>
      </w:r>
      <w:r w:rsidR="00A56932" w:rsidRPr="007C5887">
        <w:rPr>
          <w:kern w:val="22"/>
          <w:szCs w:val="24"/>
          <w:lang w:val="es-ES"/>
        </w:rPr>
        <w:t>o</w:t>
      </w:r>
      <w:r w:rsidRPr="007C5887">
        <w:rPr>
          <w:kern w:val="22"/>
          <w:szCs w:val="24"/>
          <w:lang w:val="es-ES"/>
        </w:rPr>
        <w:t>n</w:t>
      </w:r>
      <w:r w:rsidR="00A56932" w:rsidRPr="007C5887">
        <w:rPr>
          <w:kern w:val="22"/>
          <w:szCs w:val="24"/>
          <w:lang w:val="es-ES"/>
        </w:rPr>
        <w:t>es</w:t>
      </w:r>
      <w:r w:rsidRPr="007C5887">
        <w:rPr>
          <w:kern w:val="22"/>
          <w:szCs w:val="24"/>
          <w:lang w:val="es-ES"/>
        </w:rPr>
        <w:t xml:space="preserve"> colectiva</w:t>
      </w:r>
      <w:r w:rsidR="00A56932" w:rsidRPr="007C5887">
        <w:rPr>
          <w:kern w:val="22"/>
          <w:szCs w:val="24"/>
          <w:lang w:val="es-ES"/>
        </w:rPr>
        <w:t>s</w:t>
      </w:r>
      <w:r w:rsidRPr="007C5887">
        <w:rPr>
          <w:kern w:val="22"/>
          <w:szCs w:val="24"/>
          <w:lang w:val="es-ES"/>
        </w:rPr>
        <w:t>, y utilizar los resultados de la valoración para argumentar a favor de un mayor respeto, reconocimiento y apoyo de la</w:t>
      </w:r>
      <w:r w:rsidR="00A56932" w:rsidRPr="007C5887">
        <w:rPr>
          <w:kern w:val="22"/>
          <w:szCs w:val="24"/>
          <w:lang w:val="es-ES"/>
        </w:rPr>
        <w:t>s</w:t>
      </w:r>
      <w:r w:rsidRPr="007C5887">
        <w:rPr>
          <w:kern w:val="22"/>
          <w:szCs w:val="24"/>
          <w:lang w:val="es-ES"/>
        </w:rPr>
        <w:t xml:space="preserve"> acci</w:t>
      </w:r>
      <w:r w:rsidR="00A56932" w:rsidRPr="007C5887">
        <w:rPr>
          <w:kern w:val="22"/>
          <w:szCs w:val="24"/>
          <w:lang w:val="es-ES"/>
        </w:rPr>
        <w:t>o</w:t>
      </w:r>
      <w:r w:rsidRPr="007C5887">
        <w:rPr>
          <w:kern w:val="22"/>
          <w:szCs w:val="24"/>
          <w:lang w:val="es-ES"/>
        </w:rPr>
        <w:t>n</w:t>
      </w:r>
      <w:r w:rsidR="00A56932" w:rsidRPr="007C5887">
        <w:rPr>
          <w:kern w:val="22"/>
          <w:szCs w:val="24"/>
          <w:lang w:val="es-ES"/>
        </w:rPr>
        <w:t>es</w:t>
      </w:r>
      <w:r w:rsidRPr="007C5887">
        <w:rPr>
          <w:kern w:val="22"/>
          <w:szCs w:val="24"/>
          <w:lang w:val="es-ES"/>
        </w:rPr>
        <w:t xml:space="preserve"> colectiva</w:t>
      </w:r>
      <w:r w:rsidR="00A56932" w:rsidRPr="007C5887">
        <w:rPr>
          <w:kern w:val="22"/>
          <w:szCs w:val="24"/>
          <w:lang w:val="es-ES"/>
        </w:rPr>
        <w:t>s</w:t>
      </w:r>
      <w:r w:rsidRPr="007C5887">
        <w:rPr>
          <w:kern w:val="22"/>
          <w:szCs w:val="24"/>
          <w:lang w:val="es-ES"/>
        </w:rPr>
        <w:t>;</w:t>
      </w:r>
    </w:p>
    <w:p w:rsidR="00396A44" w:rsidRPr="007C5887" w:rsidRDefault="00A56932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Considerar incluir</w:t>
      </w:r>
      <w:r w:rsidR="00396A44" w:rsidRPr="007C5887">
        <w:rPr>
          <w:kern w:val="22"/>
          <w:szCs w:val="24"/>
          <w:lang w:val="es-ES"/>
        </w:rPr>
        <w:t xml:space="preserve"> </w:t>
      </w:r>
      <w:r w:rsidRPr="007C5887">
        <w:rPr>
          <w:kern w:val="22"/>
          <w:szCs w:val="24"/>
          <w:lang w:val="es-ES"/>
        </w:rPr>
        <w:t>en las evaluaciones</w:t>
      </w:r>
      <w:r w:rsidR="00396A44" w:rsidRPr="007C5887">
        <w:rPr>
          <w:kern w:val="22"/>
          <w:szCs w:val="24"/>
          <w:lang w:val="es-ES"/>
        </w:rPr>
        <w:t xml:space="preserve"> un análisis de fortalezas y amenazas en los contextos específicos, con </w:t>
      </w:r>
      <w:r w:rsidRPr="007C5887">
        <w:rPr>
          <w:kern w:val="22"/>
          <w:szCs w:val="24"/>
          <w:lang w:val="es-ES"/>
        </w:rPr>
        <w:t>m</w:t>
      </w:r>
      <w:r w:rsidR="00396A44" w:rsidRPr="007C5887">
        <w:rPr>
          <w:kern w:val="22"/>
          <w:szCs w:val="24"/>
          <w:lang w:val="es-ES"/>
        </w:rPr>
        <w:t>i</w:t>
      </w:r>
      <w:r w:rsidRPr="007C5887">
        <w:rPr>
          <w:kern w:val="22"/>
          <w:szCs w:val="24"/>
          <w:lang w:val="es-ES"/>
        </w:rPr>
        <w:t>ras</w:t>
      </w:r>
      <w:r w:rsidR="00396A44" w:rsidRPr="007C5887">
        <w:rPr>
          <w:kern w:val="22"/>
          <w:szCs w:val="24"/>
          <w:lang w:val="es-ES"/>
        </w:rPr>
        <w:t xml:space="preserve"> </w:t>
      </w:r>
      <w:r w:rsidRPr="007C5887">
        <w:rPr>
          <w:kern w:val="22"/>
          <w:szCs w:val="24"/>
          <w:lang w:val="es-ES"/>
        </w:rPr>
        <w:t xml:space="preserve">a </w:t>
      </w:r>
      <w:r w:rsidR="00396A44" w:rsidRPr="007C5887">
        <w:rPr>
          <w:kern w:val="22"/>
          <w:szCs w:val="24"/>
          <w:lang w:val="es-ES"/>
        </w:rPr>
        <w:t xml:space="preserve">comprender mejor los factores y condiciones que </w:t>
      </w:r>
      <w:r w:rsidR="007C5887" w:rsidRPr="007C5887">
        <w:rPr>
          <w:kern w:val="22"/>
          <w:szCs w:val="24"/>
          <w:lang w:val="es-ES"/>
        </w:rPr>
        <w:t>s</w:t>
      </w:r>
      <w:r w:rsidR="00396A44" w:rsidRPr="007C5887">
        <w:rPr>
          <w:kern w:val="22"/>
          <w:szCs w:val="24"/>
          <w:lang w:val="es-ES"/>
        </w:rPr>
        <w:t xml:space="preserve">e </w:t>
      </w:r>
      <w:r w:rsidR="007C5887" w:rsidRPr="007C5887">
        <w:rPr>
          <w:kern w:val="22"/>
          <w:szCs w:val="24"/>
          <w:lang w:val="es-ES"/>
        </w:rPr>
        <w:t xml:space="preserve">precise </w:t>
      </w:r>
      <w:r w:rsidR="00396A44" w:rsidRPr="007C5887">
        <w:rPr>
          <w:kern w:val="22"/>
          <w:szCs w:val="24"/>
          <w:lang w:val="es-ES"/>
        </w:rPr>
        <w:t>fortalecer o que requieran apoyo adicional;</w:t>
      </w:r>
    </w:p>
    <w:p w:rsidR="00396A44" w:rsidRPr="007C5887" w:rsidRDefault="00396A44">
      <w:pPr>
        <w:pStyle w:val="Para1"/>
        <w:numPr>
          <w:ilvl w:val="1"/>
          <w:numId w:val="2"/>
        </w:numPr>
        <w:suppressLineNumbers/>
        <w:tabs>
          <w:tab w:val="clear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0"/>
        <w:ind w:left="0" w:firstLine="720"/>
        <w:rPr>
          <w:kern w:val="22"/>
          <w:szCs w:val="24"/>
          <w:lang w:val="es-ES"/>
        </w:rPr>
      </w:pPr>
      <w:r w:rsidRPr="007C5887">
        <w:rPr>
          <w:kern w:val="22"/>
          <w:szCs w:val="24"/>
          <w:lang w:val="es-ES"/>
        </w:rPr>
        <w:t>Alentar la colaboración, el intercambio, el aprendizaje mutuo y la interacción entre los distintos enfoques y procurar mayores sinergias y resultados convergentes.</w:t>
      </w:r>
    </w:p>
    <w:p w:rsidR="00396A44" w:rsidRPr="007C5887" w:rsidRDefault="00396A44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i/>
          <w:kern w:val="22"/>
          <w:lang w:val="es-ES"/>
        </w:rPr>
      </w:pPr>
      <w:r w:rsidRPr="007C5887">
        <w:rPr>
          <w:i/>
          <w:kern w:val="22"/>
          <w:lang w:val="es-ES"/>
        </w:rPr>
        <w:t>__________</w:t>
      </w:r>
    </w:p>
    <w:p w:rsidR="00396A44" w:rsidRPr="007C5887" w:rsidRDefault="00396A44">
      <w:pPr>
        <w:rPr>
          <w:lang w:val="es-ES"/>
        </w:rPr>
      </w:pPr>
    </w:p>
    <w:p w:rsidR="00396A44" w:rsidRPr="007C5887" w:rsidRDefault="00396A44">
      <w:pPr>
        <w:rPr>
          <w:lang w:val="es-ES"/>
        </w:rPr>
      </w:pPr>
    </w:p>
    <w:p w:rsidR="00396A44" w:rsidRPr="007C5887" w:rsidRDefault="00396A44">
      <w:pPr>
        <w:rPr>
          <w:lang w:val="es-ES"/>
        </w:rPr>
      </w:pPr>
    </w:p>
    <w:sectPr w:rsidR="00396A44" w:rsidRPr="007C5887" w:rsidSect="00886996">
      <w:headerReference w:type="even" r:id="rId10"/>
      <w:headerReference w:type="default" r:id="rId11"/>
      <w:pgSz w:w="12240" w:h="15840"/>
      <w:pgMar w:top="1021" w:right="1389" w:bottom="1021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E9" w:rsidRDefault="009E6FE9">
      <w:r>
        <w:separator/>
      </w:r>
    </w:p>
  </w:endnote>
  <w:endnote w:type="continuationSeparator" w:id="0">
    <w:p w:rsidR="009E6FE9" w:rsidRDefault="009E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E9" w:rsidRDefault="009E6FE9">
      <w:r>
        <w:separator/>
      </w:r>
    </w:p>
  </w:footnote>
  <w:footnote w:type="continuationSeparator" w:id="0">
    <w:p w:rsidR="009E6FE9" w:rsidRDefault="009E6FE9">
      <w:r>
        <w:continuationSeparator/>
      </w:r>
    </w:p>
  </w:footnote>
  <w:footnote w:id="1">
    <w:p w:rsidR="00396A44" w:rsidRPr="00972B48" w:rsidRDefault="00396A44" w:rsidP="00275DAC">
      <w:pPr>
        <w:pStyle w:val="FootnoteText"/>
        <w:kinsoku w:val="0"/>
        <w:overflowPunct w:val="0"/>
        <w:autoSpaceDE w:val="0"/>
        <w:autoSpaceDN w:val="0"/>
        <w:ind w:firstLine="0"/>
        <w:rPr>
          <w:szCs w:val="18"/>
          <w:lang w:val="es-ES"/>
        </w:rPr>
      </w:pPr>
      <w:r w:rsidRPr="00972B48">
        <w:rPr>
          <w:rStyle w:val="FootnoteReference"/>
          <w:kern w:val="18"/>
          <w:sz w:val="18"/>
          <w:szCs w:val="18"/>
          <w:lang w:val="es-ES"/>
        </w:rPr>
        <w:footnoteRef/>
      </w:r>
      <w:r w:rsidRPr="00972B48">
        <w:rPr>
          <w:kern w:val="18"/>
          <w:szCs w:val="18"/>
          <w:lang w:val="es-ES"/>
        </w:rPr>
        <w:t xml:space="preserve"> Decisión X/2, anexo.</w:t>
      </w:r>
    </w:p>
  </w:footnote>
  <w:footnote w:id="2">
    <w:p w:rsidR="00396A44" w:rsidRPr="00972B48" w:rsidRDefault="00396A44" w:rsidP="00275DAC">
      <w:pPr>
        <w:pStyle w:val="NormalWeb"/>
        <w:keepLines/>
        <w:kinsoku w:val="0"/>
        <w:overflowPunct w:val="0"/>
        <w:autoSpaceDE w:val="0"/>
        <w:autoSpaceDN w:val="0"/>
        <w:adjustRightInd w:val="0"/>
        <w:snapToGrid w:val="0"/>
        <w:spacing w:before="0" w:beforeAutospacing="0" w:after="60" w:afterAutospacing="0"/>
        <w:jc w:val="both"/>
        <w:textAlignment w:val="baseline"/>
        <w:rPr>
          <w:rFonts w:ascii="Times New Roman" w:eastAsia="Times New Roman" w:hAnsi="Times New Roman"/>
          <w:lang w:val="es-ES"/>
        </w:rPr>
      </w:pPr>
      <w:r w:rsidRPr="00972B48">
        <w:rPr>
          <w:rStyle w:val="FootnoteReference"/>
          <w:rFonts w:ascii="Times New Roman" w:eastAsia="Times New Roman" w:hAnsi="Times New Roman"/>
          <w:color w:val="auto"/>
          <w:kern w:val="18"/>
          <w:sz w:val="18"/>
          <w:lang w:val="es-ES"/>
        </w:rPr>
        <w:footnoteRef/>
      </w:r>
      <w:r w:rsidR="00275DAC">
        <w:rPr>
          <w:rFonts w:ascii="Times New Roman" w:eastAsia="Times New Roman" w:hAnsi="Times New Roman"/>
          <w:color w:val="auto"/>
          <w:kern w:val="18"/>
          <w:lang w:val="es-ES"/>
        </w:rPr>
        <w:t> </w:t>
      </w:r>
      <w:r w:rsidRPr="00972B48">
        <w:rPr>
          <w:rFonts w:ascii="Times New Roman" w:eastAsia="Times New Roman" w:hAnsi="Times New Roman"/>
          <w:kern w:val="18"/>
          <w:lang w:val="es-ES"/>
        </w:rPr>
        <w:t>En la decisión X/43</w:t>
      </w:r>
      <w:r w:rsidRPr="00972B48">
        <w:rPr>
          <w:rFonts w:ascii="Times New Roman" w:eastAsia="Times New Roman" w:hAnsi="Times New Roman"/>
          <w:color w:val="auto"/>
          <w:kern w:val="18"/>
          <w:lang w:val="es-ES"/>
        </w:rPr>
        <w:t>, la Conferencia de las Partes adoptó las “tendencias de los cambios en la utilización y la tenencia de la tierra en los territorios tradicionales de las comunidades indígenas y locales” como uno de los cuatro indicadores mundiales para los conocimientos tradicionales, en el marco del Convenio sobre la Diversidad Biológica.</w:t>
      </w:r>
      <w:r w:rsidRPr="00972B48">
        <w:rPr>
          <w:rFonts w:ascii="Times New Roman" w:eastAsia="Times New Roman" w:hAnsi="Times New Roman"/>
          <w:kern w:val="18"/>
          <w:lang w:val="es-ES"/>
        </w:rPr>
        <w:t xml:space="preserve"> La “tenencia” de los territorios tradicionales de los pueblos indígenas y las comunidades locales puede incluir tierras y aguas.</w:t>
      </w:r>
    </w:p>
  </w:footnote>
  <w:footnote w:id="3">
    <w:p w:rsidR="00396A44" w:rsidRPr="00972B48" w:rsidRDefault="00396A44" w:rsidP="00275DAC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szCs w:val="18"/>
          <w:lang w:val="es-ES"/>
        </w:rPr>
      </w:pPr>
      <w:r w:rsidRPr="00972B48">
        <w:rPr>
          <w:rStyle w:val="FootnoteReference"/>
          <w:rFonts w:eastAsia="MS Gothic"/>
          <w:kern w:val="18"/>
          <w:sz w:val="18"/>
          <w:szCs w:val="18"/>
          <w:lang w:val="es-ES"/>
        </w:rPr>
        <w:footnoteRef/>
      </w:r>
      <w:r w:rsidR="00275DAC">
        <w:rPr>
          <w:kern w:val="18"/>
          <w:szCs w:val="18"/>
          <w:lang w:val="es-ES"/>
        </w:rPr>
        <w:t> </w:t>
      </w:r>
      <w:r w:rsidRPr="00972B48">
        <w:rPr>
          <w:kern w:val="18"/>
          <w:szCs w:val="18"/>
          <w:lang w:val="es-ES"/>
        </w:rPr>
        <w:t>En el anexo de la decisión XII/12 B, la Conferencia de las Partes adoptó un Plan de acción mundial sobre utilización consuetudinaria sostenible de la diversidad biológica.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44" w:rsidRDefault="00396A44">
    <w:pPr>
      <w:pStyle w:val="Header"/>
      <w:rPr>
        <w:lang w:val="es-ES"/>
      </w:rPr>
    </w:pPr>
    <w:r>
      <w:rPr>
        <w:lang w:val="es-ES"/>
      </w:rPr>
      <w:t>CBD/SBI/</w:t>
    </w:r>
    <w:r w:rsidR="00AA6C17">
      <w:rPr>
        <w:lang w:val="es-ES"/>
      </w:rPr>
      <w:t>REC/</w:t>
    </w:r>
    <w:r>
      <w:rPr>
        <w:lang w:val="es-ES"/>
      </w:rPr>
      <w:t>2/</w:t>
    </w:r>
    <w:r w:rsidR="00AA6C17">
      <w:rPr>
        <w:lang w:val="es-ES"/>
      </w:rPr>
      <w:t>18</w:t>
    </w:r>
  </w:p>
  <w:p w:rsidR="00396A44" w:rsidRDefault="00396A44">
    <w:pPr>
      <w:pStyle w:val="Header"/>
      <w:rPr>
        <w:lang w:val="es-ES"/>
      </w:rPr>
    </w:pPr>
    <w:r>
      <w:rPr>
        <w:lang w:val="es-ES"/>
      </w:rPr>
      <w:t xml:space="preserve">Página </w:t>
    </w:r>
    <w:r w:rsidR="00886996">
      <w:rPr>
        <w:lang w:val="es-ES"/>
      </w:rPr>
      <w:fldChar w:fldCharType="begin"/>
    </w:r>
    <w:r>
      <w:rPr>
        <w:lang w:val="es-ES"/>
      </w:rPr>
      <w:instrText xml:space="preserve"> PAGE   \* MERGEFORMAT </w:instrText>
    </w:r>
    <w:r w:rsidR="00886996">
      <w:rPr>
        <w:lang w:val="es-ES"/>
      </w:rPr>
      <w:fldChar w:fldCharType="separate"/>
    </w:r>
    <w:r w:rsidR="007C5887" w:rsidRPr="007C5887">
      <w:rPr>
        <w:noProof/>
      </w:rPr>
      <w:t>2</w:t>
    </w:r>
    <w:r w:rsidR="00886996">
      <w:rPr>
        <w:lang w:val="es-ES"/>
      </w:rPr>
      <w:fldChar w:fldCharType="end"/>
    </w:r>
  </w:p>
  <w:p w:rsidR="00396A44" w:rsidRDefault="00396A44">
    <w:pPr>
      <w:pStyle w:val="Header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44" w:rsidRDefault="00396A44">
    <w:pPr>
      <w:pStyle w:val="Header"/>
      <w:jc w:val="right"/>
      <w:rPr>
        <w:lang w:val="es-ES"/>
      </w:rPr>
    </w:pPr>
    <w:r>
      <w:rPr>
        <w:lang w:val="es-ES"/>
      </w:rPr>
      <w:t>CBD/SBI/</w:t>
    </w:r>
    <w:r w:rsidR="00AA6C17">
      <w:rPr>
        <w:lang w:val="es-ES"/>
      </w:rPr>
      <w:t>REC/</w:t>
    </w:r>
    <w:r>
      <w:rPr>
        <w:lang w:val="es-ES"/>
      </w:rPr>
      <w:t>2/</w:t>
    </w:r>
    <w:r w:rsidR="00AA6C17">
      <w:rPr>
        <w:lang w:val="es-ES"/>
      </w:rPr>
      <w:t>18</w:t>
    </w:r>
  </w:p>
  <w:p w:rsidR="00396A44" w:rsidRDefault="00396A44">
    <w:pPr>
      <w:pStyle w:val="Header"/>
      <w:jc w:val="right"/>
      <w:rPr>
        <w:lang w:val="es-ES"/>
      </w:rPr>
    </w:pPr>
    <w:r>
      <w:rPr>
        <w:lang w:val="es-ES"/>
      </w:rPr>
      <w:t xml:space="preserve">Página </w:t>
    </w:r>
    <w:r w:rsidR="00886996">
      <w:rPr>
        <w:lang w:val="es-ES"/>
      </w:rPr>
      <w:fldChar w:fldCharType="begin"/>
    </w:r>
    <w:r>
      <w:rPr>
        <w:lang w:val="es-ES"/>
      </w:rPr>
      <w:instrText xml:space="preserve"> PAGE   \* MERGEFORMAT </w:instrText>
    </w:r>
    <w:r w:rsidR="00886996">
      <w:rPr>
        <w:lang w:val="es-ES"/>
      </w:rPr>
      <w:fldChar w:fldCharType="separate"/>
    </w:r>
    <w:r w:rsidR="007C5887" w:rsidRPr="007C5887">
      <w:rPr>
        <w:noProof/>
      </w:rPr>
      <w:t>3</w:t>
    </w:r>
    <w:r w:rsidR="00886996">
      <w:rPr>
        <w:lang w:val="es-ES"/>
      </w:rPr>
      <w:fldChar w:fldCharType="end"/>
    </w:r>
  </w:p>
  <w:p w:rsidR="00396A44" w:rsidRDefault="00396A44">
    <w:pPr>
      <w:pStyle w:val="Header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33E91FBF"/>
    <w:multiLevelType w:val="multilevel"/>
    <w:tmpl w:val="4FF011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4E0442B4"/>
    <w:multiLevelType w:val="multilevel"/>
    <w:tmpl w:val="27C870A8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Courier" w:hint="default"/>
        <w:b w:val="0"/>
        <w:i w:val="0"/>
        <w:sz w:val="22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  <w:lvlOverride w:ilvl="0">
      <w:startOverride w:val="1"/>
    </w:lvlOverride>
  </w:num>
  <w:num w:numId="9">
    <w:abstractNumId w:val="10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61D"/>
    <w:rsid w:val="000E673A"/>
    <w:rsid w:val="000F4914"/>
    <w:rsid w:val="000F74F5"/>
    <w:rsid w:val="00105372"/>
    <w:rsid w:val="00131E7A"/>
    <w:rsid w:val="00172AF6"/>
    <w:rsid w:val="00176CEE"/>
    <w:rsid w:val="00186DD8"/>
    <w:rsid w:val="001C7F1C"/>
    <w:rsid w:val="00275DAC"/>
    <w:rsid w:val="002B08CB"/>
    <w:rsid w:val="00332707"/>
    <w:rsid w:val="00371A4A"/>
    <w:rsid w:val="0037276A"/>
    <w:rsid w:val="00372F74"/>
    <w:rsid w:val="00374269"/>
    <w:rsid w:val="00396A44"/>
    <w:rsid w:val="003D6DF7"/>
    <w:rsid w:val="003F010D"/>
    <w:rsid w:val="003F7224"/>
    <w:rsid w:val="00407898"/>
    <w:rsid w:val="004245BC"/>
    <w:rsid w:val="00427D21"/>
    <w:rsid w:val="004644C2"/>
    <w:rsid w:val="00467F9C"/>
    <w:rsid w:val="00480C8D"/>
    <w:rsid w:val="004A3DC3"/>
    <w:rsid w:val="004F51D4"/>
    <w:rsid w:val="0050607D"/>
    <w:rsid w:val="00534681"/>
    <w:rsid w:val="005777DA"/>
    <w:rsid w:val="006122BA"/>
    <w:rsid w:val="0068672C"/>
    <w:rsid w:val="006B2290"/>
    <w:rsid w:val="00717D88"/>
    <w:rsid w:val="00736929"/>
    <w:rsid w:val="007370C7"/>
    <w:rsid w:val="007942D3"/>
    <w:rsid w:val="007B6C09"/>
    <w:rsid w:val="007C5887"/>
    <w:rsid w:val="007E09DA"/>
    <w:rsid w:val="008178B6"/>
    <w:rsid w:val="00825A39"/>
    <w:rsid w:val="00825BE0"/>
    <w:rsid w:val="00855DEF"/>
    <w:rsid w:val="00865B74"/>
    <w:rsid w:val="00886996"/>
    <w:rsid w:val="0089787C"/>
    <w:rsid w:val="008F1A86"/>
    <w:rsid w:val="00900D90"/>
    <w:rsid w:val="00930BA1"/>
    <w:rsid w:val="0093169E"/>
    <w:rsid w:val="009505C9"/>
    <w:rsid w:val="00972B48"/>
    <w:rsid w:val="009B2CFA"/>
    <w:rsid w:val="009E6FE9"/>
    <w:rsid w:val="009F50A7"/>
    <w:rsid w:val="00A538E4"/>
    <w:rsid w:val="00A54980"/>
    <w:rsid w:val="00A56932"/>
    <w:rsid w:val="00AA6C17"/>
    <w:rsid w:val="00AF1077"/>
    <w:rsid w:val="00B3369F"/>
    <w:rsid w:val="00B85E00"/>
    <w:rsid w:val="00C0224B"/>
    <w:rsid w:val="00C13F7F"/>
    <w:rsid w:val="00C443BD"/>
    <w:rsid w:val="00C65200"/>
    <w:rsid w:val="00C81BCD"/>
    <w:rsid w:val="00C9161D"/>
    <w:rsid w:val="00C95332"/>
    <w:rsid w:val="00CE32E7"/>
    <w:rsid w:val="00CF1848"/>
    <w:rsid w:val="00CF47A6"/>
    <w:rsid w:val="00D12044"/>
    <w:rsid w:val="00D20BAF"/>
    <w:rsid w:val="00D2625B"/>
    <w:rsid w:val="00D379D1"/>
    <w:rsid w:val="00D53ED7"/>
    <w:rsid w:val="00D54D04"/>
    <w:rsid w:val="00D76A18"/>
    <w:rsid w:val="00DA3750"/>
    <w:rsid w:val="00DD118C"/>
    <w:rsid w:val="00DD60C1"/>
    <w:rsid w:val="00E0752C"/>
    <w:rsid w:val="00E513D7"/>
    <w:rsid w:val="00E66235"/>
    <w:rsid w:val="00E83C24"/>
    <w:rsid w:val="00E9318D"/>
    <w:rsid w:val="00F444F4"/>
    <w:rsid w:val="00F5644D"/>
    <w:rsid w:val="00F61D67"/>
    <w:rsid w:val="00F62A94"/>
    <w:rsid w:val="00F657A9"/>
    <w:rsid w:val="00F6586C"/>
    <w:rsid w:val="00F94774"/>
    <w:rsid w:val="00FC53DB"/>
    <w:rsid w:val="00FF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CharChar10"/>
    <w:qFormat/>
    <w:rsid w:val="00886996"/>
    <w:pPr>
      <w:jc w:val="both"/>
    </w:pPr>
    <w:rPr>
      <w:snapToGrid w:val="0"/>
      <w:sz w:val="22"/>
      <w:szCs w:val="24"/>
      <w:lang w:val="en-GB" w:eastAsia="es-ES"/>
    </w:rPr>
  </w:style>
  <w:style w:type="paragraph" w:styleId="Heading1">
    <w:name w:val="heading 1"/>
    <w:basedOn w:val="Normal"/>
    <w:next w:val="Heading2"/>
    <w:qFormat/>
    <w:rsid w:val="00886996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PlaceholderText"/>
    <w:qFormat/>
    <w:rsid w:val="00886996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886996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rsid w:val="00886996"/>
    <w:pPr>
      <w:keepNext/>
      <w:spacing w:before="120" w:after="120"/>
      <w:outlineLvl w:val="3"/>
    </w:pPr>
    <w:rPr>
      <w:rFonts w:eastAsia="Arial Unicode MS" w:cs="Arial"/>
      <w:b/>
      <w:bCs/>
      <w:i/>
    </w:rPr>
  </w:style>
  <w:style w:type="paragraph" w:styleId="Heading5">
    <w:name w:val="heading 5"/>
    <w:basedOn w:val="Normal"/>
    <w:next w:val="Normal"/>
    <w:qFormat/>
    <w:rsid w:val="00886996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rsid w:val="00886996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886996"/>
    <w:pPr>
      <w:keepNext/>
      <w:jc w:val="right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886996"/>
    <w:pPr>
      <w:keepNext/>
      <w:jc w:val="right"/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rsid w:val="00886996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996"/>
    <w:rPr>
      <w:rFonts w:eastAsia="MS Mincho"/>
      <w:snapToGrid w:val="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86996"/>
    <w:rPr>
      <w:sz w:val="18"/>
      <w:szCs w:val="18"/>
    </w:rPr>
  </w:style>
  <w:style w:type="character" w:customStyle="1" w:styleId="CharChar8">
    <w:name w:val="Char Char8"/>
    <w:basedOn w:val="DefaultParagraphFont"/>
    <w:semiHidden/>
    <w:locked/>
    <w:rsid w:val="00886996"/>
    <w:rPr>
      <w:rFonts w:ascii="Times New Roman" w:hAnsi="Times New Roman" w:cs="Times New Roman"/>
      <w:sz w:val="18"/>
      <w:szCs w:val="18"/>
      <w:lang w:val="en-US"/>
    </w:rPr>
  </w:style>
  <w:style w:type="character" w:styleId="PlaceholderText">
    <w:name w:val="Placeholder Text"/>
    <w:aliases w:val="Heading 2 Char"/>
    <w:basedOn w:val="DefaultParagraphFont"/>
    <w:link w:val="Heading2"/>
    <w:semiHidden/>
    <w:rsid w:val="00886996"/>
    <w:rPr>
      <w:rFonts w:cs="Times New Roman"/>
      <w:color w:val="808080"/>
    </w:rPr>
  </w:style>
  <w:style w:type="paragraph" w:styleId="Header">
    <w:name w:val="header"/>
    <w:basedOn w:val="Normal"/>
    <w:rsid w:val="00886996"/>
    <w:pPr>
      <w:tabs>
        <w:tab w:val="center" w:pos="4320"/>
        <w:tab w:val="right" w:pos="8640"/>
      </w:tabs>
    </w:pPr>
  </w:style>
  <w:style w:type="character" w:customStyle="1" w:styleId="CharChar7">
    <w:name w:val="Char Char7"/>
    <w:basedOn w:val="DefaultParagraphFont"/>
    <w:locked/>
    <w:rsid w:val="00886996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rsid w:val="00886996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CharChar6">
    <w:name w:val="Char Char6"/>
    <w:basedOn w:val="DefaultParagraphFont"/>
    <w:locked/>
    <w:rsid w:val="00886996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rsid w:val="00886996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qFormat/>
    <w:rsid w:val="00886996"/>
    <w:pPr>
      <w:pBdr>
        <w:bottom w:val="single" w:sz="8" w:space="4" w:color="4F81BD"/>
      </w:pBdr>
      <w:spacing w:after="300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CharChar5">
    <w:name w:val="Char Char5"/>
    <w:basedOn w:val="DefaultParagraphFont"/>
    <w:locked/>
    <w:rsid w:val="00886996"/>
    <w:rPr>
      <w:rFonts w:ascii="Times New Roman" w:eastAsia="MS Gothic" w:hAnsi="Times New Roman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qFormat/>
    <w:rsid w:val="00886996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CharChar4">
    <w:name w:val="Char Char4"/>
    <w:basedOn w:val="DefaultParagraphFont"/>
    <w:locked/>
    <w:rsid w:val="00886996"/>
    <w:rPr>
      <w:rFonts w:ascii="Times New Roman" w:eastAsia="MS Gothic" w:hAnsi="Times New Roman" w:cs="Times New Roman"/>
      <w:i/>
      <w:iCs/>
      <w:color w:val="4F81BD"/>
      <w:spacing w:val="15"/>
      <w:lang w:val="en-US"/>
    </w:rPr>
  </w:style>
  <w:style w:type="character" w:customStyle="1" w:styleId="CharChar17">
    <w:name w:val="Char Char17"/>
    <w:basedOn w:val="DefaultParagraphFont"/>
    <w:locked/>
    <w:rsid w:val="00886996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rsid w:val="00886996"/>
    <w:pPr>
      <w:spacing w:before="120" w:after="120"/>
      <w:ind w:firstLine="720"/>
    </w:pPr>
    <w:rPr>
      <w:iCs/>
    </w:rPr>
  </w:style>
  <w:style w:type="character" w:customStyle="1" w:styleId="CharChar3">
    <w:name w:val="Char Char3"/>
    <w:basedOn w:val="DefaultParagraphFont"/>
    <w:locked/>
    <w:rsid w:val="00886996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rsid w:val="00886996"/>
    <w:pPr>
      <w:spacing w:before="120" w:after="120"/>
      <w:ind w:left="1440" w:hanging="720"/>
      <w:jc w:val="left"/>
    </w:pPr>
  </w:style>
  <w:style w:type="character" w:customStyle="1" w:styleId="CharChar2">
    <w:name w:val="Char Char2"/>
    <w:basedOn w:val="DefaultParagraphFont"/>
    <w:locked/>
    <w:rsid w:val="00886996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basedOn w:val="DefaultParagraphFont"/>
    <w:semiHidden/>
    <w:rsid w:val="00886996"/>
    <w:rPr>
      <w:sz w:val="16"/>
    </w:rPr>
  </w:style>
  <w:style w:type="paragraph" w:styleId="CommentText">
    <w:name w:val="annotation text"/>
    <w:basedOn w:val="Normal"/>
    <w:semiHidden/>
    <w:rsid w:val="00886996"/>
    <w:pPr>
      <w:spacing w:after="120" w:line="240" w:lineRule="exact"/>
    </w:pPr>
  </w:style>
  <w:style w:type="character" w:customStyle="1" w:styleId="CharChar1">
    <w:name w:val="Char Char1"/>
    <w:basedOn w:val="DefaultParagraphFont"/>
    <w:semiHidden/>
    <w:locked/>
    <w:rsid w:val="00886996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886996"/>
    <w:pPr>
      <w:ind w:left="170" w:right="3119" w:hanging="170"/>
      <w:jc w:val="left"/>
    </w:pPr>
  </w:style>
  <w:style w:type="character" w:styleId="EndnoteReference">
    <w:name w:val="endnote reference"/>
    <w:basedOn w:val="DefaultParagraphFont"/>
    <w:semiHidden/>
    <w:rsid w:val="00886996"/>
    <w:rPr>
      <w:vertAlign w:val="superscript"/>
    </w:rPr>
  </w:style>
  <w:style w:type="paragraph" w:styleId="EndnoteText">
    <w:name w:val="endnote text"/>
    <w:basedOn w:val="Normal"/>
    <w:semiHidden/>
    <w:rsid w:val="00886996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CharChar">
    <w:name w:val="Char Char"/>
    <w:basedOn w:val="DefaultParagraphFont"/>
    <w:semiHidden/>
    <w:locked/>
    <w:rsid w:val="00886996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basedOn w:val="DefaultParagraphFont"/>
    <w:rsid w:val="00886996"/>
    <w:rPr>
      <w:color w:val="800080"/>
      <w:u w:val="single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basedOn w:val="DefaultParagraphFont"/>
    <w:rsid w:val="00886996"/>
    <w:rPr>
      <w:sz w:val="22"/>
      <w:u w:val="none"/>
      <w:vertAlign w:val="superscript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Normal"/>
    <w:rsid w:val="00886996"/>
    <w:pPr>
      <w:keepLines/>
      <w:spacing w:after="60"/>
      <w:ind w:firstLine="720"/>
    </w:pPr>
    <w:rPr>
      <w:sz w:val="18"/>
    </w:rPr>
  </w:style>
  <w:style w:type="character" w:customStyle="1" w:styleId="fnChar">
    <w:name w:val="fn Char"/>
    <w:aliases w:val="Geneva 9 Char,Font: Geneva 9 Char,Boston 10 Char,f Char,ft Char1,Fotnotstext Char Char,ft Char Char,single space Char,footnote text Char,FOOTNOTES Char,ADB Char,single space1 Char,footnote text1 Char,FOOTNOTES1 Char,fn1 Char,ADB1 Char,fn2 Char"/>
    <w:basedOn w:val="DefaultParagraphFont"/>
    <w:locked/>
    <w:rsid w:val="00886996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886996"/>
    <w:pPr>
      <w:keepNext/>
      <w:spacing w:before="240" w:after="120"/>
      <w:jc w:val="center"/>
    </w:pPr>
    <w:rPr>
      <w:b/>
      <w:bCs/>
      <w:caps/>
    </w:rPr>
  </w:style>
  <w:style w:type="character" w:customStyle="1" w:styleId="CharChar16">
    <w:name w:val="Char Char16"/>
    <w:basedOn w:val="DefaultParagraphFont"/>
    <w:locked/>
    <w:rsid w:val="00886996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886996"/>
  </w:style>
  <w:style w:type="paragraph" w:customStyle="1" w:styleId="Heading1longmultiline">
    <w:name w:val="Heading 1 (long multiline)"/>
    <w:basedOn w:val="Heading1"/>
    <w:rsid w:val="00886996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886996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886996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886996"/>
    <w:pPr>
      <w:ind w:left="2127" w:hanging="1276"/>
    </w:pPr>
  </w:style>
  <w:style w:type="character" w:customStyle="1" w:styleId="CharChar15">
    <w:name w:val="Char Char15"/>
    <w:basedOn w:val="DefaultParagraphFont"/>
    <w:locked/>
    <w:rsid w:val="00886996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886996"/>
  </w:style>
  <w:style w:type="paragraph" w:customStyle="1" w:styleId="Heading3multiline">
    <w:name w:val="Heading 3 (multiline)"/>
    <w:basedOn w:val="Heading3"/>
    <w:next w:val="Normal"/>
    <w:rsid w:val="00886996"/>
    <w:pPr>
      <w:ind w:left="1418" w:hanging="425"/>
      <w:jc w:val="left"/>
    </w:pPr>
  </w:style>
  <w:style w:type="character" w:customStyle="1" w:styleId="CharChar14">
    <w:name w:val="Char Char14"/>
    <w:basedOn w:val="DefaultParagraphFont"/>
    <w:locked/>
    <w:rsid w:val="00886996"/>
    <w:rPr>
      <w:rFonts w:ascii="Times New Roman" w:eastAsia="Arial Unicode MS" w:hAnsi="Times New Roman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886996"/>
    <w:pPr>
      <w:ind w:left="720"/>
      <w:outlineLvl w:val="9"/>
    </w:pPr>
  </w:style>
  <w:style w:type="character" w:customStyle="1" w:styleId="CharChar13">
    <w:name w:val="Char Char13"/>
    <w:basedOn w:val="DefaultParagraphFont"/>
    <w:locked/>
    <w:rsid w:val="00886996"/>
    <w:rPr>
      <w:rFonts w:ascii="Times New Roman" w:eastAsia="Times New Roman" w:hAnsi="Times New Roman" w:cs="Times New Roman"/>
      <w:bCs/>
      <w:i/>
      <w:sz w:val="26"/>
      <w:szCs w:val="26"/>
      <w:lang w:val="en-CA"/>
    </w:rPr>
  </w:style>
  <w:style w:type="character" w:customStyle="1" w:styleId="CharChar12">
    <w:name w:val="Char Char12"/>
    <w:basedOn w:val="DefaultParagraphFont"/>
    <w:locked/>
    <w:rsid w:val="00886996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CharChar11">
    <w:name w:val="Char Char11"/>
    <w:basedOn w:val="DefaultParagraphFont"/>
    <w:locked/>
    <w:rsid w:val="00886996"/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CharChar10">
    <w:name w:val="Char Char10"/>
    <w:basedOn w:val="DefaultParagraphFont"/>
    <w:locked/>
    <w:rsid w:val="00886996"/>
    <w:rPr>
      <w:rFonts w:ascii="Times New Roman" w:eastAsia="Times New Roman" w:hAnsi="Times New Roman" w:cs="Times New Roman"/>
      <w:b/>
      <w:sz w:val="32"/>
      <w:lang w:val="en-GB"/>
    </w:rPr>
  </w:style>
  <w:style w:type="character" w:customStyle="1" w:styleId="CharChar9">
    <w:name w:val="Char Char9"/>
    <w:basedOn w:val="DefaultParagraphFont"/>
    <w:locked/>
    <w:rsid w:val="00886996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basedOn w:val="DefaultParagraphFont"/>
    <w:rsid w:val="00886996"/>
    <w:rPr>
      <w:rFonts w:ascii="Times New Roman" w:hAnsi="Times New Roman"/>
      <w:sz w:val="22"/>
    </w:rPr>
  </w:style>
  <w:style w:type="paragraph" w:customStyle="1" w:styleId="Para1">
    <w:name w:val="Para1"/>
    <w:basedOn w:val="Normal"/>
    <w:rsid w:val="00886996"/>
    <w:pPr>
      <w:numPr>
        <w:numId w:val="4"/>
      </w:numPr>
      <w:tabs>
        <w:tab w:val="clear" w:pos="360"/>
      </w:tabs>
      <w:spacing w:before="120" w:after="120"/>
    </w:pPr>
    <w:rPr>
      <w:snapToGrid/>
      <w:szCs w:val="18"/>
    </w:rPr>
  </w:style>
  <w:style w:type="paragraph" w:customStyle="1" w:styleId="Para2">
    <w:name w:val="Para2"/>
    <w:basedOn w:val="Para1"/>
    <w:rsid w:val="00886996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886996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886996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886996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rsid w:val="00886996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rsid w:val="00886996"/>
  </w:style>
  <w:style w:type="paragraph" w:customStyle="1" w:styleId="recommendationheaderlong">
    <w:name w:val="recommendation header long"/>
    <w:basedOn w:val="Heading2longmultiline"/>
    <w:rsid w:val="00886996"/>
  </w:style>
  <w:style w:type="paragraph" w:customStyle="1" w:styleId="reference">
    <w:name w:val="reference"/>
    <w:basedOn w:val="Heading9"/>
    <w:rsid w:val="00886996"/>
    <w:rPr>
      <w:i w:val="0"/>
      <w:sz w:val="18"/>
    </w:rPr>
  </w:style>
  <w:style w:type="character" w:customStyle="1" w:styleId="StyleFootnoteReferenceNounderline">
    <w:name w:val="Style Footnote Reference + No underline"/>
    <w:rsid w:val="00886996"/>
    <w:rPr>
      <w:sz w:val="18"/>
      <w:u w:val="none"/>
      <w:vertAlign w:val="baseline"/>
    </w:rPr>
  </w:style>
  <w:style w:type="paragraph" w:customStyle="1" w:styleId="tabletitle">
    <w:name w:val="table title"/>
    <w:basedOn w:val="Heading2"/>
    <w:rsid w:val="00886996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886996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886996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886996"/>
    <w:pPr>
      <w:tabs>
        <w:tab w:val="right" w:leader="dot" w:pos="9356"/>
      </w:tabs>
      <w:ind w:left="1440" w:hanging="720"/>
    </w:pPr>
    <w:rPr>
      <w:noProof/>
      <w:szCs w:val="22"/>
      <w:lang w:val="es-ES"/>
    </w:rPr>
  </w:style>
  <w:style w:type="paragraph" w:styleId="TOC3">
    <w:name w:val="toc 3"/>
    <w:basedOn w:val="Normal"/>
    <w:next w:val="Normal"/>
    <w:autoRedefine/>
    <w:semiHidden/>
    <w:rsid w:val="00886996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886996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886996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886996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886996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886996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886996"/>
    <w:pPr>
      <w:spacing w:before="120" w:after="120"/>
      <w:ind w:left="1760"/>
      <w:jc w:val="left"/>
    </w:pPr>
  </w:style>
  <w:style w:type="character" w:styleId="Hyperlink">
    <w:name w:val="Hyperlink"/>
    <w:basedOn w:val="DefaultParagraphFont"/>
    <w:rsid w:val="00886996"/>
    <w:rPr>
      <w:color w:val="0000FF"/>
      <w:sz w:val="18"/>
      <w:u w:val="single"/>
    </w:rPr>
  </w:style>
  <w:style w:type="character" w:customStyle="1" w:styleId="Para1Char">
    <w:name w:val="Para1 Char"/>
    <w:locked/>
    <w:rsid w:val="00886996"/>
    <w:rPr>
      <w:rFonts w:ascii="Times New Roman" w:eastAsia="Times New Roman" w:hAnsi="Times New Roman"/>
      <w:snapToGrid w:val="0"/>
      <w:sz w:val="18"/>
      <w:lang w:val="en-GB"/>
    </w:rPr>
  </w:style>
  <w:style w:type="paragraph" w:customStyle="1" w:styleId="CBD-Doc-Type">
    <w:name w:val="CBD-Doc-Type"/>
    <w:basedOn w:val="Normal"/>
    <w:rsid w:val="00886996"/>
    <w:pPr>
      <w:keepLines/>
      <w:spacing w:before="240" w:after="120"/>
    </w:pPr>
    <w:rPr>
      <w:b/>
      <w:i/>
      <w:sz w:val="24"/>
    </w:rPr>
  </w:style>
  <w:style w:type="paragraph" w:customStyle="1" w:styleId="CBD-Doc">
    <w:name w:val="CBD-Doc"/>
    <w:basedOn w:val="Normal"/>
    <w:rsid w:val="00886996"/>
    <w:pPr>
      <w:keepLines/>
      <w:numPr>
        <w:numId w:val="9"/>
      </w:numPr>
      <w:spacing w:after="120"/>
    </w:pPr>
  </w:style>
  <w:style w:type="paragraph" w:styleId="ListParagraph">
    <w:name w:val="List Paragraph"/>
    <w:basedOn w:val="Normal"/>
    <w:qFormat/>
    <w:rsid w:val="00886996"/>
    <w:pPr>
      <w:ind w:left="720"/>
      <w:contextualSpacing/>
    </w:pPr>
  </w:style>
  <w:style w:type="paragraph" w:styleId="Caption">
    <w:name w:val="caption"/>
    <w:basedOn w:val="Normal"/>
    <w:next w:val="Normal"/>
    <w:qFormat/>
    <w:rsid w:val="00886996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rsid w:val="00886996"/>
    <w:rPr>
      <w:i/>
    </w:rPr>
  </w:style>
  <w:style w:type="paragraph" w:styleId="NormalWeb">
    <w:name w:val="Normal (Web)"/>
    <w:basedOn w:val="Normal"/>
    <w:rsid w:val="00886996"/>
    <w:pPr>
      <w:spacing w:before="100" w:beforeAutospacing="1" w:after="100" w:afterAutospacing="1"/>
      <w:jc w:val="left"/>
    </w:pPr>
    <w:rPr>
      <w:rFonts w:ascii="Verdana" w:eastAsia="Arial Unicode MS" w:hAnsi="Verdana"/>
      <w:color w:val="000000"/>
      <w:sz w:val="18"/>
      <w:szCs w:val="18"/>
      <w:lang w:val="en-US"/>
    </w:rPr>
  </w:style>
  <w:style w:type="character" w:customStyle="1" w:styleId="tw4winMark">
    <w:name w:val="tw4winMark"/>
    <w:rsid w:val="00886996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886996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886996"/>
    <w:rPr>
      <w:color w:val="0000FF"/>
    </w:rPr>
  </w:style>
  <w:style w:type="character" w:customStyle="1" w:styleId="tw4winPopup">
    <w:name w:val="tw4winPopup"/>
    <w:rsid w:val="00886996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886996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886996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886996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886996"/>
    <w:rPr>
      <w:rFonts w:ascii="Courier New" w:hAnsi="Courier New"/>
      <w:noProof/>
      <w:color w:val="8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1375</Words>
  <Characters>7797</Characters>
  <Application>Microsoft Office Word</Application>
  <DocSecurity>0</DocSecurity>
  <Lines>129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ELEMENTS OF METHODOLOGICAL GUIDANCE FOR IDENTIFYING, MONITORING AND ASSESSING THE CONTRIBUTION OF INDIGENOUS PEOPLES AND LOCAL COMMUNITIES TO THE ACHIEVEMENT OF THE STRATEGIC PLAN FOR BIODIVERSITY 2011-2020 AND THE AICHI BIODIVERSITY TARGETS</vt:lpstr>
    </vt:vector>
  </TitlesOfParts>
  <Company>SCBD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ELEMENTS OF METHODOLOGICAL GUIDANCE FOR IDENTIFYING, MONITORING AND ASSESSING THE CONTRIBUTION OF INDIGENOUS PEOPLES AND LOCAL COMMUNITIES TO THE ACHIEVEMENT OF THE STRATEGIC PLAN FOR BIODIVERSITY 2011-2020 AND THE AICHI BIODIVERSITY TARGETS</dc:title>
  <dc:subject>CBD/SBI/2/L.4</dc:subject>
  <dc:creator>SCBD</dc:creator>
  <cp:lastModifiedBy>Laura Perez</cp:lastModifiedBy>
  <cp:revision>5</cp:revision>
  <dcterms:created xsi:type="dcterms:W3CDTF">2018-08-19T20:08:00Z</dcterms:created>
  <dcterms:modified xsi:type="dcterms:W3CDTF">2018-08-23T06:04:00Z</dcterms:modified>
</cp:coreProperties>
</file>