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bottom w:val="single" w:sz="30" w:space="0" w:color="000000"/>
        </w:tblBorders>
        <w:tblLayout w:type="fixed"/>
        <w:tblLook w:val="0000" w:firstRow="0" w:lastRow="0" w:firstColumn="0" w:lastColumn="0" w:noHBand="0" w:noVBand="0"/>
      </w:tblPr>
      <w:tblGrid>
        <w:gridCol w:w="17"/>
        <w:gridCol w:w="1350"/>
        <w:gridCol w:w="1260"/>
        <w:gridCol w:w="2611"/>
        <w:gridCol w:w="1710"/>
        <w:gridCol w:w="2941"/>
      </w:tblGrid>
      <w:tr w:rsidR="00AE50BF" w:rsidRPr="00AE50BF" w14:paraId="091A4CAF" w14:textId="77777777" w:rsidTr="000D6545">
        <w:trPr>
          <w:gridBefore w:val="1"/>
          <w:wBefore w:w="17" w:type="dxa"/>
          <w:trHeight w:val="1196"/>
        </w:trPr>
        <w:tc>
          <w:tcPr>
            <w:tcW w:w="1350" w:type="dxa"/>
            <w:tcBorders>
              <w:bottom w:val="single" w:sz="12" w:space="0" w:color="000000"/>
            </w:tcBorders>
          </w:tcPr>
          <w:p w14:paraId="49BDCE7E" w14:textId="77777777" w:rsidR="00AE50BF" w:rsidRPr="00AE50BF" w:rsidRDefault="00AE50BF" w:rsidP="00AE50BF">
            <w:pPr>
              <w:rPr>
                <w:noProof/>
              </w:rPr>
            </w:pPr>
            <w:bookmarkStart w:id="0" w:name="Meeting"/>
            <w:r w:rsidRPr="00AE50BF">
              <w:rPr>
                <w:noProof/>
                <w:lang w:val="en-GB" w:eastAsia="en-GB"/>
              </w:rPr>
              <w:drawing>
                <wp:anchor distT="0" distB="0" distL="114300" distR="114300" simplePos="0" relativeHeight="251660288" behindDoc="0" locked="1" layoutInCell="1" allowOverlap="0" wp14:anchorId="78E8FD34" wp14:editId="1D469AD8">
                  <wp:simplePos x="0" y="0"/>
                  <wp:positionH relativeFrom="column">
                    <wp:posOffset>78105</wp:posOffset>
                  </wp:positionH>
                  <wp:positionV relativeFrom="page">
                    <wp:posOffset>69215</wp:posOffset>
                  </wp:positionV>
                  <wp:extent cx="4953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12" w:space="0" w:color="000000"/>
            </w:tcBorders>
          </w:tcPr>
          <w:p w14:paraId="11A791FE" w14:textId="77777777" w:rsidR="00AE50BF" w:rsidRPr="00AE50BF" w:rsidRDefault="00AE50BF" w:rsidP="00AE50BF">
            <w:pPr>
              <w:rPr>
                <w:noProof/>
              </w:rPr>
            </w:pPr>
            <w:r w:rsidRPr="00AE50BF">
              <w:rPr>
                <w:noProof/>
                <w:sz w:val="20"/>
                <w:lang w:val="en-GB" w:eastAsia="en-GB"/>
              </w:rPr>
              <w:drawing>
                <wp:anchor distT="0" distB="0" distL="114300" distR="114300" simplePos="0" relativeHeight="251659264" behindDoc="0" locked="1" layoutInCell="1" allowOverlap="0" wp14:anchorId="38AF1A20" wp14:editId="308A064F">
                  <wp:simplePos x="0" y="0"/>
                  <wp:positionH relativeFrom="column">
                    <wp:posOffset>-26035</wp:posOffset>
                  </wp:positionH>
                  <wp:positionV relativeFrom="page">
                    <wp:posOffset>635</wp:posOffset>
                  </wp:positionV>
                  <wp:extent cx="822960" cy="5829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492" r="4492"/>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62" w:type="dxa"/>
            <w:gridSpan w:val="3"/>
            <w:tcBorders>
              <w:bottom w:val="single" w:sz="12" w:space="0" w:color="000000"/>
            </w:tcBorders>
          </w:tcPr>
          <w:p w14:paraId="6498650F" w14:textId="77777777" w:rsidR="00AE50BF" w:rsidRPr="00AE50BF" w:rsidRDefault="00AE50BF" w:rsidP="00AE50BF">
            <w:pPr>
              <w:jc w:val="right"/>
              <w:rPr>
                <w:rFonts w:ascii="Univers" w:hAnsi="Univers"/>
                <w:b/>
                <w:noProof/>
                <w:sz w:val="32"/>
              </w:rPr>
            </w:pPr>
            <w:r w:rsidRPr="00AE50BF">
              <w:rPr>
                <w:rFonts w:ascii="Univers" w:hAnsi="Univers"/>
                <w:b/>
                <w:noProof/>
                <w:sz w:val="32"/>
              </w:rPr>
              <w:t>CBD</w:t>
            </w:r>
          </w:p>
          <w:p w14:paraId="4569DB99" w14:textId="77777777" w:rsidR="00AE50BF" w:rsidRPr="00AE50BF" w:rsidRDefault="00AE50BF" w:rsidP="00AE50BF">
            <w:pPr>
              <w:jc w:val="left"/>
              <w:rPr>
                <w:rFonts w:ascii="Univers" w:hAnsi="Univers"/>
                <w:b/>
                <w:noProof/>
                <w:sz w:val="32"/>
              </w:rPr>
            </w:pPr>
          </w:p>
        </w:tc>
      </w:tr>
      <w:tr w:rsidR="00AE50BF" w:rsidRPr="00AE50BF" w14:paraId="1C796A20" w14:textId="77777777" w:rsidTr="000D6545">
        <w:trPr>
          <w:trHeight w:val="1693"/>
        </w:trPr>
        <w:tc>
          <w:tcPr>
            <w:tcW w:w="5238" w:type="dxa"/>
            <w:gridSpan w:val="4"/>
          </w:tcPr>
          <w:p w14:paraId="50FC8FB8" w14:textId="77777777" w:rsidR="00AE50BF" w:rsidRPr="00AE50BF" w:rsidRDefault="00AE50BF" w:rsidP="00AE50BF">
            <w:pPr>
              <w:jc w:val="left"/>
              <w:rPr>
                <w:noProof/>
              </w:rPr>
            </w:pPr>
            <w:r w:rsidRPr="00AE50BF">
              <w:rPr>
                <w:bCs/>
                <w:noProof/>
                <w:szCs w:val="22"/>
                <w:lang w:val="en-GB" w:eastAsia="en-GB"/>
              </w:rPr>
              <w:drawing>
                <wp:inline distT="0" distB="0" distL="0" distR="0" wp14:anchorId="3A20BF85" wp14:editId="15601B59">
                  <wp:extent cx="2857500" cy="1076325"/>
                  <wp:effectExtent l="0" t="0" r="0" b="9525"/>
                  <wp:docPr id="4" name="Picture 4"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1710" w:type="dxa"/>
          </w:tcPr>
          <w:p w14:paraId="04225DE3" w14:textId="77777777" w:rsidR="00AE50BF" w:rsidRPr="00AE50BF" w:rsidRDefault="00AE50BF" w:rsidP="00AE50BF">
            <w:pPr>
              <w:rPr>
                <w:noProof/>
              </w:rPr>
            </w:pPr>
          </w:p>
        </w:tc>
        <w:tc>
          <w:tcPr>
            <w:tcW w:w="2941" w:type="dxa"/>
          </w:tcPr>
          <w:p w14:paraId="3578915A" w14:textId="77777777" w:rsidR="00AE50BF" w:rsidRPr="00AE50BF" w:rsidRDefault="00AE50BF" w:rsidP="00AE50BF">
            <w:pPr>
              <w:ind w:left="37"/>
              <w:rPr>
                <w:noProof/>
              </w:rPr>
            </w:pPr>
            <w:r w:rsidRPr="00AE50BF">
              <w:rPr>
                <w:noProof/>
              </w:rPr>
              <w:t>Distr.</w:t>
            </w:r>
          </w:p>
          <w:p w14:paraId="6D6CF2E6" w14:textId="3527332A" w:rsidR="00AE50BF" w:rsidRPr="00AE50BF" w:rsidRDefault="00427E77" w:rsidP="00AE50BF">
            <w:pPr>
              <w:ind w:left="37"/>
              <w:rPr>
                <w:noProof/>
              </w:rPr>
            </w:pPr>
            <w:r>
              <w:rPr>
                <w:snapToGrid w:val="0"/>
                <w:kern w:val="22"/>
                <w:szCs w:val="22"/>
                <w:lang w:val="fr-CA"/>
              </w:rPr>
              <w:t>GÉNÉRALE</w:t>
            </w:r>
            <w:r w:rsidR="00AE50BF" w:rsidRPr="00AE50BF">
              <w:rPr>
                <w:noProof/>
              </w:rPr>
              <w:t xml:space="preserve"> </w:t>
            </w:r>
          </w:p>
          <w:p w14:paraId="07AF4D28" w14:textId="77777777" w:rsidR="00AE50BF" w:rsidRPr="00AE50BF" w:rsidRDefault="00AE50BF" w:rsidP="00AE50BF">
            <w:pPr>
              <w:ind w:left="37"/>
              <w:rPr>
                <w:noProof/>
              </w:rPr>
            </w:pPr>
          </w:p>
          <w:sdt>
            <w:sdtPr>
              <w:rPr>
                <w:snapToGrid w:val="0"/>
                <w:kern w:val="22"/>
                <w:szCs w:val="22"/>
                <w:lang w:val="fr-CA"/>
              </w:rPr>
              <w:alias w:val="Subject"/>
              <w:tag w:val=""/>
              <w:id w:val="1384679032"/>
              <w:placeholder>
                <w:docPart w:val="59B39B4C4D45422099377F2C6475F16D"/>
              </w:placeholder>
              <w:dataBinding w:prefixMappings="xmlns:ns0='http://purl.org/dc/elements/1.1/' xmlns:ns1='http://schemas.openxmlformats.org/package/2006/metadata/core-properties' " w:xpath="/ns1:coreProperties[1]/ns0:subject[1]" w:storeItemID="{6C3C8BC8-F283-45AE-878A-BAB7291924A1}"/>
              <w:text/>
            </w:sdtPr>
            <w:sdtContent>
              <w:p w14:paraId="52BD5140" w14:textId="3E975ABD" w:rsidR="00427E77" w:rsidRDefault="00427E77" w:rsidP="00427E77">
                <w:pPr>
                  <w:rPr>
                    <w:snapToGrid w:val="0"/>
                    <w:kern w:val="22"/>
                    <w:szCs w:val="22"/>
                    <w:lang w:val="fr-CA"/>
                  </w:rPr>
                </w:pPr>
                <w:r>
                  <w:rPr>
                    <w:snapToGrid w:val="0"/>
                    <w:kern w:val="22"/>
                    <w:szCs w:val="22"/>
                    <w:lang w:val="en-GB"/>
                  </w:rPr>
                  <w:t>CBD/SBI/REC/2/14</w:t>
                </w:r>
              </w:p>
            </w:sdtContent>
          </w:sdt>
          <w:p w14:paraId="1DCEC844" w14:textId="7373E326" w:rsidR="00AE50BF" w:rsidRPr="00AE50BF" w:rsidRDefault="00427E77" w:rsidP="00AE50BF">
            <w:pPr>
              <w:ind w:left="37"/>
              <w:rPr>
                <w:noProof/>
              </w:rPr>
            </w:pPr>
            <w:r>
              <w:rPr>
                <w:noProof/>
              </w:rPr>
              <w:t>13</w:t>
            </w:r>
            <w:r w:rsidR="00AE50BF" w:rsidRPr="00AE50BF">
              <w:rPr>
                <w:noProof/>
              </w:rPr>
              <w:t xml:space="preserve"> juillet 2018</w:t>
            </w:r>
          </w:p>
          <w:p w14:paraId="20E58CC8" w14:textId="77777777" w:rsidR="00AE50BF" w:rsidRPr="00AE50BF" w:rsidRDefault="00AE50BF" w:rsidP="00AE50BF">
            <w:pPr>
              <w:ind w:left="37"/>
              <w:rPr>
                <w:noProof/>
              </w:rPr>
            </w:pPr>
          </w:p>
          <w:p w14:paraId="2156915A" w14:textId="77777777" w:rsidR="00AE50BF" w:rsidRPr="00AE50BF" w:rsidRDefault="00AE50BF" w:rsidP="00AE50BF">
            <w:pPr>
              <w:ind w:left="37"/>
              <w:rPr>
                <w:noProof/>
              </w:rPr>
            </w:pPr>
            <w:r w:rsidRPr="00AE50BF">
              <w:rPr>
                <w:noProof/>
              </w:rPr>
              <w:t>FRANÇAIS</w:t>
            </w:r>
          </w:p>
          <w:p w14:paraId="1112E21F" w14:textId="77777777" w:rsidR="00AE50BF" w:rsidRPr="00AE50BF" w:rsidRDefault="00AE50BF" w:rsidP="00AE50BF">
            <w:pPr>
              <w:ind w:left="37"/>
              <w:rPr>
                <w:rFonts w:ascii="Courier New" w:hAnsi="Courier New"/>
                <w:noProof/>
              </w:rPr>
            </w:pPr>
            <w:r w:rsidRPr="00AE50BF">
              <w:rPr>
                <w:noProof/>
              </w:rPr>
              <w:t>ORIGINAL : ANGLAIS</w:t>
            </w:r>
          </w:p>
        </w:tc>
      </w:tr>
    </w:tbl>
    <w:bookmarkEnd w:id="0"/>
    <w:p w14:paraId="5675F250" w14:textId="77777777" w:rsidR="0075669B" w:rsidRPr="007F63ED" w:rsidRDefault="0075669B" w:rsidP="00C947C0">
      <w:pPr>
        <w:jc w:val="left"/>
        <w:rPr>
          <w:rFonts w:eastAsia="Malgun Gothic"/>
          <w:caps/>
          <w:snapToGrid w:val="0"/>
          <w:kern w:val="22"/>
        </w:rPr>
      </w:pPr>
      <w:r w:rsidRPr="007F63ED">
        <w:rPr>
          <w:rFonts w:eastAsia="Malgun Gothic"/>
          <w:caps/>
          <w:snapToGrid w:val="0"/>
          <w:kern w:val="22"/>
        </w:rPr>
        <w:t xml:space="preserve">ORGANE SUBSIDIAIRE CHARGÉ DE </w:t>
      </w:r>
    </w:p>
    <w:p w14:paraId="05DDCCAB" w14:textId="77777777" w:rsidR="0075669B" w:rsidRPr="007F63ED" w:rsidRDefault="0075669B" w:rsidP="0075669B">
      <w:pPr>
        <w:pStyle w:val="Cornernotation"/>
        <w:suppressLineNumbers/>
        <w:suppressAutoHyphens/>
        <w:kinsoku w:val="0"/>
        <w:overflowPunct w:val="0"/>
        <w:autoSpaceDE w:val="0"/>
        <w:autoSpaceDN w:val="0"/>
        <w:adjustRightInd w:val="0"/>
        <w:snapToGrid w:val="0"/>
        <w:ind w:right="3860"/>
        <w:rPr>
          <w:rFonts w:eastAsia="Malgun Gothic"/>
          <w:caps/>
          <w:snapToGrid w:val="0"/>
          <w:kern w:val="22"/>
        </w:rPr>
      </w:pPr>
      <w:r w:rsidRPr="007F63ED">
        <w:rPr>
          <w:rFonts w:eastAsia="Malgun Gothic"/>
          <w:caps/>
          <w:snapToGrid w:val="0"/>
          <w:kern w:val="22"/>
        </w:rPr>
        <w:t xml:space="preserve">L’APPLICATION </w:t>
      </w:r>
    </w:p>
    <w:p w14:paraId="29017B4A" w14:textId="77777777" w:rsidR="0075669B" w:rsidRPr="007F63ED" w:rsidRDefault="0075669B" w:rsidP="0075669B">
      <w:pPr>
        <w:pStyle w:val="Cornernotation"/>
        <w:suppressLineNumbers/>
        <w:suppressAutoHyphens/>
        <w:kinsoku w:val="0"/>
        <w:overflowPunct w:val="0"/>
        <w:autoSpaceDE w:val="0"/>
        <w:autoSpaceDN w:val="0"/>
        <w:adjustRightInd w:val="0"/>
        <w:snapToGrid w:val="0"/>
        <w:ind w:left="0" w:firstLine="0"/>
        <w:jc w:val="both"/>
        <w:rPr>
          <w:snapToGrid w:val="0"/>
          <w:kern w:val="22"/>
          <w:szCs w:val="22"/>
          <w:lang w:eastAsia="nb-NO"/>
        </w:rPr>
      </w:pPr>
      <w:r w:rsidRPr="007F63ED">
        <w:rPr>
          <w:snapToGrid w:val="0"/>
          <w:kern w:val="22"/>
          <w:szCs w:val="22"/>
          <w:lang w:eastAsia="nb-NO"/>
        </w:rPr>
        <w:t xml:space="preserve">Deuxième réunion </w:t>
      </w:r>
    </w:p>
    <w:p w14:paraId="38E37E14" w14:textId="77777777" w:rsidR="0075669B" w:rsidRPr="007F63ED" w:rsidRDefault="0075669B" w:rsidP="0075669B">
      <w:pPr>
        <w:pStyle w:val="Cornernotation"/>
        <w:suppressLineNumbers/>
        <w:suppressAutoHyphens/>
        <w:kinsoku w:val="0"/>
        <w:overflowPunct w:val="0"/>
        <w:autoSpaceDE w:val="0"/>
        <w:autoSpaceDN w:val="0"/>
        <w:adjustRightInd w:val="0"/>
        <w:snapToGrid w:val="0"/>
        <w:ind w:left="0" w:firstLine="0"/>
        <w:jc w:val="both"/>
        <w:rPr>
          <w:color w:val="000000"/>
          <w:kern w:val="22"/>
          <w:szCs w:val="22"/>
        </w:rPr>
      </w:pPr>
      <w:r w:rsidRPr="007F63ED">
        <w:rPr>
          <w:color w:val="000000"/>
          <w:kern w:val="22"/>
          <w:szCs w:val="22"/>
        </w:rPr>
        <w:t>Montréal, Canada, 9-13 juillet 2018</w:t>
      </w:r>
    </w:p>
    <w:p w14:paraId="0A68A7F3" w14:textId="20D7F0B3" w:rsidR="00CA6B87" w:rsidRPr="007F63ED" w:rsidRDefault="0075669B" w:rsidP="0075669B">
      <w:pPr>
        <w:suppressLineNumbers/>
        <w:suppressAutoHyphens/>
        <w:kinsoku w:val="0"/>
        <w:overflowPunct w:val="0"/>
        <w:autoSpaceDE w:val="0"/>
        <w:autoSpaceDN w:val="0"/>
        <w:adjustRightInd w:val="0"/>
        <w:snapToGrid w:val="0"/>
        <w:rPr>
          <w:snapToGrid w:val="0"/>
          <w:kern w:val="22"/>
          <w:szCs w:val="22"/>
          <w:lang w:eastAsia="nb-NO"/>
        </w:rPr>
      </w:pPr>
      <w:r w:rsidRPr="007F63ED">
        <w:rPr>
          <w:snapToGrid w:val="0"/>
          <w:kern w:val="22"/>
          <w:szCs w:val="22"/>
        </w:rPr>
        <w:t>Point 14 de l’ordre du jour</w:t>
      </w:r>
      <w:r w:rsidR="00E438BB">
        <w:rPr>
          <w:snapToGrid w:val="0"/>
          <w:kern w:val="22"/>
          <w:szCs w:val="22"/>
        </w:rPr>
        <w:t xml:space="preserve"> </w:t>
      </w:r>
    </w:p>
    <w:p w14:paraId="504E53C4" w14:textId="77777777" w:rsidR="00C947C0" w:rsidRPr="007F63ED" w:rsidRDefault="00C947C0" w:rsidP="0075669B">
      <w:pPr>
        <w:suppressLineNumbers/>
        <w:suppressAutoHyphens/>
        <w:kinsoku w:val="0"/>
        <w:overflowPunct w:val="0"/>
        <w:autoSpaceDE w:val="0"/>
        <w:autoSpaceDN w:val="0"/>
        <w:adjustRightInd w:val="0"/>
        <w:snapToGrid w:val="0"/>
        <w:rPr>
          <w:snapToGrid w:val="0"/>
          <w:kern w:val="22"/>
          <w:szCs w:val="22"/>
          <w:lang w:eastAsia="nb-NO"/>
        </w:rPr>
      </w:pPr>
    </w:p>
    <w:p w14:paraId="1600384F" w14:textId="6628E291" w:rsidR="00910AB3" w:rsidRPr="007F63ED" w:rsidRDefault="00427E77" w:rsidP="00C947C0">
      <w:pPr>
        <w:suppressLineNumbers/>
        <w:suppressAutoHyphens/>
        <w:kinsoku w:val="0"/>
        <w:overflowPunct w:val="0"/>
        <w:autoSpaceDE w:val="0"/>
        <w:autoSpaceDN w:val="0"/>
        <w:adjustRightInd w:val="0"/>
        <w:snapToGrid w:val="0"/>
        <w:jc w:val="center"/>
        <w:rPr>
          <w:b/>
          <w:snapToGrid w:val="0"/>
          <w:kern w:val="22"/>
          <w:szCs w:val="22"/>
          <w:lang w:eastAsia="nb-NO"/>
        </w:rPr>
      </w:pPr>
      <w:r>
        <w:rPr>
          <w:b/>
          <w:snapToGrid w:val="0"/>
          <w:kern w:val="22"/>
          <w:szCs w:val="22"/>
          <w:lang w:eastAsia="nb-NO"/>
        </w:rPr>
        <w:t>RECOMMANDATION ADOPTÉE PAR L’ORGANE SUBSIDIAIRE CHARGÉ DE L’APPLICATION</w:t>
      </w:r>
    </w:p>
    <w:p w14:paraId="7A949A70" w14:textId="77777777" w:rsidR="00C947C0" w:rsidRPr="007F63ED" w:rsidRDefault="00C947C0" w:rsidP="00C947C0">
      <w:pPr>
        <w:rPr>
          <w:i/>
          <w:snapToGrid w:val="0"/>
          <w:kern w:val="22"/>
          <w:szCs w:val="22"/>
        </w:rPr>
      </w:pPr>
    </w:p>
    <w:p w14:paraId="079BAEFB" w14:textId="3617DC27" w:rsidR="00C947C0" w:rsidRPr="007F63ED" w:rsidRDefault="00427E77" w:rsidP="00427E77">
      <w:pPr>
        <w:pStyle w:val="recommendationheader"/>
        <w:tabs>
          <w:tab w:val="clear" w:pos="720"/>
        </w:tabs>
        <w:ind w:left="1418" w:hanging="709"/>
        <w:jc w:val="left"/>
        <w:rPr>
          <w:snapToGrid w:val="0"/>
        </w:rPr>
      </w:pPr>
      <w:r>
        <w:rPr>
          <w:snapToGrid w:val="0"/>
        </w:rPr>
        <w:t>2/14.</w:t>
      </w:r>
      <w:r>
        <w:rPr>
          <w:snapToGrid w:val="0"/>
        </w:rPr>
        <w:tab/>
        <w:t>Renforcement de l’intégration au titre de la Convention et de ses protocoles des dispositions relatives à la prévention des risques biotechnologique et des dispositions relatives à l’accès et au partage des avantages</w:t>
      </w:r>
    </w:p>
    <w:p w14:paraId="1CE7B6DF" w14:textId="106994DE" w:rsidR="00294B14" w:rsidRDefault="00C947C0" w:rsidP="00294B14">
      <w:pPr>
        <w:pStyle w:val="Para1"/>
        <w:numPr>
          <w:ilvl w:val="0"/>
          <w:numId w:val="0"/>
        </w:numPr>
        <w:kinsoku w:val="0"/>
        <w:overflowPunct w:val="0"/>
        <w:autoSpaceDE w:val="0"/>
        <w:autoSpaceDN w:val="0"/>
        <w:ind w:firstLine="720"/>
        <w:rPr>
          <w:i/>
          <w:snapToGrid/>
          <w:kern w:val="22"/>
          <w:szCs w:val="22"/>
        </w:rPr>
      </w:pPr>
      <w:r w:rsidRPr="007F63ED">
        <w:rPr>
          <w:i/>
          <w:snapToGrid/>
          <w:kern w:val="22"/>
          <w:szCs w:val="22"/>
        </w:rPr>
        <w:t>L'Org</w:t>
      </w:r>
      <w:r w:rsidR="003F1C75">
        <w:rPr>
          <w:i/>
          <w:snapToGrid/>
          <w:kern w:val="22"/>
          <w:szCs w:val="22"/>
        </w:rPr>
        <w:t>ane subsidiaire chargé de l’application</w:t>
      </w:r>
      <w:r w:rsidRPr="007F63ED">
        <w:rPr>
          <w:i/>
          <w:snapToGrid/>
          <w:kern w:val="22"/>
          <w:szCs w:val="22"/>
        </w:rPr>
        <w:t>,</w:t>
      </w:r>
    </w:p>
    <w:p w14:paraId="31F5B0ED" w14:textId="0276A67A" w:rsidR="00C947C0" w:rsidRPr="007F63ED" w:rsidRDefault="00C947C0" w:rsidP="00B255CA">
      <w:pPr>
        <w:pStyle w:val="Para1"/>
        <w:numPr>
          <w:ilvl w:val="0"/>
          <w:numId w:val="0"/>
        </w:numPr>
        <w:kinsoku w:val="0"/>
        <w:overflowPunct w:val="0"/>
        <w:autoSpaceDE w:val="0"/>
        <w:autoSpaceDN w:val="0"/>
        <w:ind w:left="142" w:firstLine="567"/>
        <w:rPr>
          <w:snapToGrid/>
          <w:kern w:val="22"/>
          <w:szCs w:val="22"/>
        </w:rPr>
      </w:pPr>
      <w:r w:rsidRPr="00294B14">
        <w:rPr>
          <w:i/>
          <w:snapToGrid/>
          <w:kern w:val="22"/>
          <w:szCs w:val="22"/>
        </w:rPr>
        <w:t>Recommande</w:t>
      </w:r>
      <w:r w:rsidR="003F1C75">
        <w:rPr>
          <w:snapToGrid/>
          <w:kern w:val="22"/>
          <w:szCs w:val="22"/>
        </w:rPr>
        <w:t xml:space="preserve"> que la Conférence des Parties adopte</w:t>
      </w:r>
      <w:r w:rsidRPr="007F63ED">
        <w:rPr>
          <w:snapToGrid/>
          <w:kern w:val="22"/>
          <w:szCs w:val="22"/>
        </w:rPr>
        <w:t>, à sa quatorzième réunion, une décision libellée comme suit :</w:t>
      </w:r>
    </w:p>
    <w:p w14:paraId="6BAE091A" w14:textId="0D73B1FE" w:rsidR="00440A3A" w:rsidRDefault="00FB60E9" w:rsidP="00C947C0">
      <w:pPr>
        <w:pStyle w:val="Para1"/>
        <w:numPr>
          <w:ilvl w:val="0"/>
          <w:numId w:val="0"/>
        </w:numPr>
        <w:kinsoku w:val="0"/>
        <w:overflowPunct w:val="0"/>
        <w:autoSpaceDE w:val="0"/>
        <w:autoSpaceDN w:val="0"/>
        <w:ind w:left="720" w:firstLine="720"/>
        <w:rPr>
          <w:i/>
          <w:snapToGrid/>
          <w:kern w:val="22"/>
          <w:szCs w:val="22"/>
        </w:rPr>
      </w:pPr>
      <w:r w:rsidRPr="007F63ED">
        <w:rPr>
          <w:i/>
          <w:snapToGrid/>
          <w:kern w:val="22"/>
          <w:szCs w:val="22"/>
        </w:rPr>
        <w:t>La Conférence des Parties</w:t>
      </w:r>
      <w:r w:rsidR="00B255CA">
        <w:rPr>
          <w:i/>
          <w:snapToGrid/>
          <w:kern w:val="22"/>
          <w:szCs w:val="22"/>
        </w:rPr>
        <w:t>,</w:t>
      </w:r>
    </w:p>
    <w:p w14:paraId="0999C14F" w14:textId="5839ADB6" w:rsidR="003F1C75" w:rsidRPr="007F63ED" w:rsidRDefault="003F1C75" w:rsidP="003F1C75">
      <w:pPr>
        <w:keepNext/>
        <w:suppressLineNumbers/>
        <w:suppressAutoHyphens/>
        <w:kinsoku w:val="0"/>
        <w:overflowPunct w:val="0"/>
        <w:autoSpaceDE w:val="0"/>
        <w:autoSpaceDN w:val="0"/>
        <w:adjustRightInd w:val="0"/>
        <w:snapToGrid w:val="0"/>
        <w:spacing w:before="120" w:after="120"/>
        <w:ind w:left="1124" w:right="389" w:hanging="562"/>
        <w:jc w:val="center"/>
        <w:rPr>
          <w:i/>
          <w:kern w:val="22"/>
          <w:szCs w:val="22"/>
        </w:rPr>
      </w:pPr>
      <w:r>
        <w:rPr>
          <w:b/>
          <w:kern w:val="22"/>
          <w:szCs w:val="22"/>
        </w:rPr>
        <w:t>A.</w:t>
      </w:r>
      <w:r>
        <w:rPr>
          <w:b/>
          <w:kern w:val="22"/>
          <w:szCs w:val="22"/>
        </w:rPr>
        <w:tab/>
        <w:t>Dispositions relatives à la prévention des risques biotechnologiques</w:t>
      </w:r>
    </w:p>
    <w:p w14:paraId="74E3C432" w14:textId="72F16B6C" w:rsidR="00C947C0" w:rsidRPr="007F63ED" w:rsidRDefault="00C947C0" w:rsidP="00C947C0">
      <w:pPr>
        <w:pStyle w:val="Para1"/>
        <w:numPr>
          <w:ilvl w:val="0"/>
          <w:numId w:val="0"/>
        </w:numPr>
        <w:kinsoku w:val="0"/>
        <w:overflowPunct w:val="0"/>
        <w:autoSpaceDE w:val="0"/>
        <w:autoSpaceDN w:val="0"/>
        <w:ind w:left="720" w:firstLine="720"/>
        <w:rPr>
          <w:snapToGrid/>
          <w:kern w:val="22"/>
          <w:szCs w:val="22"/>
        </w:rPr>
      </w:pPr>
      <w:r w:rsidRPr="007F63ED">
        <w:rPr>
          <w:i/>
          <w:snapToGrid/>
          <w:kern w:val="22"/>
          <w:szCs w:val="22"/>
        </w:rPr>
        <w:t>Rappelant</w:t>
      </w:r>
      <w:r w:rsidRPr="007F63ED">
        <w:rPr>
          <w:snapToGrid/>
          <w:kern w:val="22"/>
          <w:szCs w:val="22"/>
        </w:rPr>
        <w:t xml:space="preserve"> la demande faite aux Parties d'intégrer la prévention des risques biotechnologiques dans leurs stratégies et plans d'action nationaux pour la biodiversité, dans les plans nationaux de développement et autres politiques, plans et programmes sectoriels et intersectoriels pertinents, selon qu'il convie</w:t>
      </w:r>
      <w:r w:rsidR="003F1C75">
        <w:rPr>
          <w:snapToGrid/>
          <w:kern w:val="22"/>
          <w:szCs w:val="22"/>
        </w:rPr>
        <w:t>nt, en tenant compte des circonstances</w:t>
      </w:r>
      <w:r w:rsidRPr="007F63ED">
        <w:rPr>
          <w:snapToGrid/>
          <w:kern w:val="22"/>
          <w:szCs w:val="22"/>
        </w:rPr>
        <w:t>, de la législation et des priorités nationales</w:t>
      </w:r>
      <w:r w:rsidRPr="00A60A8A">
        <w:rPr>
          <w:rStyle w:val="FootnoteReference"/>
          <w:snapToGrid/>
          <w:kern w:val="22"/>
          <w:szCs w:val="22"/>
        </w:rPr>
        <w:footnoteReference w:id="1"/>
      </w:r>
      <w:r w:rsidRPr="007F63ED">
        <w:rPr>
          <w:snapToGrid/>
          <w:kern w:val="22"/>
          <w:szCs w:val="22"/>
        </w:rPr>
        <w:t>,</w:t>
      </w:r>
    </w:p>
    <w:p w14:paraId="60EA9CB6" w14:textId="50DC1EBE" w:rsidR="00C947C0" w:rsidRPr="007F63ED" w:rsidRDefault="00C947C0" w:rsidP="00C947C0">
      <w:pPr>
        <w:pStyle w:val="Para1"/>
        <w:numPr>
          <w:ilvl w:val="0"/>
          <w:numId w:val="0"/>
        </w:numPr>
        <w:kinsoku w:val="0"/>
        <w:overflowPunct w:val="0"/>
        <w:autoSpaceDE w:val="0"/>
        <w:autoSpaceDN w:val="0"/>
        <w:ind w:left="720" w:firstLine="720"/>
        <w:rPr>
          <w:snapToGrid/>
          <w:kern w:val="22"/>
          <w:szCs w:val="22"/>
        </w:rPr>
      </w:pPr>
      <w:r w:rsidRPr="007F63ED">
        <w:rPr>
          <w:i/>
          <w:snapToGrid/>
          <w:kern w:val="22"/>
          <w:szCs w:val="22"/>
        </w:rPr>
        <w:t>Notant</w:t>
      </w:r>
      <w:r w:rsidRPr="007F63ED">
        <w:rPr>
          <w:snapToGrid/>
          <w:kern w:val="22"/>
          <w:szCs w:val="22"/>
        </w:rPr>
        <w:t xml:space="preserve"> l</w:t>
      </w:r>
      <w:r w:rsidR="007F63ED" w:rsidRPr="007F63ED">
        <w:rPr>
          <w:snapToGrid/>
          <w:kern w:val="22"/>
          <w:szCs w:val="22"/>
        </w:rPr>
        <w:t xml:space="preserve">es liens </w:t>
      </w:r>
      <w:r w:rsidRPr="007F63ED">
        <w:rPr>
          <w:snapToGrid/>
          <w:kern w:val="22"/>
          <w:szCs w:val="22"/>
        </w:rPr>
        <w:t>entre les dispositions de la Convention relatives à la prévention des risqu</w:t>
      </w:r>
      <w:r w:rsidR="006F033D">
        <w:rPr>
          <w:snapToGrid/>
          <w:kern w:val="22"/>
          <w:szCs w:val="22"/>
        </w:rPr>
        <w:t xml:space="preserve">es biotechnologiques, en particulier </w:t>
      </w:r>
      <w:r w:rsidR="009D1658">
        <w:rPr>
          <w:snapToGrid/>
          <w:kern w:val="22"/>
          <w:szCs w:val="22"/>
        </w:rPr>
        <w:t xml:space="preserve">l’article 8 g) et le </w:t>
      </w:r>
      <w:r w:rsidRPr="007F63ED">
        <w:rPr>
          <w:snapToGrid/>
          <w:kern w:val="22"/>
          <w:szCs w:val="22"/>
        </w:rPr>
        <w:t>paragraphe 4</w:t>
      </w:r>
      <w:r w:rsidR="009D1658">
        <w:rPr>
          <w:snapToGrid/>
          <w:kern w:val="22"/>
          <w:szCs w:val="22"/>
        </w:rPr>
        <w:t xml:space="preserve"> de l’article 19, et les dispositions du</w:t>
      </w:r>
      <w:r w:rsidRPr="007F63ED">
        <w:rPr>
          <w:snapToGrid/>
          <w:kern w:val="22"/>
          <w:szCs w:val="22"/>
        </w:rPr>
        <w:t xml:space="preserve"> Protocole de Cartagena sur la prévention des risques biotechnologiques,</w:t>
      </w:r>
    </w:p>
    <w:p w14:paraId="20743405" w14:textId="64909452" w:rsidR="00C947C0" w:rsidRPr="007F63ED" w:rsidRDefault="00C947C0" w:rsidP="00C947C0">
      <w:pPr>
        <w:pStyle w:val="Para1"/>
        <w:numPr>
          <w:ilvl w:val="0"/>
          <w:numId w:val="0"/>
        </w:numPr>
        <w:kinsoku w:val="0"/>
        <w:overflowPunct w:val="0"/>
        <w:autoSpaceDE w:val="0"/>
        <w:autoSpaceDN w:val="0"/>
        <w:ind w:left="720" w:firstLine="720"/>
        <w:rPr>
          <w:snapToGrid/>
          <w:kern w:val="22"/>
          <w:szCs w:val="22"/>
        </w:rPr>
      </w:pPr>
      <w:r w:rsidRPr="007F63ED">
        <w:rPr>
          <w:i/>
          <w:snapToGrid/>
          <w:kern w:val="22"/>
          <w:szCs w:val="22"/>
        </w:rPr>
        <w:t>Reconnaissant</w:t>
      </w:r>
      <w:r w:rsidRPr="007F63ED">
        <w:rPr>
          <w:snapToGrid/>
          <w:kern w:val="22"/>
          <w:szCs w:val="22"/>
        </w:rPr>
        <w:t xml:space="preserve"> que la </w:t>
      </w:r>
      <w:r w:rsidR="009D1658">
        <w:rPr>
          <w:snapToGrid/>
          <w:kern w:val="22"/>
          <w:szCs w:val="22"/>
        </w:rPr>
        <w:t>ratification et l’application</w:t>
      </w:r>
      <w:r w:rsidRPr="007F63ED">
        <w:rPr>
          <w:snapToGrid/>
          <w:kern w:val="22"/>
          <w:szCs w:val="22"/>
        </w:rPr>
        <w:t xml:space="preserve"> du Protocole de Cartagena et du Protocole additionnel de Nagoya-Kuala-Lumpur sur la responsabilité et la réparation contribuent à la réalisation des objectifs de la Convention,</w:t>
      </w:r>
    </w:p>
    <w:p w14:paraId="69A2309B" w14:textId="680E6C9E" w:rsidR="00FB60E9" w:rsidRPr="007F63ED" w:rsidRDefault="00FB60E9" w:rsidP="00C947C0">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7F63ED">
        <w:rPr>
          <w:rFonts w:eastAsia="Calibri"/>
          <w:i/>
          <w:kern w:val="22"/>
          <w:szCs w:val="22"/>
        </w:rPr>
        <w:t>Prie</w:t>
      </w:r>
      <w:r w:rsidRPr="007F63ED">
        <w:rPr>
          <w:rFonts w:eastAsia="Calibri"/>
          <w:kern w:val="22"/>
          <w:szCs w:val="22"/>
        </w:rPr>
        <w:t xml:space="preserve"> </w:t>
      </w:r>
      <w:r w:rsidRPr="007F63ED">
        <w:rPr>
          <w:rFonts w:eastAsia="Calibri"/>
          <w:i/>
          <w:kern w:val="22"/>
          <w:szCs w:val="22"/>
        </w:rPr>
        <w:t>instamment</w:t>
      </w:r>
      <w:r w:rsidRPr="007F63ED">
        <w:rPr>
          <w:rFonts w:eastAsia="Calibri"/>
          <w:kern w:val="22"/>
          <w:szCs w:val="22"/>
        </w:rPr>
        <w:t xml:space="preserve"> les Parties à la Convention sur la diversité biologique qui ne l'ont pas encore fait de déposer leur instrument de ratification, d'acceptation ou d'approbation ou leur instrument d'adhésion au Protocole de </w:t>
      </w:r>
      <w:r w:rsidR="00C947C0" w:rsidRPr="007F63ED">
        <w:rPr>
          <w:rFonts w:eastAsia="Calibri"/>
          <w:kern w:val="22"/>
          <w:szCs w:val="22"/>
        </w:rPr>
        <w:t>Cartagena</w:t>
      </w:r>
      <w:r w:rsidRPr="007F63ED">
        <w:rPr>
          <w:rFonts w:eastAsia="Calibri"/>
          <w:kern w:val="22"/>
          <w:szCs w:val="22"/>
        </w:rPr>
        <w:t xml:space="preserve"> dès que possible, et de prendre des mes</w:t>
      </w:r>
      <w:r w:rsidR="009D1658">
        <w:rPr>
          <w:rFonts w:eastAsia="Calibri"/>
          <w:kern w:val="22"/>
          <w:szCs w:val="22"/>
        </w:rPr>
        <w:t>ures en vue de son application, notamment en mettant en place</w:t>
      </w:r>
      <w:r w:rsidRPr="007F63ED">
        <w:rPr>
          <w:rFonts w:eastAsia="Calibri"/>
          <w:kern w:val="22"/>
          <w:szCs w:val="22"/>
        </w:rPr>
        <w:t xml:space="preserve"> des structures institutionnelles et des mesures législatives, administratives et </w:t>
      </w:r>
      <w:r w:rsidR="007A7902" w:rsidRPr="007F63ED">
        <w:rPr>
          <w:rFonts w:eastAsia="Calibri"/>
          <w:kern w:val="22"/>
          <w:szCs w:val="22"/>
        </w:rPr>
        <w:t>de politique générale</w:t>
      </w:r>
      <w:r w:rsidRPr="007F63ED">
        <w:rPr>
          <w:rFonts w:eastAsia="Calibri"/>
          <w:kern w:val="22"/>
          <w:szCs w:val="22"/>
        </w:rPr>
        <w:t xml:space="preserve"> relatives </w:t>
      </w:r>
      <w:r w:rsidR="00C947C0" w:rsidRPr="007F63ED">
        <w:rPr>
          <w:snapToGrid/>
          <w:kern w:val="22"/>
          <w:szCs w:val="22"/>
        </w:rPr>
        <w:t xml:space="preserve">à la prévention des risques biotechnologiques </w:t>
      </w:r>
      <w:r w:rsidRPr="007F63ED">
        <w:rPr>
          <w:rFonts w:eastAsia="Calibri"/>
          <w:kern w:val="22"/>
          <w:szCs w:val="22"/>
        </w:rPr>
        <w:t>;</w:t>
      </w:r>
    </w:p>
    <w:p w14:paraId="11691D17" w14:textId="77825622" w:rsidR="00C947C0" w:rsidRPr="007F63ED" w:rsidRDefault="00C947C0" w:rsidP="00C947C0">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7F63ED">
        <w:rPr>
          <w:rFonts w:eastAsia="Calibri"/>
          <w:i/>
          <w:kern w:val="22"/>
          <w:szCs w:val="22"/>
        </w:rPr>
        <w:lastRenderedPageBreak/>
        <w:t>Rappelle</w:t>
      </w:r>
      <w:r w:rsidRPr="007F63ED">
        <w:rPr>
          <w:rFonts w:eastAsia="Calibri"/>
          <w:kern w:val="22"/>
          <w:szCs w:val="22"/>
        </w:rPr>
        <w:t xml:space="preserve"> aux Parties à la Convention sur la diversité biologique</w:t>
      </w:r>
      <w:r w:rsidR="003002EF" w:rsidRPr="007F63ED">
        <w:rPr>
          <w:rFonts w:eastAsia="Calibri"/>
          <w:kern w:val="22"/>
          <w:szCs w:val="22"/>
        </w:rPr>
        <w:t>,</w:t>
      </w:r>
      <w:r w:rsidRPr="007F63ED">
        <w:rPr>
          <w:rFonts w:eastAsia="Calibri"/>
          <w:kern w:val="22"/>
          <w:szCs w:val="22"/>
        </w:rPr>
        <w:t xml:space="preserve"> qui ne sont pas Parties au Protocole de Cartagena</w:t>
      </w:r>
      <w:r w:rsidR="003002EF" w:rsidRPr="007F63ED">
        <w:rPr>
          <w:rFonts w:eastAsia="Calibri"/>
          <w:kern w:val="22"/>
          <w:szCs w:val="22"/>
        </w:rPr>
        <w:t>,</w:t>
      </w:r>
      <w:r w:rsidRPr="007F63ED">
        <w:rPr>
          <w:rFonts w:eastAsia="Calibri"/>
          <w:kern w:val="22"/>
          <w:szCs w:val="22"/>
        </w:rPr>
        <w:t xml:space="preserve"> leurs obligations en matière de prévention des risques biotechnologiques au titre de la Convention, et les invite à continuer de communiquer les informations pertinentes au Centre d'échange </w:t>
      </w:r>
      <w:r w:rsidR="007F63ED">
        <w:rPr>
          <w:rFonts w:eastAsia="Calibri"/>
          <w:kern w:val="22"/>
          <w:szCs w:val="22"/>
        </w:rPr>
        <w:t>sur</w:t>
      </w:r>
      <w:r w:rsidRPr="007F63ED">
        <w:rPr>
          <w:rFonts w:eastAsia="Calibri"/>
          <w:kern w:val="22"/>
          <w:szCs w:val="22"/>
        </w:rPr>
        <w:t xml:space="preserve"> la prévention des risques bio</w:t>
      </w:r>
      <w:r w:rsidR="00C5090C">
        <w:rPr>
          <w:rFonts w:eastAsia="Calibri"/>
          <w:kern w:val="22"/>
          <w:szCs w:val="22"/>
        </w:rPr>
        <w:t>technologiques et à remettre leur</w:t>
      </w:r>
      <w:r w:rsidRPr="007F63ED">
        <w:rPr>
          <w:rFonts w:eastAsia="Calibri"/>
          <w:kern w:val="22"/>
          <w:szCs w:val="22"/>
        </w:rPr>
        <w:t xml:space="preserve"> quatrième rapport national au titre du Protocole de Cartagena ;</w:t>
      </w:r>
    </w:p>
    <w:p w14:paraId="52269DDF" w14:textId="7767BD40" w:rsidR="00FB60E9" w:rsidRPr="007F63ED" w:rsidRDefault="00C947C0" w:rsidP="00C947C0">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7F63ED">
        <w:rPr>
          <w:rFonts w:eastAsia="Calibri"/>
          <w:i/>
          <w:kern w:val="22"/>
          <w:szCs w:val="22"/>
        </w:rPr>
        <w:t>Encourage</w:t>
      </w:r>
      <w:r w:rsidRPr="007F63ED">
        <w:rPr>
          <w:rFonts w:eastAsia="Calibri"/>
          <w:kern w:val="22"/>
          <w:szCs w:val="22"/>
        </w:rPr>
        <w:t xml:space="preserve"> les Parties à élaborer et à mettre en œuvre des plans d'action nationaux pour l'intégration de la prévention des risques biotechnologiques dans les instruments juridiques et politiques nationaux et à rendre compte des progrès accomplis à cet égard dans leur rapport national </w:t>
      </w:r>
      <w:r w:rsidR="00FB60E9" w:rsidRPr="007F63ED">
        <w:rPr>
          <w:rFonts w:eastAsia="Calibri"/>
          <w:kern w:val="22"/>
          <w:szCs w:val="22"/>
        </w:rPr>
        <w:t>;</w:t>
      </w:r>
    </w:p>
    <w:p w14:paraId="2E834310" w14:textId="495F4AD2" w:rsidR="00FB60E9" w:rsidRPr="007F63ED" w:rsidRDefault="00C947C0" w:rsidP="00C947C0">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7F63ED">
        <w:rPr>
          <w:rFonts w:eastAsia="Calibri"/>
          <w:i/>
          <w:kern w:val="22"/>
          <w:szCs w:val="22"/>
        </w:rPr>
        <w:t>Invite</w:t>
      </w:r>
      <w:r w:rsidRPr="007F63ED">
        <w:rPr>
          <w:rFonts w:eastAsia="Calibri"/>
          <w:kern w:val="22"/>
          <w:szCs w:val="22"/>
        </w:rPr>
        <w:t xml:space="preserve"> les gouvernements e</w:t>
      </w:r>
      <w:r w:rsidR="00C5090C">
        <w:rPr>
          <w:rFonts w:eastAsia="Calibri"/>
          <w:kern w:val="22"/>
          <w:szCs w:val="22"/>
        </w:rPr>
        <w:t>t les organisations compétentes qui sont en mesure de le faire</w:t>
      </w:r>
      <w:r w:rsidRPr="007F63ED">
        <w:rPr>
          <w:rFonts w:eastAsia="Calibri"/>
          <w:kern w:val="22"/>
          <w:szCs w:val="22"/>
        </w:rPr>
        <w:t xml:space="preserve"> à fournir un appui technique et financier pour </w:t>
      </w:r>
      <w:r w:rsidR="00C5090C">
        <w:rPr>
          <w:rFonts w:eastAsia="Calibri"/>
          <w:kern w:val="22"/>
          <w:szCs w:val="22"/>
        </w:rPr>
        <w:t xml:space="preserve">répondre aux besoins en matière </w:t>
      </w:r>
      <w:r w:rsidRPr="007F63ED">
        <w:rPr>
          <w:rFonts w:eastAsia="Calibri"/>
          <w:kern w:val="22"/>
          <w:szCs w:val="22"/>
        </w:rPr>
        <w:t>de</w:t>
      </w:r>
      <w:r w:rsidR="00C5090C">
        <w:rPr>
          <w:rFonts w:eastAsia="Calibri"/>
          <w:kern w:val="22"/>
          <w:szCs w:val="22"/>
        </w:rPr>
        <w:t xml:space="preserve"> création et de</w:t>
      </w:r>
      <w:r w:rsidRPr="007F63ED">
        <w:rPr>
          <w:rFonts w:eastAsia="Calibri"/>
          <w:kern w:val="22"/>
          <w:szCs w:val="22"/>
        </w:rPr>
        <w:t xml:space="preserve"> renforcement d</w:t>
      </w:r>
      <w:r w:rsidR="00C5090C">
        <w:rPr>
          <w:rFonts w:eastAsia="Calibri"/>
          <w:kern w:val="22"/>
          <w:szCs w:val="22"/>
        </w:rPr>
        <w:t>es capacités</w:t>
      </w:r>
      <w:r w:rsidRPr="007F63ED">
        <w:rPr>
          <w:rFonts w:eastAsia="Calibri"/>
          <w:kern w:val="22"/>
          <w:szCs w:val="22"/>
        </w:rPr>
        <w:t xml:space="preserve">, ainsi que des ressources financières pour appuyer la </w:t>
      </w:r>
      <w:r w:rsidR="00C5090C">
        <w:rPr>
          <w:rFonts w:eastAsia="Calibri"/>
          <w:kern w:val="22"/>
          <w:szCs w:val="22"/>
        </w:rPr>
        <w:t>ratification et l’application</w:t>
      </w:r>
      <w:r w:rsidRPr="007F63ED">
        <w:rPr>
          <w:rFonts w:eastAsia="Calibri"/>
          <w:kern w:val="22"/>
          <w:szCs w:val="22"/>
        </w:rPr>
        <w:t xml:space="preserve"> du Protocole de Cartagena </w:t>
      </w:r>
      <w:r w:rsidR="00FB60E9" w:rsidRPr="007F63ED">
        <w:rPr>
          <w:rFonts w:eastAsia="Calibri"/>
          <w:kern w:val="22"/>
          <w:szCs w:val="22"/>
        </w:rPr>
        <w:t>;</w:t>
      </w:r>
    </w:p>
    <w:p w14:paraId="12C4B026" w14:textId="01690E20" w:rsidR="00D1789D" w:rsidRPr="007F63ED" w:rsidRDefault="00C947C0" w:rsidP="00C947C0">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7F63ED">
        <w:rPr>
          <w:rFonts w:eastAsia="Calibri"/>
          <w:i/>
          <w:kern w:val="22"/>
          <w:szCs w:val="22"/>
        </w:rPr>
        <w:t>Convient</w:t>
      </w:r>
      <w:r w:rsidRPr="007F63ED">
        <w:rPr>
          <w:rFonts w:eastAsia="Calibri"/>
          <w:kern w:val="22"/>
          <w:szCs w:val="22"/>
        </w:rPr>
        <w:t xml:space="preserve"> d'examiner la possibilité d'</w:t>
      </w:r>
      <w:r w:rsidR="007F63ED">
        <w:rPr>
          <w:rFonts w:eastAsia="Calibri"/>
          <w:kern w:val="22"/>
          <w:szCs w:val="22"/>
        </w:rPr>
        <w:t>intégrer</w:t>
      </w:r>
      <w:r w:rsidRPr="007F63ED">
        <w:rPr>
          <w:rFonts w:eastAsia="Calibri"/>
          <w:kern w:val="22"/>
          <w:szCs w:val="22"/>
        </w:rPr>
        <w:t xml:space="preserve"> des éléments relatifs à la prévention des risques biotechnologi</w:t>
      </w:r>
      <w:r w:rsidR="005E6D95">
        <w:rPr>
          <w:rFonts w:eastAsia="Calibri"/>
          <w:kern w:val="22"/>
          <w:szCs w:val="22"/>
        </w:rPr>
        <w:t>ques dans le cadre mondial de la biodiversité pour l’après-</w:t>
      </w:r>
      <w:r w:rsidR="00C5090C">
        <w:rPr>
          <w:rFonts w:eastAsia="Calibri"/>
          <w:kern w:val="22"/>
          <w:szCs w:val="22"/>
        </w:rPr>
        <w:t xml:space="preserve">2020 et dans le modèle de rapport national établi </w:t>
      </w:r>
      <w:r w:rsidRPr="007F63ED">
        <w:rPr>
          <w:rFonts w:eastAsia="Calibri"/>
          <w:kern w:val="22"/>
          <w:szCs w:val="22"/>
        </w:rPr>
        <w:t>au titre de la Convention, ainsi que dans d'autres domaines de travail relevant de la Convention ;</w:t>
      </w:r>
    </w:p>
    <w:p w14:paraId="4771AF5D" w14:textId="77777777" w:rsidR="00C5090C" w:rsidRDefault="00C947C0" w:rsidP="00C5090C">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7F63ED">
        <w:rPr>
          <w:rFonts w:eastAsia="Calibri"/>
          <w:i/>
          <w:kern w:val="22"/>
          <w:szCs w:val="22"/>
        </w:rPr>
        <w:t>Prie</w:t>
      </w:r>
      <w:r w:rsidR="00C5090C">
        <w:rPr>
          <w:rFonts w:eastAsia="Calibri"/>
          <w:kern w:val="22"/>
          <w:szCs w:val="22"/>
        </w:rPr>
        <w:t xml:space="preserve"> la Secrétaire exécutive, dans la limite </w:t>
      </w:r>
      <w:r w:rsidRPr="007F63ED">
        <w:rPr>
          <w:rFonts w:eastAsia="Calibri"/>
          <w:kern w:val="22"/>
          <w:szCs w:val="22"/>
        </w:rPr>
        <w:t>des ressources</w:t>
      </w:r>
      <w:r w:rsidR="00C5090C">
        <w:rPr>
          <w:rFonts w:eastAsia="Calibri"/>
          <w:kern w:val="22"/>
          <w:szCs w:val="22"/>
        </w:rPr>
        <w:t xml:space="preserve"> disponibles</w:t>
      </w:r>
      <w:r w:rsidRPr="007F63ED">
        <w:rPr>
          <w:rFonts w:eastAsia="Calibri"/>
          <w:kern w:val="22"/>
          <w:szCs w:val="22"/>
        </w:rPr>
        <w:t xml:space="preserve"> et compte tenu des objectifs de la Convention, du Protocole de Cartagena et du Protocole </w:t>
      </w:r>
      <w:r w:rsidR="007F63ED">
        <w:rPr>
          <w:rFonts w:eastAsia="Calibri"/>
          <w:kern w:val="22"/>
          <w:szCs w:val="22"/>
        </w:rPr>
        <w:t>additionnel</w:t>
      </w:r>
      <w:r w:rsidRPr="007F63ED">
        <w:rPr>
          <w:rFonts w:eastAsia="Calibri"/>
          <w:kern w:val="22"/>
          <w:szCs w:val="22"/>
        </w:rPr>
        <w:t xml:space="preserve"> de Nagoya-Kuala-Lumpur sur la responsabilité et la réparation, de p</w:t>
      </w:r>
      <w:r w:rsidR="003002EF" w:rsidRPr="007F63ED">
        <w:rPr>
          <w:rFonts w:eastAsia="Calibri"/>
          <w:kern w:val="22"/>
          <w:szCs w:val="22"/>
        </w:rPr>
        <w:t xml:space="preserve">oursuivre les efforts visant à :  </w:t>
      </w:r>
      <w:r w:rsidR="00C5090C">
        <w:rPr>
          <w:rFonts w:eastAsia="Calibri"/>
          <w:kern w:val="22"/>
          <w:szCs w:val="22"/>
        </w:rPr>
        <w:t>a) </w:t>
      </w:r>
      <w:r w:rsidRPr="007F63ED">
        <w:rPr>
          <w:rFonts w:eastAsia="Calibri"/>
          <w:kern w:val="22"/>
          <w:szCs w:val="22"/>
        </w:rPr>
        <w:t>intégrer la prévention des risques biotechnologiques dans les programm</w:t>
      </w:r>
      <w:r w:rsidR="003002EF" w:rsidRPr="007F63ED">
        <w:rPr>
          <w:rFonts w:eastAsia="Calibri"/>
          <w:kern w:val="22"/>
          <w:szCs w:val="22"/>
        </w:rPr>
        <w:t>es de</w:t>
      </w:r>
      <w:r w:rsidR="00C5090C">
        <w:rPr>
          <w:rFonts w:eastAsia="Calibri"/>
          <w:kern w:val="22"/>
          <w:szCs w:val="22"/>
        </w:rPr>
        <w:t xml:space="preserve"> travail du Secrétariat</w:t>
      </w:r>
      <w:r w:rsidR="003002EF" w:rsidRPr="007F63ED">
        <w:rPr>
          <w:rFonts w:eastAsia="Calibri"/>
          <w:kern w:val="22"/>
          <w:szCs w:val="22"/>
        </w:rPr>
        <w:t xml:space="preserve">; </w:t>
      </w:r>
      <w:r w:rsidR="00C5090C">
        <w:rPr>
          <w:rFonts w:eastAsia="Calibri"/>
          <w:kern w:val="22"/>
          <w:szCs w:val="22"/>
        </w:rPr>
        <w:t xml:space="preserve">b) faire </w:t>
      </w:r>
      <w:r w:rsidRPr="007F63ED">
        <w:rPr>
          <w:rFonts w:eastAsia="Calibri"/>
          <w:kern w:val="22"/>
          <w:szCs w:val="22"/>
        </w:rPr>
        <w:t xml:space="preserve">connaître les dispositions de la Convention et du Protocole de Cartagena relatives à la prévention des </w:t>
      </w:r>
      <w:r w:rsidR="00C5090C">
        <w:rPr>
          <w:rFonts w:eastAsia="Calibri"/>
          <w:kern w:val="22"/>
          <w:szCs w:val="22"/>
        </w:rPr>
        <w:t xml:space="preserve">risques biotechnologiques; </w:t>
      </w:r>
      <w:r w:rsidRPr="007F63ED">
        <w:rPr>
          <w:rFonts w:eastAsia="Calibri"/>
          <w:kern w:val="22"/>
          <w:szCs w:val="22"/>
        </w:rPr>
        <w:t>c) aider les Parties à intégrer la prévention des risques biotechnologiques dans différe</w:t>
      </w:r>
      <w:r w:rsidR="00C5090C">
        <w:rPr>
          <w:rFonts w:eastAsia="Calibri"/>
          <w:kern w:val="22"/>
          <w:szCs w:val="22"/>
        </w:rPr>
        <w:t>nts secteurs au niveau national ;</w:t>
      </w:r>
    </w:p>
    <w:p w14:paraId="2F66DAA7" w14:textId="0F885D6C" w:rsidR="00C5090C" w:rsidRPr="00C5090C" w:rsidRDefault="00C5090C" w:rsidP="00C5090C">
      <w:pPr>
        <w:pStyle w:val="Para1"/>
        <w:numPr>
          <w:ilvl w:val="0"/>
          <w:numId w:val="0"/>
        </w:numPr>
        <w:suppressLineNumbers/>
        <w:suppressAutoHyphens/>
        <w:kinsoku w:val="0"/>
        <w:overflowPunct w:val="0"/>
        <w:autoSpaceDE w:val="0"/>
        <w:autoSpaceDN w:val="0"/>
        <w:adjustRightInd w:val="0"/>
        <w:snapToGrid w:val="0"/>
        <w:ind w:left="1418"/>
        <w:jc w:val="center"/>
        <w:rPr>
          <w:rFonts w:eastAsia="Calibri"/>
          <w:b/>
          <w:kern w:val="22"/>
          <w:szCs w:val="22"/>
        </w:rPr>
      </w:pPr>
      <w:r w:rsidRPr="00C5090C">
        <w:rPr>
          <w:rFonts w:eastAsia="Calibri"/>
          <w:b/>
          <w:kern w:val="22"/>
          <w:szCs w:val="22"/>
        </w:rPr>
        <w:t>B.</w:t>
      </w:r>
      <w:r w:rsidRPr="00C5090C">
        <w:rPr>
          <w:rFonts w:eastAsia="Calibri"/>
          <w:b/>
          <w:kern w:val="22"/>
          <w:szCs w:val="22"/>
        </w:rPr>
        <w:tab/>
        <w:t>Dispositions relatives à l’accès et au partage des avantages</w:t>
      </w:r>
    </w:p>
    <w:p w14:paraId="091EC5DF" w14:textId="497EE475" w:rsidR="00C5090C" w:rsidRDefault="00B255CA" w:rsidP="00C5090C">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C5090C">
        <w:rPr>
          <w:rFonts w:eastAsia="Calibri"/>
          <w:i/>
          <w:kern w:val="22"/>
          <w:szCs w:val="22"/>
        </w:rPr>
        <w:t>Accueille</w:t>
      </w:r>
      <w:r w:rsidRPr="00C5090C">
        <w:rPr>
          <w:rFonts w:eastAsia="Calibri"/>
          <w:kern w:val="22"/>
          <w:szCs w:val="22"/>
        </w:rPr>
        <w:t xml:space="preserve"> </w:t>
      </w:r>
      <w:r w:rsidRPr="005E6D95">
        <w:rPr>
          <w:rFonts w:eastAsia="Calibri"/>
          <w:i/>
          <w:kern w:val="22"/>
          <w:szCs w:val="22"/>
        </w:rPr>
        <w:t>avec satisfaction</w:t>
      </w:r>
      <w:r w:rsidRPr="00C5090C">
        <w:rPr>
          <w:rFonts w:eastAsia="Calibri"/>
          <w:kern w:val="22"/>
          <w:szCs w:val="22"/>
        </w:rPr>
        <w:t xml:space="preserve"> l</w:t>
      </w:r>
      <w:r w:rsidR="00294B14" w:rsidRPr="00C5090C">
        <w:rPr>
          <w:rFonts w:eastAsia="Calibri"/>
          <w:kern w:val="22"/>
          <w:szCs w:val="22"/>
        </w:rPr>
        <w:t>es efforts déployés par les Parties et les non-Parties au Protocole de Nagoya sur l'accès aux ressources génétiques et le partage juste et équitable des avantages découl</w:t>
      </w:r>
      <w:r w:rsidR="00C5090C">
        <w:rPr>
          <w:rFonts w:eastAsia="Calibri"/>
          <w:kern w:val="22"/>
          <w:szCs w:val="22"/>
        </w:rPr>
        <w:t>ant de leur utilisation</w:t>
      </w:r>
      <w:r w:rsidR="00583813">
        <w:rPr>
          <w:rFonts w:eastAsia="Calibri"/>
          <w:kern w:val="22"/>
          <w:szCs w:val="22"/>
        </w:rPr>
        <w:t xml:space="preserve"> pour ratifier et appliquer ce p</w:t>
      </w:r>
      <w:r w:rsidR="00C5090C">
        <w:rPr>
          <w:rFonts w:eastAsia="Calibri"/>
          <w:kern w:val="22"/>
          <w:szCs w:val="22"/>
        </w:rPr>
        <w:t>rotocole</w:t>
      </w:r>
      <w:r w:rsidR="00294B14" w:rsidRPr="00C5090C">
        <w:rPr>
          <w:rFonts w:eastAsia="Calibri"/>
          <w:kern w:val="22"/>
          <w:szCs w:val="22"/>
        </w:rPr>
        <w:t xml:space="preserve"> ;</w:t>
      </w:r>
    </w:p>
    <w:p w14:paraId="03019343" w14:textId="77777777" w:rsidR="00C5090C" w:rsidRDefault="00294B14" w:rsidP="00C5090C">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C5090C">
        <w:rPr>
          <w:rFonts w:eastAsia="Calibri"/>
          <w:i/>
          <w:kern w:val="22"/>
          <w:szCs w:val="22"/>
        </w:rPr>
        <w:t>Prie</w:t>
      </w:r>
      <w:r w:rsidRPr="00C5090C">
        <w:rPr>
          <w:rFonts w:eastAsia="Calibri"/>
          <w:kern w:val="22"/>
          <w:szCs w:val="22"/>
        </w:rPr>
        <w:t xml:space="preserve"> </w:t>
      </w:r>
      <w:r w:rsidRPr="00C5090C">
        <w:rPr>
          <w:rFonts w:eastAsia="Calibri"/>
          <w:i/>
          <w:kern w:val="22"/>
          <w:szCs w:val="22"/>
        </w:rPr>
        <w:t>instamment</w:t>
      </w:r>
      <w:r w:rsidRPr="00C5090C">
        <w:rPr>
          <w:rFonts w:eastAsia="Calibri"/>
          <w:kern w:val="22"/>
          <w:szCs w:val="22"/>
        </w:rPr>
        <w:t xml:space="preserve"> les Parties à la Convention sur la diversité biologique qui ne l'ont pas encore fait de déposer leur instrument de ratification, d'acceptation ou d'approbation ou leur instrument d'adhésion au Protocole de Nagoya dès que possible, et de prendre des mesure</w:t>
      </w:r>
      <w:r w:rsidR="00C5090C">
        <w:rPr>
          <w:rFonts w:eastAsia="Calibri"/>
          <w:kern w:val="22"/>
          <w:szCs w:val="22"/>
        </w:rPr>
        <w:t>s en vue de son application, notamment en mettant en place</w:t>
      </w:r>
      <w:r w:rsidRPr="00C5090C">
        <w:rPr>
          <w:rFonts w:eastAsia="Calibri"/>
          <w:kern w:val="22"/>
          <w:szCs w:val="22"/>
        </w:rPr>
        <w:t xml:space="preserve"> des structures institutionnelles et des mesures législatives, administratives et de politique générale relatives à l'accès et au partage des avantages, et de communiquer les informations pertinentes au Centre d’échange sur l’accès et le partage des avantages ;</w:t>
      </w:r>
    </w:p>
    <w:p w14:paraId="1DB54542" w14:textId="77777777" w:rsidR="0027388F" w:rsidRDefault="00B255CA" w:rsidP="0027388F">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C5090C">
        <w:rPr>
          <w:i/>
          <w:kern w:val="22"/>
          <w:szCs w:val="22"/>
        </w:rPr>
        <w:t>Prie</w:t>
      </w:r>
      <w:r w:rsidRPr="00C5090C">
        <w:rPr>
          <w:kern w:val="22"/>
          <w:szCs w:val="22"/>
        </w:rPr>
        <w:t xml:space="preserve"> la Secr</w:t>
      </w:r>
      <w:r w:rsidR="0027388F">
        <w:rPr>
          <w:kern w:val="22"/>
          <w:szCs w:val="22"/>
        </w:rPr>
        <w:t>étaire exécutive d’appuyer une</w:t>
      </w:r>
      <w:r w:rsidRPr="00C5090C">
        <w:rPr>
          <w:kern w:val="22"/>
          <w:szCs w:val="22"/>
        </w:rPr>
        <w:t xml:space="preserve"> communication s</w:t>
      </w:r>
      <w:r w:rsidR="0027388F">
        <w:rPr>
          <w:kern w:val="22"/>
          <w:szCs w:val="22"/>
        </w:rPr>
        <w:t xml:space="preserve">tratégique visant à faire </w:t>
      </w:r>
      <w:r w:rsidRPr="00C5090C">
        <w:rPr>
          <w:kern w:val="22"/>
          <w:szCs w:val="22"/>
        </w:rPr>
        <w:t>connaître le Protocole de Nagoya et à renforcer son int</w:t>
      </w:r>
      <w:r w:rsidR="0027388F">
        <w:rPr>
          <w:kern w:val="22"/>
          <w:szCs w:val="22"/>
        </w:rPr>
        <w:t>égration dans différent</w:t>
      </w:r>
      <w:r w:rsidRPr="00C5090C">
        <w:rPr>
          <w:kern w:val="22"/>
          <w:szCs w:val="22"/>
        </w:rPr>
        <w:t>s secteurs ;</w:t>
      </w:r>
    </w:p>
    <w:p w14:paraId="497A5C5A" w14:textId="77777777" w:rsidR="0027388F" w:rsidRDefault="0027388F" w:rsidP="0027388F">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Pr>
          <w:rFonts w:eastAsia="Calibri"/>
          <w:i/>
          <w:kern w:val="22"/>
          <w:szCs w:val="22"/>
        </w:rPr>
        <w:t>Prie</w:t>
      </w:r>
      <w:r w:rsidR="00B255CA" w:rsidRPr="0027388F">
        <w:rPr>
          <w:rFonts w:eastAsia="Calibri"/>
          <w:i/>
          <w:kern w:val="22"/>
          <w:szCs w:val="22"/>
        </w:rPr>
        <w:t xml:space="preserve"> instamment </w:t>
      </w:r>
      <w:r>
        <w:rPr>
          <w:rFonts w:eastAsia="Calibri"/>
          <w:kern w:val="22"/>
          <w:szCs w:val="22"/>
        </w:rPr>
        <w:t>les</w:t>
      </w:r>
      <w:r w:rsidR="00B255CA" w:rsidRPr="0027388F">
        <w:rPr>
          <w:rFonts w:eastAsia="Calibri"/>
          <w:kern w:val="22"/>
          <w:szCs w:val="22"/>
        </w:rPr>
        <w:t xml:space="preserve"> Parties à la Con</w:t>
      </w:r>
      <w:r>
        <w:rPr>
          <w:rFonts w:eastAsia="Calibri"/>
          <w:kern w:val="22"/>
          <w:szCs w:val="22"/>
        </w:rPr>
        <w:t>vention qui ne sont pas encore P</w:t>
      </w:r>
      <w:r w:rsidR="00B255CA" w:rsidRPr="0027388F">
        <w:rPr>
          <w:rFonts w:eastAsia="Calibri"/>
          <w:kern w:val="22"/>
          <w:szCs w:val="22"/>
        </w:rPr>
        <w:t>arties au Pro</w:t>
      </w:r>
      <w:r>
        <w:rPr>
          <w:rFonts w:eastAsia="Calibri"/>
          <w:kern w:val="22"/>
          <w:szCs w:val="22"/>
        </w:rPr>
        <w:t xml:space="preserve">tocole de Nagoya de fournir des informations sur </w:t>
      </w:r>
      <w:r w:rsidR="00B255CA" w:rsidRPr="0027388F">
        <w:rPr>
          <w:rFonts w:eastAsia="Calibri"/>
          <w:kern w:val="22"/>
          <w:szCs w:val="22"/>
        </w:rPr>
        <w:t>la mise en œuvre des dispositions relatives à l'accès et au partage des avantages</w:t>
      </w:r>
      <w:r w:rsidRPr="0027388F">
        <w:rPr>
          <w:rFonts w:eastAsia="Calibri"/>
          <w:kern w:val="22"/>
          <w:szCs w:val="22"/>
        </w:rPr>
        <w:t xml:space="preserve"> da</w:t>
      </w:r>
      <w:r>
        <w:rPr>
          <w:rFonts w:eastAsia="Calibri"/>
          <w:kern w:val="22"/>
          <w:szCs w:val="22"/>
        </w:rPr>
        <w:t>ns leurs sixièmes rapports nationaux</w:t>
      </w:r>
      <w:r w:rsidR="00B255CA" w:rsidRPr="0027388F">
        <w:rPr>
          <w:rFonts w:eastAsia="Calibri"/>
          <w:kern w:val="22"/>
          <w:szCs w:val="22"/>
        </w:rPr>
        <w:t xml:space="preserve"> </w:t>
      </w:r>
      <w:r w:rsidR="00294B14" w:rsidRPr="0027388F">
        <w:rPr>
          <w:rFonts w:eastAsia="Calibri"/>
          <w:kern w:val="22"/>
          <w:szCs w:val="22"/>
        </w:rPr>
        <w:t>;</w:t>
      </w:r>
    </w:p>
    <w:p w14:paraId="61BB9CEA" w14:textId="77777777" w:rsidR="0027388F" w:rsidRDefault="00B255CA" w:rsidP="0027388F">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27388F">
        <w:rPr>
          <w:rFonts w:eastAsia="Calibri"/>
          <w:i/>
          <w:kern w:val="22"/>
          <w:szCs w:val="22"/>
        </w:rPr>
        <w:t>Souligne</w:t>
      </w:r>
      <w:r w:rsidRPr="0027388F">
        <w:rPr>
          <w:rFonts w:eastAsia="Calibri"/>
          <w:kern w:val="22"/>
          <w:szCs w:val="22"/>
        </w:rPr>
        <w:t xml:space="preserve"> </w:t>
      </w:r>
      <w:r w:rsidR="0027388F">
        <w:rPr>
          <w:rFonts w:eastAsia="Calibri"/>
          <w:kern w:val="22"/>
          <w:szCs w:val="22"/>
        </w:rPr>
        <w:t>de nouveau la nécessité d’entreprendre</w:t>
      </w:r>
      <w:r w:rsidRPr="0027388F">
        <w:rPr>
          <w:rFonts w:eastAsia="Calibri"/>
          <w:kern w:val="22"/>
          <w:szCs w:val="22"/>
        </w:rPr>
        <w:t xml:space="preserve"> des activités de création et de renforcement des capacités et de disposer de ressources financières suffisantes pour appuyer la </w:t>
      </w:r>
      <w:r w:rsidRPr="0027388F">
        <w:rPr>
          <w:kern w:val="22"/>
          <w:szCs w:val="22"/>
        </w:rPr>
        <w:t>ratification et l’application effective du Protocole de Nagoya, et</w:t>
      </w:r>
      <w:r w:rsidRPr="0027388F">
        <w:rPr>
          <w:i/>
          <w:kern w:val="22"/>
          <w:szCs w:val="22"/>
        </w:rPr>
        <w:t xml:space="preserve"> invite</w:t>
      </w:r>
      <w:r w:rsidRPr="0027388F">
        <w:rPr>
          <w:kern w:val="22"/>
          <w:szCs w:val="22"/>
        </w:rPr>
        <w:t xml:space="preserve"> les gouvernements et les organisations compétentes, dans la mesure du possible, à fournir un appui technique et financier </w:t>
      </w:r>
      <w:r w:rsidR="00294B14" w:rsidRPr="0027388F">
        <w:rPr>
          <w:kern w:val="22"/>
          <w:szCs w:val="22"/>
        </w:rPr>
        <w:t>;</w:t>
      </w:r>
    </w:p>
    <w:p w14:paraId="593EEEFE" w14:textId="0937E323" w:rsidR="0027388F" w:rsidRDefault="00B255CA" w:rsidP="0027388F">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27388F">
        <w:rPr>
          <w:i/>
          <w:kern w:val="22"/>
          <w:szCs w:val="22"/>
        </w:rPr>
        <w:t>Encourage</w:t>
      </w:r>
      <w:r w:rsidRPr="0027388F">
        <w:rPr>
          <w:kern w:val="22"/>
          <w:szCs w:val="22"/>
        </w:rPr>
        <w:t xml:space="preserve"> les Parties à envisager plus avan</w:t>
      </w:r>
      <w:r w:rsidR="0027388F">
        <w:rPr>
          <w:kern w:val="22"/>
          <w:szCs w:val="22"/>
        </w:rPr>
        <w:t>t l'intégration des considérations liées à l’accès et au</w:t>
      </w:r>
      <w:r w:rsidRPr="0027388F">
        <w:rPr>
          <w:kern w:val="22"/>
          <w:szCs w:val="22"/>
        </w:rPr>
        <w:t xml:space="preserve"> partage des avantages dans d'autres domaines de travail au titre de la Convention</w:t>
      </w:r>
      <w:r w:rsidR="0027388F">
        <w:rPr>
          <w:kern w:val="22"/>
          <w:szCs w:val="22"/>
        </w:rPr>
        <w:t>,</w:t>
      </w:r>
      <w:r w:rsidRPr="0027388F">
        <w:rPr>
          <w:kern w:val="22"/>
          <w:szCs w:val="22"/>
        </w:rPr>
        <w:t xml:space="preserve"> dans le contexte des discu</w:t>
      </w:r>
      <w:r w:rsidR="00923E9A">
        <w:rPr>
          <w:kern w:val="22"/>
          <w:szCs w:val="22"/>
        </w:rPr>
        <w:t>ssions sur le cadre mondial de la biodiversité pour</w:t>
      </w:r>
      <w:bookmarkStart w:id="1" w:name="_GoBack"/>
      <w:bookmarkEnd w:id="1"/>
      <w:r w:rsidRPr="0027388F">
        <w:rPr>
          <w:kern w:val="22"/>
          <w:szCs w:val="22"/>
        </w:rPr>
        <w:t xml:space="preserve"> l’après-2020 ;</w:t>
      </w:r>
    </w:p>
    <w:p w14:paraId="01693842" w14:textId="3518FD66" w:rsidR="00294B14" w:rsidRPr="0027388F" w:rsidRDefault="00B255CA" w:rsidP="0027388F">
      <w:pPr>
        <w:pStyle w:val="Para1"/>
        <w:numPr>
          <w:ilvl w:val="0"/>
          <w:numId w:val="7"/>
        </w:numPr>
        <w:suppressLineNumbers/>
        <w:suppressAutoHyphens/>
        <w:kinsoku w:val="0"/>
        <w:overflowPunct w:val="0"/>
        <w:autoSpaceDE w:val="0"/>
        <w:autoSpaceDN w:val="0"/>
        <w:adjustRightInd w:val="0"/>
        <w:snapToGrid w:val="0"/>
        <w:ind w:left="709" w:firstLine="709"/>
        <w:rPr>
          <w:rFonts w:eastAsia="Calibri"/>
          <w:kern w:val="22"/>
          <w:szCs w:val="22"/>
        </w:rPr>
      </w:pPr>
      <w:r w:rsidRPr="0027388F">
        <w:rPr>
          <w:i/>
          <w:kern w:val="22"/>
          <w:szCs w:val="22"/>
        </w:rPr>
        <w:lastRenderedPageBreak/>
        <w:t>Prie</w:t>
      </w:r>
      <w:r w:rsidRPr="0027388F">
        <w:rPr>
          <w:kern w:val="22"/>
          <w:szCs w:val="22"/>
        </w:rPr>
        <w:t xml:space="preserve"> la Secrétaire exécutive de</w:t>
      </w:r>
      <w:r w:rsidR="00327D0C">
        <w:rPr>
          <w:kern w:val="22"/>
          <w:szCs w:val="22"/>
        </w:rPr>
        <w:t xml:space="preserve"> poursuivre les efforts déployés </w:t>
      </w:r>
      <w:r w:rsidR="0027388F">
        <w:rPr>
          <w:kern w:val="22"/>
          <w:szCs w:val="22"/>
        </w:rPr>
        <w:t>pour intégrer les considérations liées à l’accès et au</w:t>
      </w:r>
      <w:r w:rsidRPr="0027388F">
        <w:rPr>
          <w:kern w:val="22"/>
          <w:szCs w:val="22"/>
        </w:rPr>
        <w:t xml:space="preserve"> partage des avantages dans l'ensemble de</w:t>
      </w:r>
      <w:r w:rsidR="0027388F">
        <w:rPr>
          <w:kern w:val="22"/>
          <w:szCs w:val="22"/>
        </w:rPr>
        <w:t>s travaux du</w:t>
      </w:r>
      <w:r w:rsidRPr="0027388F">
        <w:rPr>
          <w:kern w:val="22"/>
          <w:szCs w:val="22"/>
        </w:rPr>
        <w:t xml:space="preserve"> Secrétariat</w:t>
      </w:r>
      <w:r w:rsidR="0027388F">
        <w:rPr>
          <w:kern w:val="22"/>
          <w:szCs w:val="22"/>
        </w:rPr>
        <w:t>, et d’</w:t>
      </w:r>
      <w:r w:rsidR="00327D0C">
        <w:rPr>
          <w:kern w:val="22"/>
          <w:szCs w:val="22"/>
        </w:rPr>
        <w:t>apporter un soutien aux Parties dans leurs initiatives visant à</w:t>
      </w:r>
      <w:r w:rsidR="0027388F">
        <w:rPr>
          <w:kern w:val="22"/>
          <w:szCs w:val="22"/>
        </w:rPr>
        <w:t xml:space="preserve"> intégrer les considérations liées à l’accès et au partage des avantages dans différents secteurs au niveau national</w:t>
      </w:r>
      <w:r w:rsidRPr="0027388F">
        <w:rPr>
          <w:kern w:val="22"/>
          <w:szCs w:val="22"/>
        </w:rPr>
        <w:t>.</w:t>
      </w:r>
    </w:p>
    <w:p w14:paraId="1EA664CB" w14:textId="7E62C926" w:rsidR="00440A3A" w:rsidRPr="007F63ED" w:rsidRDefault="00294B14" w:rsidP="00294B14">
      <w:pPr>
        <w:kinsoku w:val="0"/>
        <w:overflowPunct w:val="0"/>
        <w:autoSpaceDE w:val="0"/>
        <w:autoSpaceDN w:val="0"/>
        <w:jc w:val="center"/>
        <w:rPr>
          <w:kern w:val="22"/>
          <w:szCs w:val="22"/>
        </w:rPr>
      </w:pPr>
      <w:r w:rsidRPr="0016747B">
        <w:rPr>
          <w:kern w:val="22"/>
          <w:szCs w:val="22"/>
        </w:rPr>
        <w:t>______</w:t>
      </w:r>
      <w:r w:rsidRPr="00F30541">
        <w:rPr>
          <w:kern w:val="22"/>
          <w:szCs w:val="22"/>
        </w:rPr>
        <w:t>____</w:t>
      </w:r>
    </w:p>
    <w:sectPr w:rsidR="00440A3A" w:rsidRPr="007F63ED" w:rsidSect="00CA1572">
      <w:headerReference w:type="even" r:id="rId12"/>
      <w:headerReference w:type="default" r:id="rId13"/>
      <w:footerReference w:type="even" r:id="rId14"/>
      <w:footerReference w:type="default" r:id="rId15"/>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1AFC7" w14:textId="77777777" w:rsidR="00B8777D" w:rsidRDefault="00B8777D">
      <w:r>
        <w:separator/>
      </w:r>
    </w:p>
  </w:endnote>
  <w:endnote w:type="continuationSeparator" w:id="0">
    <w:p w14:paraId="3CBFFEAF" w14:textId="77777777" w:rsidR="00B8777D" w:rsidRDefault="00B8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A63CD" w14:textId="77777777" w:rsidR="00B74140" w:rsidRDefault="00B74140" w:rsidP="000F07EC">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CFC88" w14:textId="77777777" w:rsidR="002C735F" w:rsidRDefault="002C735F" w:rsidP="000F07EC">
    <w:pPr>
      <w:pStyle w:val="Footer"/>
      <w:tabs>
        <w:tab w:val="clear" w:pos="4320"/>
        <w:tab w:val="clear" w:pos="8640"/>
      </w:tabs>
      <w:kinsoku w:val="0"/>
      <w:overflowPunct w:val="0"/>
      <w:autoSpaceDE w:val="0"/>
      <w:autoSpaceDN w:val="0"/>
      <w:adjustRightInd w:val="0"/>
      <w:snapToGrid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F7C3A" w14:textId="77777777" w:rsidR="00B8777D" w:rsidRDefault="00B8777D">
      <w:r>
        <w:separator/>
      </w:r>
    </w:p>
  </w:footnote>
  <w:footnote w:type="continuationSeparator" w:id="0">
    <w:p w14:paraId="71CD6A05" w14:textId="77777777" w:rsidR="00B8777D" w:rsidRDefault="00B8777D">
      <w:r>
        <w:continuationSeparator/>
      </w:r>
    </w:p>
  </w:footnote>
  <w:footnote w:id="1">
    <w:p w14:paraId="5B7D1F9A" w14:textId="645023B7" w:rsidR="00C947C0" w:rsidRPr="00A60A8A" w:rsidRDefault="00C947C0" w:rsidP="00A60A8A">
      <w:pPr>
        <w:rPr>
          <w:sz w:val="18"/>
          <w:szCs w:val="18"/>
        </w:rPr>
      </w:pPr>
      <w:r w:rsidRPr="00A60A8A">
        <w:rPr>
          <w:rStyle w:val="FootnoteReference"/>
          <w:sz w:val="18"/>
          <w:szCs w:val="18"/>
        </w:rPr>
        <w:footnoteRef/>
      </w:r>
      <w:r w:rsidRPr="00A60A8A">
        <w:rPr>
          <w:szCs w:val="18"/>
        </w:rPr>
        <w:t xml:space="preserve"> </w:t>
      </w:r>
      <w:r w:rsidRPr="00C947C0">
        <w:rPr>
          <w:sz w:val="18"/>
          <w:szCs w:val="18"/>
        </w:rPr>
        <w:t>Décision XII/29, paragraphe 9, et décision BS-VII/5, paragraphe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B24D" w14:textId="732772C9" w:rsidR="00BA3233" w:rsidRPr="00B74140" w:rsidRDefault="009D1658" w:rsidP="000F07EC">
    <w:pPr>
      <w:pStyle w:val="Header"/>
      <w:tabs>
        <w:tab w:val="clear" w:pos="4320"/>
        <w:tab w:val="clear" w:pos="8640"/>
      </w:tabs>
      <w:kinsoku w:val="0"/>
      <w:overflowPunct w:val="0"/>
      <w:autoSpaceDE w:val="0"/>
      <w:autoSpaceDN w:val="0"/>
      <w:adjustRightInd w:val="0"/>
      <w:snapToGrid w:val="0"/>
      <w:jc w:val="left"/>
      <w:rPr>
        <w:noProof/>
        <w:kern w:val="22"/>
      </w:rPr>
    </w:pPr>
    <w:r>
      <w:rPr>
        <w:noProof/>
        <w:kern w:val="22"/>
      </w:rPr>
      <w:t>C</w:t>
    </w:r>
    <w:r w:rsidR="005E6D95">
      <w:rPr>
        <w:noProof/>
        <w:kern w:val="22"/>
      </w:rPr>
      <w:t>BD/SBI/REC/2/14</w:t>
    </w:r>
  </w:p>
  <w:p w14:paraId="39932DF5" w14:textId="77777777" w:rsidR="00BA3233" w:rsidRPr="00B74140" w:rsidRDefault="00BA3233" w:rsidP="000F07EC">
    <w:pPr>
      <w:pStyle w:val="Header"/>
      <w:tabs>
        <w:tab w:val="clear" w:pos="4320"/>
        <w:tab w:val="clear" w:pos="8640"/>
      </w:tabs>
      <w:kinsoku w:val="0"/>
      <w:overflowPunct w:val="0"/>
      <w:autoSpaceDE w:val="0"/>
      <w:autoSpaceDN w:val="0"/>
      <w:adjustRightInd w:val="0"/>
      <w:snapToGrid w:val="0"/>
      <w:jc w:val="left"/>
      <w:rPr>
        <w:noProof/>
        <w:kern w:val="22"/>
      </w:rPr>
    </w:pPr>
    <w:r w:rsidRPr="00B74140">
      <w:rPr>
        <w:noProof/>
        <w:kern w:val="22"/>
      </w:rPr>
      <w:t xml:space="preserve">Page </w:t>
    </w:r>
    <w:r w:rsidRPr="00B74140">
      <w:rPr>
        <w:noProof/>
        <w:kern w:val="22"/>
      </w:rPr>
      <w:fldChar w:fldCharType="begin"/>
    </w:r>
    <w:r w:rsidRPr="00B74140">
      <w:rPr>
        <w:noProof/>
        <w:kern w:val="22"/>
      </w:rPr>
      <w:instrText xml:space="preserve"> PAGE   \* MERGEFORMAT </w:instrText>
    </w:r>
    <w:r w:rsidRPr="00B74140">
      <w:rPr>
        <w:noProof/>
        <w:kern w:val="22"/>
      </w:rPr>
      <w:fldChar w:fldCharType="separate"/>
    </w:r>
    <w:r w:rsidR="005E6F53">
      <w:rPr>
        <w:noProof/>
        <w:kern w:val="22"/>
      </w:rPr>
      <w:t>2</w:t>
    </w:r>
    <w:r w:rsidRPr="00B74140">
      <w:rPr>
        <w:noProof/>
        <w:kern w:val="22"/>
      </w:rPr>
      <w:fldChar w:fldCharType="end"/>
    </w:r>
  </w:p>
  <w:p w14:paraId="5E56DEC1" w14:textId="77777777" w:rsidR="00BA3233" w:rsidRPr="00B74140" w:rsidRDefault="00BA3233" w:rsidP="000F07EC">
    <w:pPr>
      <w:pStyle w:val="Header"/>
      <w:tabs>
        <w:tab w:val="clear" w:pos="4320"/>
        <w:tab w:val="clear" w:pos="8640"/>
      </w:tabs>
      <w:kinsoku w:val="0"/>
      <w:overflowPunct w:val="0"/>
      <w:autoSpaceDE w:val="0"/>
      <w:autoSpaceDN w:val="0"/>
      <w:adjustRightInd w:val="0"/>
      <w:snapToGrid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967A7" w14:textId="2BAF1127" w:rsidR="00BA3233" w:rsidRPr="00B74140" w:rsidRDefault="00327D0C" w:rsidP="00327D0C">
    <w:pPr>
      <w:pStyle w:val="Header"/>
      <w:tabs>
        <w:tab w:val="clear" w:pos="4320"/>
        <w:tab w:val="clear" w:pos="8640"/>
      </w:tabs>
      <w:kinsoku w:val="0"/>
      <w:overflowPunct w:val="0"/>
      <w:autoSpaceDE w:val="0"/>
      <w:autoSpaceDN w:val="0"/>
      <w:jc w:val="right"/>
      <w:rPr>
        <w:noProof/>
        <w:kern w:val="22"/>
      </w:rPr>
    </w:pPr>
    <w:r>
      <w:rPr>
        <w:noProof/>
        <w:kern w:val="22"/>
      </w:rPr>
      <w:t>C</w:t>
    </w:r>
    <w:r w:rsidR="005E6D95">
      <w:rPr>
        <w:noProof/>
        <w:kern w:val="22"/>
      </w:rPr>
      <w:t>BD/SBI/REC/2/14</w:t>
    </w:r>
  </w:p>
  <w:p w14:paraId="097A2ED0" w14:textId="77777777" w:rsidR="00BA3233" w:rsidRPr="00B74140" w:rsidRDefault="00BA3233" w:rsidP="000F07EC">
    <w:pPr>
      <w:pStyle w:val="Header"/>
      <w:tabs>
        <w:tab w:val="clear" w:pos="4320"/>
        <w:tab w:val="clear" w:pos="8640"/>
      </w:tabs>
      <w:kinsoku w:val="0"/>
      <w:overflowPunct w:val="0"/>
      <w:autoSpaceDE w:val="0"/>
      <w:autoSpaceDN w:val="0"/>
      <w:jc w:val="right"/>
      <w:rPr>
        <w:noProof/>
        <w:kern w:val="22"/>
      </w:rPr>
    </w:pPr>
    <w:r w:rsidRPr="00B74140">
      <w:rPr>
        <w:noProof/>
        <w:kern w:val="22"/>
      </w:rPr>
      <w:t xml:space="preserve">Page </w:t>
    </w:r>
    <w:r w:rsidRPr="00B74140">
      <w:rPr>
        <w:noProof/>
        <w:kern w:val="22"/>
      </w:rPr>
      <w:fldChar w:fldCharType="begin"/>
    </w:r>
    <w:r w:rsidRPr="00B74140">
      <w:rPr>
        <w:noProof/>
        <w:kern w:val="22"/>
      </w:rPr>
      <w:instrText xml:space="preserve"> PAGE   \* MERGEFORMAT </w:instrText>
    </w:r>
    <w:r w:rsidRPr="00B74140">
      <w:rPr>
        <w:noProof/>
        <w:kern w:val="22"/>
      </w:rPr>
      <w:fldChar w:fldCharType="separate"/>
    </w:r>
    <w:r w:rsidR="005E6F53">
      <w:rPr>
        <w:noProof/>
        <w:kern w:val="22"/>
      </w:rPr>
      <w:t>3</w:t>
    </w:r>
    <w:r w:rsidRPr="00B74140">
      <w:rPr>
        <w:noProof/>
        <w:kern w:val="22"/>
      </w:rPr>
      <w:fldChar w:fldCharType="end"/>
    </w:r>
  </w:p>
  <w:p w14:paraId="2F629D6F" w14:textId="77777777" w:rsidR="00BA3233" w:rsidRPr="009316F7" w:rsidRDefault="00BA3233" w:rsidP="000F07EC">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A91"/>
    <w:multiLevelType w:val="hybridMultilevel"/>
    <w:tmpl w:val="04F44444"/>
    <w:lvl w:ilvl="0" w:tplc="EEACD8C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60275"/>
    <w:multiLevelType w:val="hybridMultilevel"/>
    <w:tmpl w:val="E04A3BD8"/>
    <w:lvl w:ilvl="0" w:tplc="05B2F2D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5377A60"/>
    <w:multiLevelType w:val="hybridMultilevel"/>
    <w:tmpl w:val="079E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30380E0D"/>
    <w:multiLevelType w:val="hybridMultilevel"/>
    <w:tmpl w:val="FA2AB2E4"/>
    <w:lvl w:ilvl="0" w:tplc="843A0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7234BC9"/>
    <w:multiLevelType w:val="hybridMultilevel"/>
    <w:tmpl w:val="A26EC64A"/>
    <w:lvl w:ilvl="0" w:tplc="68A2B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0423B12"/>
    <w:multiLevelType w:val="hybridMultilevel"/>
    <w:tmpl w:val="A836A3CC"/>
    <w:lvl w:ilvl="0" w:tplc="F8F0A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97F4E"/>
    <w:multiLevelType w:val="hybridMultilevel"/>
    <w:tmpl w:val="A2F4DE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4F5E76"/>
    <w:multiLevelType w:val="hybridMultilevel"/>
    <w:tmpl w:val="1B665ADE"/>
    <w:lvl w:ilvl="0" w:tplc="CAD2961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21701F"/>
    <w:multiLevelType w:val="hybridMultilevel"/>
    <w:tmpl w:val="4DAE67A4"/>
    <w:lvl w:ilvl="0" w:tplc="FEF00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C15C3C"/>
    <w:multiLevelType w:val="hybridMultilevel"/>
    <w:tmpl w:val="C386641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5"/>
  </w:num>
  <w:num w:numId="4">
    <w:abstractNumId w:val="8"/>
  </w:num>
  <w:num w:numId="5">
    <w:abstractNumId w:val="7"/>
  </w:num>
  <w:num w:numId="6">
    <w:abstractNumId w:val="9"/>
  </w:num>
  <w:num w:numId="7">
    <w:abstractNumId w:val="2"/>
  </w:num>
  <w:num w:numId="8">
    <w:abstractNumId w:val="8"/>
  </w:num>
  <w:num w:numId="9">
    <w:abstractNumId w:val="6"/>
  </w:num>
  <w:num w:numId="10">
    <w:abstractNumId w:val="4"/>
  </w:num>
  <w:num w:numId="11">
    <w:abstractNumId w:val="12"/>
  </w:num>
  <w:num w:numId="12">
    <w:abstractNumId w:val="11"/>
  </w:num>
  <w:num w:numId="13">
    <w:abstractNumId w:val="8"/>
  </w:num>
  <w:num w:numId="14">
    <w:abstractNumId w:val="8"/>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8"/>
  </w:num>
  <w:num w:numId="20">
    <w:abstractNumId w:val="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3"/>
  </w:num>
  <w:num w:numId="24">
    <w:abstractNumId w:val="8"/>
  </w:num>
  <w:num w:numId="25">
    <w:abstractNumId w:val="8"/>
  </w:num>
  <w:num w:numId="26">
    <w:abstractNumId w:val="1"/>
  </w:num>
  <w:num w:numId="27">
    <w:abstractNumId w:val="8"/>
  </w:num>
  <w:num w:numId="28">
    <w:abstractNumId w:val="8"/>
  </w:num>
  <w:num w:numId="29">
    <w:abstractNumId w:val="8"/>
  </w:num>
  <w:num w:numId="3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3B"/>
    <w:rsid w:val="000014E2"/>
    <w:rsid w:val="0000278D"/>
    <w:rsid w:val="000045D5"/>
    <w:rsid w:val="0000533E"/>
    <w:rsid w:val="00006FA3"/>
    <w:rsid w:val="00007D43"/>
    <w:rsid w:val="00012364"/>
    <w:rsid w:val="00020B29"/>
    <w:rsid w:val="00020DF0"/>
    <w:rsid w:val="000219AC"/>
    <w:rsid w:val="0002202C"/>
    <w:rsid w:val="000258A6"/>
    <w:rsid w:val="000268FA"/>
    <w:rsid w:val="00030992"/>
    <w:rsid w:val="00031D24"/>
    <w:rsid w:val="00033CEB"/>
    <w:rsid w:val="00037873"/>
    <w:rsid w:val="00037B3D"/>
    <w:rsid w:val="0004001B"/>
    <w:rsid w:val="00042999"/>
    <w:rsid w:val="000502E7"/>
    <w:rsid w:val="00052450"/>
    <w:rsid w:val="00054381"/>
    <w:rsid w:val="000550B5"/>
    <w:rsid w:val="000576B1"/>
    <w:rsid w:val="000711E1"/>
    <w:rsid w:val="00073708"/>
    <w:rsid w:val="00077D14"/>
    <w:rsid w:val="000808F1"/>
    <w:rsid w:val="0008625B"/>
    <w:rsid w:val="0009324F"/>
    <w:rsid w:val="00095791"/>
    <w:rsid w:val="000A1E5D"/>
    <w:rsid w:val="000A62EE"/>
    <w:rsid w:val="000B3A14"/>
    <w:rsid w:val="000B42B4"/>
    <w:rsid w:val="000C0AE0"/>
    <w:rsid w:val="000D2010"/>
    <w:rsid w:val="000D5AFE"/>
    <w:rsid w:val="000E1EC2"/>
    <w:rsid w:val="000E2B05"/>
    <w:rsid w:val="000E637D"/>
    <w:rsid w:val="000E7E6A"/>
    <w:rsid w:val="000F07EC"/>
    <w:rsid w:val="000F63AB"/>
    <w:rsid w:val="000F7A43"/>
    <w:rsid w:val="0010056E"/>
    <w:rsid w:val="0010187D"/>
    <w:rsid w:val="00103C09"/>
    <w:rsid w:val="001155AB"/>
    <w:rsid w:val="0012214B"/>
    <w:rsid w:val="001337B6"/>
    <w:rsid w:val="001412F0"/>
    <w:rsid w:val="00141982"/>
    <w:rsid w:val="001423A4"/>
    <w:rsid w:val="0014752E"/>
    <w:rsid w:val="0015012D"/>
    <w:rsid w:val="00152888"/>
    <w:rsid w:val="00152C2B"/>
    <w:rsid w:val="001647F1"/>
    <w:rsid w:val="00166367"/>
    <w:rsid w:val="00166622"/>
    <w:rsid w:val="0017247F"/>
    <w:rsid w:val="00181B21"/>
    <w:rsid w:val="00184CAA"/>
    <w:rsid w:val="00190409"/>
    <w:rsid w:val="00192E06"/>
    <w:rsid w:val="00197E46"/>
    <w:rsid w:val="001A1B76"/>
    <w:rsid w:val="001A4615"/>
    <w:rsid w:val="001A5072"/>
    <w:rsid w:val="001A6C94"/>
    <w:rsid w:val="001B331B"/>
    <w:rsid w:val="001B3657"/>
    <w:rsid w:val="001B6036"/>
    <w:rsid w:val="001C2570"/>
    <w:rsid w:val="001C321F"/>
    <w:rsid w:val="001C382D"/>
    <w:rsid w:val="001C38B7"/>
    <w:rsid w:val="001D1E30"/>
    <w:rsid w:val="001D4BCD"/>
    <w:rsid w:val="001E74B3"/>
    <w:rsid w:val="001E7625"/>
    <w:rsid w:val="001F1A27"/>
    <w:rsid w:val="001F2D27"/>
    <w:rsid w:val="001F6379"/>
    <w:rsid w:val="001F6667"/>
    <w:rsid w:val="001F68FD"/>
    <w:rsid w:val="002037DF"/>
    <w:rsid w:val="00204415"/>
    <w:rsid w:val="002055D2"/>
    <w:rsid w:val="00206C81"/>
    <w:rsid w:val="002071FA"/>
    <w:rsid w:val="00207A6E"/>
    <w:rsid w:val="00207CB2"/>
    <w:rsid w:val="0021130E"/>
    <w:rsid w:val="00213DAF"/>
    <w:rsid w:val="00222E55"/>
    <w:rsid w:val="00224B92"/>
    <w:rsid w:val="00226030"/>
    <w:rsid w:val="00226406"/>
    <w:rsid w:val="002357E1"/>
    <w:rsid w:val="0024037F"/>
    <w:rsid w:val="002445C2"/>
    <w:rsid w:val="002504D7"/>
    <w:rsid w:val="00252897"/>
    <w:rsid w:val="00252E86"/>
    <w:rsid w:val="00254DFE"/>
    <w:rsid w:val="002626DC"/>
    <w:rsid w:val="00262F0B"/>
    <w:rsid w:val="0027388F"/>
    <w:rsid w:val="0027701F"/>
    <w:rsid w:val="002826DC"/>
    <w:rsid w:val="002848EB"/>
    <w:rsid w:val="00284FCE"/>
    <w:rsid w:val="00287606"/>
    <w:rsid w:val="002922A2"/>
    <w:rsid w:val="00294B14"/>
    <w:rsid w:val="002A0915"/>
    <w:rsid w:val="002A0EED"/>
    <w:rsid w:val="002A100D"/>
    <w:rsid w:val="002B0942"/>
    <w:rsid w:val="002B323A"/>
    <w:rsid w:val="002C13C8"/>
    <w:rsid w:val="002C4BDB"/>
    <w:rsid w:val="002C735F"/>
    <w:rsid w:val="002C7752"/>
    <w:rsid w:val="002D4673"/>
    <w:rsid w:val="002D4DBF"/>
    <w:rsid w:val="002E0627"/>
    <w:rsid w:val="002E2FF9"/>
    <w:rsid w:val="002E301B"/>
    <w:rsid w:val="002E3605"/>
    <w:rsid w:val="002E4F76"/>
    <w:rsid w:val="003002EF"/>
    <w:rsid w:val="00300AF8"/>
    <w:rsid w:val="00301E8A"/>
    <w:rsid w:val="00304194"/>
    <w:rsid w:val="0030424F"/>
    <w:rsid w:val="00304DA9"/>
    <w:rsid w:val="00306099"/>
    <w:rsid w:val="003115C2"/>
    <w:rsid w:val="00312CF4"/>
    <w:rsid w:val="0031427C"/>
    <w:rsid w:val="003157F2"/>
    <w:rsid w:val="003203FE"/>
    <w:rsid w:val="003210FF"/>
    <w:rsid w:val="00325DE3"/>
    <w:rsid w:val="003276E8"/>
    <w:rsid w:val="00327D0C"/>
    <w:rsid w:val="00336766"/>
    <w:rsid w:val="0034478E"/>
    <w:rsid w:val="00345278"/>
    <w:rsid w:val="00352B6F"/>
    <w:rsid w:val="00353291"/>
    <w:rsid w:val="0036143A"/>
    <w:rsid w:val="0036390F"/>
    <w:rsid w:val="00365E9D"/>
    <w:rsid w:val="00366925"/>
    <w:rsid w:val="00374C33"/>
    <w:rsid w:val="00376A2E"/>
    <w:rsid w:val="0037792F"/>
    <w:rsid w:val="00381BFF"/>
    <w:rsid w:val="00383510"/>
    <w:rsid w:val="00387D13"/>
    <w:rsid w:val="00390D8A"/>
    <w:rsid w:val="0039164A"/>
    <w:rsid w:val="003926ED"/>
    <w:rsid w:val="003A1BC4"/>
    <w:rsid w:val="003B10B9"/>
    <w:rsid w:val="003B322A"/>
    <w:rsid w:val="003B72CB"/>
    <w:rsid w:val="003C0774"/>
    <w:rsid w:val="003C113F"/>
    <w:rsid w:val="003C408D"/>
    <w:rsid w:val="003E2DAE"/>
    <w:rsid w:val="003E4D78"/>
    <w:rsid w:val="003F0E1B"/>
    <w:rsid w:val="003F159B"/>
    <w:rsid w:val="003F1C75"/>
    <w:rsid w:val="003F1C9A"/>
    <w:rsid w:val="003F2C43"/>
    <w:rsid w:val="003F6E44"/>
    <w:rsid w:val="00400E09"/>
    <w:rsid w:val="00406BC6"/>
    <w:rsid w:val="0041618C"/>
    <w:rsid w:val="004162F8"/>
    <w:rsid w:val="0042079D"/>
    <w:rsid w:val="00427E77"/>
    <w:rsid w:val="004376F1"/>
    <w:rsid w:val="00440A3A"/>
    <w:rsid w:val="00443608"/>
    <w:rsid w:val="0044424E"/>
    <w:rsid w:val="00464ACC"/>
    <w:rsid w:val="00473BAD"/>
    <w:rsid w:val="00476888"/>
    <w:rsid w:val="00476D32"/>
    <w:rsid w:val="00483D28"/>
    <w:rsid w:val="00487AEA"/>
    <w:rsid w:val="00487C34"/>
    <w:rsid w:val="00495886"/>
    <w:rsid w:val="00495DED"/>
    <w:rsid w:val="004A462F"/>
    <w:rsid w:val="004A4E01"/>
    <w:rsid w:val="004A7EA5"/>
    <w:rsid w:val="004B1B86"/>
    <w:rsid w:val="004B597A"/>
    <w:rsid w:val="004B5A7D"/>
    <w:rsid w:val="004D1C32"/>
    <w:rsid w:val="004D3907"/>
    <w:rsid w:val="004F4D43"/>
    <w:rsid w:val="00500530"/>
    <w:rsid w:val="005032C9"/>
    <w:rsid w:val="0050491F"/>
    <w:rsid w:val="00511340"/>
    <w:rsid w:val="00516C26"/>
    <w:rsid w:val="00525039"/>
    <w:rsid w:val="00532455"/>
    <w:rsid w:val="00532DAA"/>
    <w:rsid w:val="00532E21"/>
    <w:rsid w:val="00535459"/>
    <w:rsid w:val="00540B4A"/>
    <w:rsid w:val="005440A6"/>
    <w:rsid w:val="00553DA8"/>
    <w:rsid w:val="00560784"/>
    <w:rsid w:val="00565FB8"/>
    <w:rsid w:val="005666BD"/>
    <w:rsid w:val="005711BC"/>
    <w:rsid w:val="00572A4B"/>
    <w:rsid w:val="005755D8"/>
    <w:rsid w:val="005765BE"/>
    <w:rsid w:val="00583813"/>
    <w:rsid w:val="00591B7F"/>
    <w:rsid w:val="0059525C"/>
    <w:rsid w:val="005955D2"/>
    <w:rsid w:val="005A00D0"/>
    <w:rsid w:val="005A4284"/>
    <w:rsid w:val="005A72FB"/>
    <w:rsid w:val="005B6A14"/>
    <w:rsid w:val="005C1ECF"/>
    <w:rsid w:val="005C6D4C"/>
    <w:rsid w:val="005C7BA7"/>
    <w:rsid w:val="005D139C"/>
    <w:rsid w:val="005E6D95"/>
    <w:rsid w:val="005E6F53"/>
    <w:rsid w:val="005F0D81"/>
    <w:rsid w:val="005F3592"/>
    <w:rsid w:val="005F4C74"/>
    <w:rsid w:val="005F7DD4"/>
    <w:rsid w:val="00601BDD"/>
    <w:rsid w:val="0061763C"/>
    <w:rsid w:val="006260D5"/>
    <w:rsid w:val="0062654C"/>
    <w:rsid w:val="006274C7"/>
    <w:rsid w:val="00647F7A"/>
    <w:rsid w:val="006507F2"/>
    <w:rsid w:val="0065254C"/>
    <w:rsid w:val="006531B0"/>
    <w:rsid w:val="0065770C"/>
    <w:rsid w:val="00665634"/>
    <w:rsid w:val="006703BC"/>
    <w:rsid w:val="00670D1D"/>
    <w:rsid w:val="0067304D"/>
    <w:rsid w:val="00685AA5"/>
    <w:rsid w:val="0068607C"/>
    <w:rsid w:val="006861A0"/>
    <w:rsid w:val="00686971"/>
    <w:rsid w:val="00690847"/>
    <w:rsid w:val="00690872"/>
    <w:rsid w:val="00691F75"/>
    <w:rsid w:val="006A066D"/>
    <w:rsid w:val="006A0929"/>
    <w:rsid w:val="006A0D1D"/>
    <w:rsid w:val="006B074E"/>
    <w:rsid w:val="006B2BD5"/>
    <w:rsid w:val="006B3613"/>
    <w:rsid w:val="006C1650"/>
    <w:rsid w:val="006C3635"/>
    <w:rsid w:val="006C541D"/>
    <w:rsid w:val="006D010F"/>
    <w:rsid w:val="006D0E3D"/>
    <w:rsid w:val="006F033D"/>
    <w:rsid w:val="006F284C"/>
    <w:rsid w:val="006F6F44"/>
    <w:rsid w:val="006F7227"/>
    <w:rsid w:val="0070015E"/>
    <w:rsid w:val="00702366"/>
    <w:rsid w:val="00702810"/>
    <w:rsid w:val="00704E2A"/>
    <w:rsid w:val="00712E26"/>
    <w:rsid w:val="00713343"/>
    <w:rsid w:val="007146A1"/>
    <w:rsid w:val="007163BC"/>
    <w:rsid w:val="00730AE3"/>
    <w:rsid w:val="007323D8"/>
    <w:rsid w:val="00736BC2"/>
    <w:rsid w:val="00743185"/>
    <w:rsid w:val="0075669B"/>
    <w:rsid w:val="00757E33"/>
    <w:rsid w:val="00760850"/>
    <w:rsid w:val="00772B17"/>
    <w:rsid w:val="0077314D"/>
    <w:rsid w:val="007744C8"/>
    <w:rsid w:val="00785C3D"/>
    <w:rsid w:val="00785E90"/>
    <w:rsid w:val="00786D5C"/>
    <w:rsid w:val="00787A39"/>
    <w:rsid w:val="0079325E"/>
    <w:rsid w:val="007941A5"/>
    <w:rsid w:val="00797309"/>
    <w:rsid w:val="007A0411"/>
    <w:rsid w:val="007A7902"/>
    <w:rsid w:val="007B1587"/>
    <w:rsid w:val="007B4135"/>
    <w:rsid w:val="007C31B3"/>
    <w:rsid w:val="007C50CD"/>
    <w:rsid w:val="007C5285"/>
    <w:rsid w:val="007C633B"/>
    <w:rsid w:val="007D3182"/>
    <w:rsid w:val="007D4C76"/>
    <w:rsid w:val="007E1D22"/>
    <w:rsid w:val="007E542D"/>
    <w:rsid w:val="007F226A"/>
    <w:rsid w:val="007F63ED"/>
    <w:rsid w:val="00810ED0"/>
    <w:rsid w:val="00816E3E"/>
    <w:rsid w:val="00825524"/>
    <w:rsid w:val="008259D9"/>
    <w:rsid w:val="0083211E"/>
    <w:rsid w:val="00835ABF"/>
    <w:rsid w:val="008424C2"/>
    <w:rsid w:val="00843728"/>
    <w:rsid w:val="00843FF1"/>
    <w:rsid w:val="00846BA5"/>
    <w:rsid w:val="008656AC"/>
    <w:rsid w:val="008700C1"/>
    <w:rsid w:val="00870D40"/>
    <w:rsid w:val="00884C4C"/>
    <w:rsid w:val="0089138D"/>
    <w:rsid w:val="008960B2"/>
    <w:rsid w:val="00896917"/>
    <w:rsid w:val="008A0CE1"/>
    <w:rsid w:val="008A1CC0"/>
    <w:rsid w:val="008A2179"/>
    <w:rsid w:val="008A43D4"/>
    <w:rsid w:val="008A7963"/>
    <w:rsid w:val="008B2097"/>
    <w:rsid w:val="008B558C"/>
    <w:rsid w:val="008B641B"/>
    <w:rsid w:val="008B7044"/>
    <w:rsid w:val="008C013C"/>
    <w:rsid w:val="008C1E35"/>
    <w:rsid w:val="008C2FF5"/>
    <w:rsid w:val="008D0857"/>
    <w:rsid w:val="008D30B6"/>
    <w:rsid w:val="008D5AA2"/>
    <w:rsid w:val="008E1ADE"/>
    <w:rsid w:val="008E5F84"/>
    <w:rsid w:val="008E7500"/>
    <w:rsid w:val="008F4687"/>
    <w:rsid w:val="008F78C2"/>
    <w:rsid w:val="009029A0"/>
    <w:rsid w:val="00904DE8"/>
    <w:rsid w:val="009067F8"/>
    <w:rsid w:val="00910AB3"/>
    <w:rsid w:val="0091673D"/>
    <w:rsid w:val="00922EAD"/>
    <w:rsid w:val="00923E9A"/>
    <w:rsid w:val="00927396"/>
    <w:rsid w:val="0092794B"/>
    <w:rsid w:val="009316F7"/>
    <w:rsid w:val="00931A10"/>
    <w:rsid w:val="00941DB3"/>
    <w:rsid w:val="009466CA"/>
    <w:rsid w:val="00951BF6"/>
    <w:rsid w:val="00953856"/>
    <w:rsid w:val="0095393E"/>
    <w:rsid w:val="00953AB3"/>
    <w:rsid w:val="009554D5"/>
    <w:rsid w:val="00956F96"/>
    <w:rsid w:val="009570CA"/>
    <w:rsid w:val="00963422"/>
    <w:rsid w:val="009721C5"/>
    <w:rsid w:val="00972706"/>
    <w:rsid w:val="00976DA6"/>
    <w:rsid w:val="009828D0"/>
    <w:rsid w:val="009865EC"/>
    <w:rsid w:val="009909A3"/>
    <w:rsid w:val="00992F49"/>
    <w:rsid w:val="0099431C"/>
    <w:rsid w:val="009955DF"/>
    <w:rsid w:val="009A1E1D"/>
    <w:rsid w:val="009B269A"/>
    <w:rsid w:val="009B523C"/>
    <w:rsid w:val="009B5E1D"/>
    <w:rsid w:val="009D1658"/>
    <w:rsid w:val="009D2F92"/>
    <w:rsid w:val="009D2FA2"/>
    <w:rsid w:val="009D57DD"/>
    <w:rsid w:val="009D76DF"/>
    <w:rsid w:val="009E0D5C"/>
    <w:rsid w:val="009E2B79"/>
    <w:rsid w:val="009E62EF"/>
    <w:rsid w:val="00A0383E"/>
    <w:rsid w:val="00A10051"/>
    <w:rsid w:val="00A11410"/>
    <w:rsid w:val="00A11C68"/>
    <w:rsid w:val="00A12D9A"/>
    <w:rsid w:val="00A20F36"/>
    <w:rsid w:val="00A2169A"/>
    <w:rsid w:val="00A24442"/>
    <w:rsid w:val="00A30128"/>
    <w:rsid w:val="00A30DAD"/>
    <w:rsid w:val="00A33082"/>
    <w:rsid w:val="00A36091"/>
    <w:rsid w:val="00A42777"/>
    <w:rsid w:val="00A60A8A"/>
    <w:rsid w:val="00A63F60"/>
    <w:rsid w:val="00A7069A"/>
    <w:rsid w:val="00A70BFB"/>
    <w:rsid w:val="00A7359E"/>
    <w:rsid w:val="00A75BD0"/>
    <w:rsid w:val="00A77DD9"/>
    <w:rsid w:val="00A876B6"/>
    <w:rsid w:val="00A935F9"/>
    <w:rsid w:val="00A954A4"/>
    <w:rsid w:val="00A955E6"/>
    <w:rsid w:val="00AA014E"/>
    <w:rsid w:val="00AA0467"/>
    <w:rsid w:val="00AA4365"/>
    <w:rsid w:val="00AA57BC"/>
    <w:rsid w:val="00AC1E69"/>
    <w:rsid w:val="00AC378D"/>
    <w:rsid w:val="00AD2B2A"/>
    <w:rsid w:val="00AD6F26"/>
    <w:rsid w:val="00AE50BF"/>
    <w:rsid w:val="00AE5298"/>
    <w:rsid w:val="00AE75E3"/>
    <w:rsid w:val="00AF56FA"/>
    <w:rsid w:val="00AF5A70"/>
    <w:rsid w:val="00B000F8"/>
    <w:rsid w:val="00B106D9"/>
    <w:rsid w:val="00B2340C"/>
    <w:rsid w:val="00B23576"/>
    <w:rsid w:val="00B255CA"/>
    <w:rsid w:val="00B267ED"/>
    <w:rsid w:val="00B27190"/>
    <w:rsid w:val="00B271A0"/>
    <w:rsid w:val="00B3299A"/>
    <w:rsid w:val="00B4103C"/>
    <w:rsid w:val="00B41880"/>
    <w:rsid w:val="00B4436B"/>
    <w:rsid w:val="00B45C4C"/>
    <w:rsid w:val="00B47155"/>
    <w:rsid w:val="00B561EC"/>
    <w:rsid w:val="00B56B11"/>
    <w:rsid w:val="00B65D7E"/>
    <w:rsid w:val="00B673E3"/>
    <w:rsid w:val="00B74140"/>
    <w:rsid w:val="00B7533F"/>
    <w:rsid w:val="00B8515D"/>
    <w:rsid w:val="00B85F9B"/>
    <w:rsid w:val="00B8777D"/>
    <w:rsid w:val="00B90D53"/>
    <w:rsid w:val="00B923EF"/>
    <w:rsid w:val="00B959FD"/>
    <w:rsid w:val="00B95D69"/>
    <w:rsid w:val="00B960E9"/>
    <w:rsid w:val="00BA1498"/>
    <w:rsid w:val="00BA3233"/>
    <w:rsid w:val="00BB4BD0"/>
    <w:rsid w:val="00BB73C8"/>
    <w:rsid w:val="00BC21F2"/>
    <w:rsid w:val="00BC27DE"/>
    <w:rsid w:val="00BC3017"/>
    <w:rsid w:val="00BC778C"/>
    <w:rsid w:val="00BD0052"/>
    <w:rsid w:val="00BD2718"/>
    <w:rsid w:val="00BE37A4"/>
    <w:rsid w:val="00BE3CE9"/>
    <w:rsid w:val="00BE45DE"/>
    <w:rsid w:val="00C05456"/>
    <w:rsid w:val="00C05B4C"/>
    <w:rsid w:val="00C076A9"/>
    <w:rsid w:val="00C15BBB"/>
    <w:rsid w:val="00C2117E"/>
    <w:rsid w:val="00C23BA9"/>
    <w:rsid w:val="00C2555E"/>
    <w:rsid w:val="00C26158"/>
    <w:rsid w:val="00C31B34"/>
    <w:rsid w:val="00C31FC0"/>
    <w:rsid w:val="00C36325"/>
    <w:rsid w:val="00C36706"/>
    <w:rsid w:val="00C37FF1"/>
    <w:rsid w:val="00C433B7"/>
    <w:rsid w:val="00C43DED"/>
    <w:rsid w:val="00C465A1"/>
    <w:rsid w:val="00C507CD"/>
    <w:rsid w:val="00C5090C"/>
    <w:rsid w:val="00C51F55"/>
    <w:rsid w:val="00C71E38"/>
    <w:rsid w:val="00C73CD1"/>
    <w:rsid w:val="00C85EA4"/>
    <w:rsid w:val="00C912FE"/>
    <w:rsid w:val="00C947C0"/>
    <w:rsid w:val="00CA1572"/>
    <w:rsid w:val="00CA1B6A"/>
    <w:rsid w:val="00CA2D7B"/>
    <w:rsid w:val="00CA6B87"/>
    <w:rsid w:val="00CB14C9"/>
    <w:rsid w:val="00CB2C25"/>
    <w:rsid w:val="00CB5C90"/>
    <w:rsid w:val="00CC2031"/>
    <w:rsid w:val="00CC4C87"/>
    <w:rsid w:val="00CC51ED"/>
    <w:rsid w:val="00CD1ADD"/>
    <w:rsid w:val="00CD3457"/>
    <w:rsid w:val="00CD4910"/>
    <w:rsid w:val="00CD62C1"/>
    <w:rsid w:val="00CE3C3C"/>
    <w:rsid w:val="00CE51C3"/>
    <w:rsid w:val="00CF2484"/>
    <w:rsid w:val="00CF2A4E"/>
    <w:rsid w:val="00CF4F69"/>
    <w:rsid w:val="00CF5B67"/>
    <w:rsid w:val="00D04312"/>
    <w:rsid w:val="00D15589"/>
    <w:rsid w:val="00D163D1"/>
    <w:rsid w:val="00D1789D"/>
    <w:rsid w:val="00D20649"/>
    <w:rsid w:val="00D22AE8"/>
    <w:rsid w:val="00D23A92"/>
    <w:rsid w:val="00D25589"/>
    <w:rsid w:val="00D3505C"/>
    <w:rsid w:val="00D40C86"/>
    <w:rsid w:val="00D41040"/>
    <w:rsid w:val="00D413B0"/>
    <w:rsid w:val="00D432AD"/>
    <w:rsid w:val="00D43EFC"/>
    <w:rsid w:val="00D51069"/>
    <w:rsid w:val="00D517FF"/>
    <w:rsid w:val="00D51D03"/>
    <w:rsid w:val="00D53B75"/>
    <w:rsid w:val="00D5565F"/>
    <w:rsid w:val="00D6013A"/>
    <w:rsid w:val="00D8117C"/>
    <w:rsid w:val="00D8317D"/>
    <w:rsid w:val="00D863AD"/>
    <w:rsid w:val="00D94539"/>
    <w:rsid w:val="00D9485E"/>
    <w:rsid w:val="00D9537D"/>
    <w:rsid w:val="00DB2F58"/>
    <w:rsid w:val="00DC3575"/>
    <w:rsid w:val="00DC70A7"/>
    <w:rsid w:val="00DD4088"/>
    <w:rsid w:val="00DD52CC"/>
    <w:rsid w:val="00DD71AA"/>
    <w:rsid w:val="00DE308B"/>
    <w:rsid w:val="00DF1D9C"/>
    <w:rsid w:val="00E02467"/>
    <w:rsid w:val="00E05380"/>
    <w:rsid w:val="00E1048F"/>
    <w:rsid w:val="00E20318"/>
    <w:rsid w:val="00E21F6B"/>
    <w:rsid w:val="00E22B4E"/>
    <w:rsid w:val="00E303E8"/>
    <w:rsid w:val="00E315D5"/>
    <w:rsid w:val="00E34491"/>
    <w:rsid w:val="00E34E13"/>
    <w:rsid w:val="00E37A7A"/>
    <w:rsid w:val="00E438BB"/>
    <w:rsid w:val="00E47630"/>
    <w:rsid w:val="00E55657"/>
    <w:rsid w:val="00E55B3B"/>
    <w:rsid w:val="00E55E91"/>
    <w:rsid w:val="00E648D7"/>
    <w:rsid w:val="00E758CF"/>
    <w:rsid w:val="00E8078E"/>
    <w:rsid w:val="00E829C8"/>
    <w:rsid w:val="00E83011"/>
    <w:rsid w:val="00E8381C"/>
    <w:rsid w:val="00E840AB"/>
    <w:rsid w:val="00E84170"/>
    <w:rsid w:val="00E91F57"/>
    <w:rsid w:val="00E92A9D"/>
    <w:rsid w:val="00E93875"/>
    <w:rsid w:val="00E94634"/>
    <w:rsid w:val="00E95090"/>
    <w:rsid w:val="00EA48B2"/>
    <w:rsid w:val="00EA7525"/>
    <w:rsid w:val="00EB6C99"/>
    <w:rsid w:val="00EC0891"/>
    <w:rsid w:val="00EC56E4"/>
    <w:rsid w:val="00EC7E9D"/>
    <w:rsid w:val="00EE19C5"/>
    <w:rsid w:val="00EE5153"/>
    <w:rsid w:val="00EE51DB"/>
    <w:rsid w:val="00EE5C06"/>
    <w:rsid w:val="00EF1374"/>
    <w:rsid w:val="00EF44CA"/>
    <w:rsid w:val="00EF7A75"/>
    <w:rsid w:val="00F117CF"/>
    <w:rsid w:val="00F13DC0"/>
    <w:rsid w:val="00F14485"/>
    <w:rsid w:val="00F16F02"/>
    <w:rsid w:val="00F17093"/>
    <w:rsid w:val="00F211E6"/>
    <w:rsid w:val="00F251F6"/>
    <w:rsid w:val="00F26A60"/>
    <w:rsid w:val="00F26B0A"/>
    <w:rsid w:val="00F465B6"/>
    <w:rsid w:val="00F471BB"/>
    <w:rsid w:val="00F51757"/>
    <w:rsid w:val="00F53B2F"/>
    <w:rsid w:val="00F64CB9"/>
    <w:rsid w:val="00F6553C"/>
    <w:rsid w:val="00F67181"/>
    <w:rsid w:val="00F701F1"/>
    <w:rsid w:val="00F77628"/>
    <w:rsid w:val="00F81D9E"/>
    <w:rsid w:val="00F838DD"/>
    <w:rsid w:val="00F90072"/>
    <w:rsid w:val="00F94184"/>
    <w:rsid w:val="00FA5BF9"/>
    <w:rsid w:val="00FA6AA4"/>
    <w:rsid w:val="00FB3B70"/>
    <w:rsid w:val="00FB3F6C"/>
    <w:rsid w:val="00FB60E9"/>
    <w:rsid w:val="00FB6B0F"/>
    <w:rsid w:val="00FC6159"/>
    <w:rsid w:val="00FC6D52"/>
    <w:rsid w:val="00FD061C"/>
    <w:rsid w:val="00FD4540"/>
    <w:rsid w:val="00FD67F3"/>
    <w:rsid w:val="00FD737E"/>
    <w:rsid w:val="00FE09E3"/>
    <w:rsid w:val="00FE24FC"/>
    <w:rsid w:val="00FE4807"/>
    <w:rsid w:val="00FE5032"/>
    <w:rsid w:val="00FF5B6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2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fr-FR"/>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
    <w:rsid w:val="00301E8A"/>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301E8A"/>
    <w:rPr>
      <w:sz w:val="22"/>
      <w:u w:val="none"/>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53AB3"/>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75669B"/>
    <w:pPr>
      <w:spacing w:after="160" w:line="240" w:lineRule="exact"/>
      <w:jc w:val="left"/>
    </w:pPr>
    <w:rPr>
      <w:szCs w:val="20"/>
      <w:vertAlign w:val="superscript"/>
      <w:lang w:val="en-CA"/>
    </w:rPr>
  </w:style>
  <w:style w:type="character" w:customStyle="1" w:styleId="Heading2Char">
    <w:name w:val="Heading 2 Char"/>
    <w:basedOn w:val="DefaultParagraphFont"/>
    <w:link w:val="Heading2"/>
    <w:rsid w:val="0075669B"/>
    <w:rPr>
      <w:b/>
      <w:bCs/>
      <w:iCs/>
      <w:sz w:val="22"/>
      <w:szCs w:val="24"/>
      <w:lang w:val="en-GB"/>
    </w:rPr>
  </w:style>
  <w:style w:type="paragraph" w:styleId="DocumentMap">
    <w:name w:val="Document Map"/>
    <w:basedOn w:val="Normal"/>
    <w:link w:val="DocumentMapChar"/>
    <w:uiPriority w:val="99"/>
    <w:semiHidden/>
    <w:unhideWhenUsed/>
    <w:rsid w:val="0030424F"/>
    <w:rPr>
      <w:sz w:val="24"/>
    </w:rPr>
  </w:style>
  <w:style w:type="character" w:customStyle="1" w:styleId="DocumentMapChar">
    <w:name w:val="Document Map Char"/>
    <w:basedOn w:val="DefaultParagraphFont"/>
    <w:link w:val="DocumentMap"/>
    <w:uiPriority w:val="99"/>
    <w:semiHidden/>
    <w:rsid w:val="0030424F"/>
    <w:rPr>
      <w:sz w:val="24"/>
      <w:szCs w:val="24"/>
      <w:lang w:val="en-GB"/>
    </w:rPr>
  </w:style>
  <w:style w:type="character" w:customStyle="1" w:styleId="Para1Char">
    <w:name w:val="Para1 Char"/>
    <w:link w:val="Para1"/>
    <w:locked/>
    <w:rsid w:val="00C947C0"/>
    <w:rPr>
      <w:snapToGrid w:val="0"/>
      <w:sz w:val="22"/>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fr-FR"/>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link w:val="Para1Char"/>
    <w:rsid w:val="00301E8A"/>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301E8A"/>
    <w:rPr>
      <w:sz w:val="22"/>
      <w:u w:val="none"/>
      <w:vertAlign w:val="superscript"/>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53AB3"/>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75669B"/>
    <w:pPr>
      <w:spacing w:after="160" w:line="240" w:lineRule="exact"/>
      <w:jc w:val="left"/>
    </w:pPr>
    <w:rPr>
      <w:szCs w:val="20"/>
      <w:vertAlign w:val="superscript"/>
      <w:lang w:val="en-CA"/>
    </w:rPr>
  </w:style>
  <w:style w:type="character" w:customStyle="1" w:styleId="Heading2Char">
    <w:name w:val="Heading 2 Char"/>
    <w:basedOn w:val="DefaultParagraphFont"/>
    <w:link w:val="Heading2"/>
    <w:rsid w:val="0075669B"/>
    <w:rPr>
      <w:b/>
      <w:bCs/>
      <w:iCs/>
      <w:sz w:val="22"/>
      <w:szCs w:val="24"/>
      <w:lang w:val="en-GB"/>
    </w:rPr>
  </w:style>
  <w:style w:type="paragraph" w:styleId="DocumentMap">
    <w:name w:val="Document Map"/>
    <w:basedOn w:val="Normal"/>
    <w:link w:val="DocumentMapChar"/>
    <w:uiPriority w:val="99"/>
    <w:semiHidden/>
    <w:unhideWhenUsed/>
    <w:rsid w:val="0030424F"/>
    <w:rPr>
      <w:sz w:val="24"/>
    </w:rPr>
  </w:style>
  <w:style w:type="character" w:customStyle="1" w:styleId="DocumentMapChar">
    <w:name w:val="Document Map Char"/>
    <w:basedOn w:val="DefaultParagraphFont"/>
    <w:link w:val="DocumentMap"/>
    <w:uiPriority w:val="99"/>
    <w:semiHidden/>
    <w:rsid w:val="0030424F"/>
    <w:rPr>
      <w:sz w:val="24"/>
      <w:szCs w:val="24"/>
      <w:lang w:val="en-GB"/>
    </w:rPr>
  </w:style>
  <w:style w:type="character" w:customStyle="1" w:styleId="Para1Char">
    <w:name w:val="Para1 Char"/>
    <w:link w:val="Para1"/>
    <w:locked/>
    <w:rsid w:val="00C947C0"/>
    <w:rPr>
      <w:snapToGrid w:val="0"/>
      <w:sz w:val="22"/>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4043">
      <w:bodyDiv w:val="1"/>
      <w:marLeft w:val="0"/>
      <w:marRight w:val="0"/>
      <w:marTop w:val="0"/>
      <w:marBottom w:val="0"/>
      <w:divBdr>
        <w:top w:val="none" w:sz="0" w:space="0" w:color="auto"/>
        <w:left w:val="none" w:sz="0" w:space="0" w:color="auto"/>
        <w:bottom w:val="none" w:sz="0" w:space="0" w:color="auto"/>
        <w:right w:val="none" w:sz="0" w:space="0" w:color="auto"/>
      </w:divBdr>
    </w:div>
    <w:div w:id="639303968">
      <w:bodyDiv w:val="1"/>
      <w:marLeft w:val="0"/>
      <w:marRight w:val="0"/>
      <w:marTop w:val="0"/>
      <w:marBottom w:val="0"/>
      <w:divBdr>
        <w:top w:val="none" w:sz="0" w:space="0" w:color="auto"/>
        <w:left w:val="none" w:sz="0" w:space="0" w:color="auto"/>
        <w:bottom w:val="none" w:sz="0" w:space="0" w:color="auto"/>
        <w:right w:val="none" w:sz="0" w:space="0" w:color="auto"/>
      </w:divBdr>
    </w:div>
    <w:div w:id="1220438922">
      <w:bodyDiv w:val="1"/>
      <w:marLeft w:val="0"/>
      <w:marRight w:val="0"/>
      <w:marTop w:val="0"/>
      <w:marBottom w:val="0"/>
      <w:divBdr>
        <w:top w:val="none" w:sz="0" w:space="0" w:color="auto"/>
        <w:left w:val="none" w:sz="0" w:space="0" w:color="auto"/>
        <w:bottom w:val="none" w:sz="0" w:space="0" w:color="auto"/>
        <w:right w:val="none" w:sz="0" w:space="0" w:color="auto"/>
      </w:divBdr>
    </w:div>
    <w:div w:id="1397706676">
      <w:bodyDiv w:val="1"/>
      <w:marLeft w:val="0"/>
      <w:marRight w:val="0"/>
      <w:marTop w:val="0"/>
      <w:marBottom w:val="0"/>
      <w:divBdr>
        <w:top w:val="none" w:sz="0" w:space="0" w:color="auto"/>
        <w:left w:val="none" w:sz="0" w:space="0" w:color="auto"/>
        <w:bottom w:val="none" w:sz="0" w:space="0" w:color="auto"/>
        <w:right w:val="none" w:sz="0" w:space="0" w:color="auto"/>
      </w:divBdr>
    </w:div>
    <w:div w:id="1465000316">
      <w:bodyDiv w:val="1"/>
      <w:marLeft w:val="0"/>
      <w:marRight w:val="0"/>
      <w:marTop w:val="0"/>
      <w:marBottom w:val="0"/>
      <w:divBdr>
        <w:top w:val="none" w:sz="0" w:space="0" w:color="auto"/>
        <w:left w:val="none" w:sz="0" w:space="0" w:color="auto"/>
        <w:bottom w:val="none" w:sz="0" w:space="0" w:color="auto"/>
        <w:right w:val="none" w:sz="0" w:space="0" w:color="auto"/>
      </w:divBdr>
    </w:div>
    <w:div w:id="1595822746">
      <w:bodyDiv w:val="1"/>
      <w:marLeft w:val="0"/>
      <w:marRight w:val="0"/>
      <w:marTop w:val="0"/>
      <w:marBottom w:val="0"/>
      <w:divBdr>
        <w:top w:val="none" w:sz="0" w:space="0" w:color="auto"/>
        <w:left w:val="none" w:sz="0" w:space="0" w:color="auto"/>
        <w:bottom w:val="none" w:sz="0" w:space="0" w:color="auto"/>
        <w:right w:val="none" w:sz="0" w:space="0" w:color="auto"/>
      </w:divBdr>
    </w:div>
    <w:div w:id="182500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B39B4C4D45422099377F2C6475F16D"/>
        <w:category>
          <w:name w:val="General"/>
          <w:gallery w:val="placeholder"/>
        </w:category>
        <w:types>
          <w:type w:val="bbPlcHdr"/>
        </w:types>
        <w:behaviors>
          <w:behavior w:val="content"/>
        </w:behaviors>
        <w:guid w:val="{237CE984-BAA5-42DC-B737-4D3911A2C4DD}"/>
      </w:docPartPr>
      <w:docPartBody>
        <w:p w:rsidR="00000000" w:rsidRDefault="008F2673" w:rsidP="008F2673">
          <w:pPr>
            <w:pStyle w:val="59B39B4C4D45422099377F2C6475F16D"/>
          </w:pPr>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673"/>
    <w:rsid w:val="008F2673"/>
    <w:rsid w:val="00C32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2673"/>
    <w:rPr>
      <w:color w:val="808080"/>
    </w:rPr>
  </w:style>
  <w:style w:type="paragraph" w:customStyle="1" w:styleId="59B39B4C4D45422099377F2C6475F16D">
    <w:name w:val="59B39B4C4D45422099377F2C6475F16D"/>
    <w:rsid w:val="008F2673"/>
  </w:style>
  <w:style w:type="paragraph" w:customStyle="1" w:styleId="61B638C13A644EE0A0E9D503ECA70B7A">
    <w:name w:val="61B638C13A644EE0A0E9D503ECA70B7A"/>
    <w:rsid w:val="008F26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F2673"/>
    <w:rPr>
      <w:color w:val="808080"/>
    </w:rPr>
  </w:style>
  <w:style w:type="paragraph" w:customStyle="1" w:styleId="59B39B4C4D45422099377F2C6475F16D">
    <w:name w:val="59B39B4C4D45422099377F2C6475F16D"/>
    <w:rsid w:val="008F2673"/>
  </w:style>
  <w:style w:type="paragraph" w:customStyle="1" w:styleId="61B638C13A644EE0A0E9D503ECA70B7A">
    <w:name w:val="61B638C13A644EE0A0E9D503ECA70B7A"/>
    <w:rsid w:val="008F26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F3549-7918-4310-9C41-D070B4EC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Enhancing integration under the Convention and its Protocols with respect to provisions related to access and benefit-sharing</vt:lpstr>
    </vt:vector>
  </TitlesOfParts>
  <Company>Biodiversity</Company>
  <LinksUpToDate>false</LinksUpToDate>
  <CharactersWithSpaces>6542</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integration under the Convention and its Protocols with respect to provisions related to access and benefit-sharing</dc:title>
  <dc:subject>CBD/SBI/REC/2/14</dc:subject>
  <dc:creator>SCBD</dc:creator>
  <cp:lastModifiedBy>--</cp:lastModifiedBy>
  <cp:revision>7</cp:revision>
  <cp:lastPrinted>2018-06-01T14:28:00Z</cp:lastPrinted>
  <dcterms:created xsi:type="dcterms:W3CDTF">2018-08-21T11:11:00Z</dcterms:created>
  <dcterms:modified xsi:type="dcterms:W3CDTF">2018-08-21T11:39:00Z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*.*.CBD...*..Distr..GÉNÉRALE ..CBD/SBI/REC/2/14.13 juillet 2018..FRANÇAIS.ORIGINAL : ANGLAIS..</vt:lpwstr>
  </property>
</Properties>
</file>