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bookmarkStart w:id="0" w:name="_GoBack"/>
            <w:bookmarkEnd w:id="0"/>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1C091F50" w:rsidR="005E169C" w:rsidRPr="0067775C" w:rsidRDefault="0067775C" w:rsidP="005C30F1">
            <w:pPr>
              <w:ind w:left="63"/>
              <w:rPr>
                <w:snapToGrid w:val="0"/>
                <w:kern w:val="22"/>
                <w:sz w:val="24"/>
                <w:lang w:val="en-US"/>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7BC882E2"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67775C">
              <w:rPr>
                <w:snapToGrid w:val="0"/>
                <w:kern w:val="22"/>
                <w:sz w:val="24"/>
              </w:rPr>
              <w:t>REC/</w:t>
            </w:r>
            <w:r>
              <w:rPr>
                <w:snapToGrid w:val="0"/>
                <w:kern w:val="22"/>
                <w:sz w:val="24"/>
              </w:rPr>
              <w:t>2/</w:t>
            </w:r>
            <w:r w:rsidR="0067775C">
              <w:rPr>
                <w:snapToGrid w:val="0"/>
                <w:kern w:val="22"/>
                <w:sz w:val="24"/>
              </w:rPr>
              <w:t>12</w:t>
            </w:r>
          </w:p>
          <w:p w14:paraId="2E0A1B22" w14:textId="04D876BB" w:rsidR="005E169C" w:rsidRPr="002B2DA3" w:rsidRDefault="00ED1E5C" w:rsidP="005C30F1">
            <w:pPr>
              <w:ind w:left="63"/>
              <w:rPr>
                <w:snapToGrid w:val="0"/>
                <w:kern w:val="22"/>
                <w:sz w:val="24"/>
              </w:rPr>
            </w:pPr>
            <w:r>
              <w:rPr>
                <w:snapToGrid w:val="0"/>
                <w:kern w:val="22"/>
                <w:sz w:val="24"/>
              </w:rPr>
              <w:t>1</w:t>
            </w:r>
            <w:r w:rsidR="0067775C">
              <w:rPr>
                <w:snapToGrid w:val="0"/>
                <w:kern w:val="22"/>
                <w:sz w:val="24"/>
              </w:rPr>
              <w:t>3</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3A1B4B55" w:rsidR="005E169C"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A16A39">
        <w:rPr>
          <w:rFonts w:eastAsia="SimSun"/>
          <w:sz w:val="24"/>
          <w:lang w:eastAsia="zh-CN"/>
        </w:rPr>
        <w:t>13</w:t>
      </w:r>
    </w:p>
    <w:p w14:paraId="4425CFB9" w14:textId="7ED3A5DE" w:rsidR="00A16A39" w:rsidRDefault="00A16A39" w:rsidP="005E169C">
      <w:pPr>
        <w:pStyle w:val="Cornernotation"/>
        <w:overflowPunct w:val="0"/>
        <w:autoSpaceDE w:val="0"/>
        <w:autoSpaceDN w:val="0"/>
        <w:ind w:left="0" w:right="0" w:firstLine="0"/>
        <w:rPr>
          <w:rFonts w:eastAsia="SimSun"/>
          <w:sz w:val="24"/>
          <w:lang w:eastAsia="zh-CN"/>
        </w:rPr>
      </w:pPr>
    </w:p>
    <w:p w14:paraId="66F5F840" w14:textId="3F90C285" w:rsidR="0067775C" w:rsidRPr="00E23256" w:rsidRDefault="0067775C" w:rsidP="0067775C">
      <w:pPr>
        <w:pStyle w:val="BodyText"/>
        <w:suppressLineNumbers/>
        <w:suppressAutoHyphens/>
        <w:topLinePunct/>
        <w:autoSpaceDE w:val="0"/>
        <w:autoSpaceDN w:val="0"/>
        <w:adjustRightInd w:val="0"/>
        <w:spacing w:line="240" w:lineRule="atLeast"/>
        <w:ind w:left="810" w:right="900"/>
        <w:jc w:val="center"/>
        <w:rPr>
          <w:rFonts w:eastAsia="SimSun"/>
          <w:sz w:val="24"/>
          <w:lang w:eastAsia="zh-CN"/>
        </w:rPr>
      </w:pPr>
      <w:r w:rsidRPr="0067775C">
        <w:rPr>
          <w:rFonts w:ascii="SimHei" w:eastAsia="SimHei" w:hAnsi="SimHei" w:hint="eastAsia"/>
          <w:bCs/>
          <w:caps/>
          <w:color w:val="000000"/>
          <w:kern w:val="22"/>
          <w:sz w:val="28"/>
          <w:lang w:val="en-US" w:eastAsia="zh-CN"/>
        </w:rPr>
        <w:t>执行问题附属机构通过的建议</w:t>
      </w:r>
    </w:p>
    <w:sdt>
      <w:sdtPr>
        <w:rPr>
          <w:rFonts w:ascii="SimSun" w:eastAsia="SimSun" w:hAnsi="SimSun" w:hint="eastAsia"/>
          <w:b/>
          <w:bCs/>
          <w:caps/>
          <w:color w:val="000000"/>
          <w:kern w:val="22"/>
          <w:sz w:val="24"/>
          <w:lang w:val="en-US" w:eastAsia="zh-CN"/>
        </w:rPr>
        <w:alias w:val="Title"/>
        <w:id w:val="1176920271"/>
        <w:placeholder>
          <w:docPart w:val="4B8A6E6443094C4A8A1223AA47507B78"/>
        </w:placeholder>
        <w:dataBinding w:prefixMappings="xmlns:ns0='http://purl.org/dc/elements/1.1/' xmlns:ns1='http://schemas.openxmlformats.org/package/2006/metadata/core-properties' " w:xpath="/ns1:coreProperties[1]/ns0:title[1]" w:storeItemID="{6C3C8BC8-F283-45AE-878A-BAB7291924A1}"/>
        <w:text/>
      </w:sdtPr>
      <w:sdtEndPr/>
      <w:sdtContent>
        <w:p w14:paraId="611417AA" w14:textId="79C467EB" w:rsidR="006904DC" w:rsidRPr="0067775C" w:rsidRDefault="0067775C" w:rsidP="0067775C">
          <w:pPr>
            <w:pStyle w:val="BodyText"/>
            <w:suppressLineNumbers/>
            <w:suppressAutoHyphens/>
            <w:topLinePunct/>
            <w:autoSpaceDE w:val="0"/>
            <w:autoSpaceDN w:val="0"/>
            <w:adjustRightInd w:val="0"/>
            <w:spacing w:before="240" w:after="240" w:line="240" w:lineRule="atLeast"/>
            <w:ind w:left="806" w:right="907"/>
            <w:jc w:val="center"/>
            <w:rPr>
              <w:rFonts w:ascii="SimSun" w:eastAsia="SimSun" w:hAnsi="SimSun"/>
              <w:b/>
              <w:caps/>
              <w:color w:val="000000"/>
              <w:kern w:val="22"/>
              <w:sz w:val="24"/>
              <w:lang w:val="en-CA" w:eastAsia="zh-CN"/>
            </w:rPr>
          </w:pPr>
          <w:r w:rsidRPr="0067775C">
            <w:rPr>
              <w:rFonts w:ascii="SimSun" w:eastAsia="SimSun" w:hAnsi="SimSun"/>
              <w:b/>
              <w:bCs/>
              <w:caps/>
              <w:color w:val="000000"/>
              <w:kern w:val="22"/>
              <w:sz w:val="24"/>
              <w:lang w:val="en-US" w:eastAsia="zh-CN"/>
            </w:rPr>
            <w:t xml:space="preserve">2/12. </w:t>
          </w:r>
          <w:r w:rsidR="00A16A39" w:rsidRPr="0067775C">
            <w:rPr>
              <w:rFonts w:ascii="SimSun" w:eastAsia="SimSun" w:hAnsi="SimSun" w:hint="eastAsia"/>
              <w:b/>
              <w:bCs/>
              <w:caps/>
              <w:color w:val="000000"/>
              <w:kern w:val="22"/>
              <w:sz w:val="24"/>
              <w:lang w:val="en-US" w:eastAsia="zh-CN"/>
            </w:rPr>
            <w:t>评估与审查（《卡塔赫纳生物安全议定书》第35条）</w:t>
          </w:r>
        </w:p>
      </w:sdtContent>
    </w:sdt>
    <w:p w14:paraId="5F06368C" w14:textId="218A12C2" w:rsidR="006904DC" w:rsidRDefault="006904DC" w:rsidP="00142336">
      <w:pPr>
        <w:pStyle w:val="Para1"/>
        <w:numPr>
          <w:ilvl w:val="0"/>
          <w:numId w:val="0"/>
        </w:numPr>
        <w:suppressLineNumbers/>
        <w:tabs>
          <w:tab w:val="left" w:pos="720"/>
        </w:tabs>
        <w:suppressAutoHyphens/>
        <w:topLinePunct/>
        <w:autoSpaceDE w:val="0"/>
        <w:autoSpaceDN w:val="0"/>
        <w:adjustRightInd w:val="0"/>
        <w:snapToGrid w:val="0"/>
        <w:spacing w:line="240" w:lineRule="atLeast"/>
        <w:ind w:firstLine="490"/>
        <w:rPr>
          <w:rFonts w:ascii="KaiTi" w:eastAsia="KaiTi" w:hAnsi="KaiTi"/>
          <w:kern w:val="22"/>
          <w:sz w:val="24"/>
          <w:szCs w:val="22"/>
          <w:lang w:eastAsia="zh-CN"/>
        </w:rPr>
      </w:pPr>
      <w:r>
        <w:rPr>
          <w:rFonts w:ascii="KaiTi" w:eastAsia="KaiTi" w:hAnsi="KaiTi" w:hint="eastAsia"/>
          <w:kern w:val="22"/>
          <w:sz w:val="24"/>
          <w:szCs w:val="22"/>
          <w:lang w:eastAsia="zh-CN"/>
        </w:rPr>
        <w:t>执行问题附属机构，</w:t>
      </w:r>
      <w:r w:rsidR="00142336">
        <w:rPr>
          <w:rFonts w:ascii="KaiTi" w:eastAsia="KaiTi" w:hAnsi="KaiTi" w:hint="eastAsia"/>
          <w:kern w:val="22"/>
          <w:sz w:val="24"/>
          <w:szCs w:val="22"/>
          <w:lang w:eastAsia="zh-CN"/>
        </w:rPr>
        <w:t xml:space="preserve"> </w:t>
      </w:r>
    </w:p>
    <w:p w14:paraId="0C677519" w14:textId="7F3AB4E0" w:rsidR="006904DC" w:rsidRDefault="006904DC" w:rsidP="00142336">
      <w:pPr>
        <w:pStyle w:val="Para1"/>
        <w:numPr>
          <w:ilvl w:val="0"/>
          <w:numId w:val="0"/>
        </w:numPr>
        <w:suppressLineNumbers/>
        <w:tabs>
          <w:tab w:val="left" w:pos="720"/>
        </w:tabs>
        <w:suppressAutoHyphens/>
        <w:topLinePunct/>
        <w:autoSpaceDE w:val="0"/>
        <w:autoSpaceDN w:val="0"/>
        <w:adjustRightInd w:val="0"/>
        <w:snapToGrid w:val="0"/>
        <w:spacing w:line="240" w:lineRule="atLeast"/>
        <w:ind w:firstLine="490"/>
        <w:rPr>
          <w:rFonts w:eastAsia="SimSun"/>
          <w:kern w:val="22"/>
          <w:sz w:val="24"/>
          <w:szCs w:val="22"/>
          <w:lang w:eastAsia="zh-CN"/>
        </w:rPr>
      </w:pPr>
      <w:r>
        <w:rPr>
          <w:rFonts w:ascii="KaiTi" w:eastAsia="KaiTi" w:hAnsi="KaiTi" w:hint="eastAsia"/>
          <w:kern w:val="22"/>
          <w:sz w:val="24"/>
          <w:szCs w:val="22"/>
          <w:lang w:eastAsia="zh-CN"/>
        </w:rPr>
        <w:t>建议</w:t>
      </w:r>
      <w:r>
        <w:rPr>
          <w:rFonts w:eastAsia="SimSun" w:hint="eastAsia"/>
          <w:kern w:val="22"/>
          <w:sz w:val="24"/>
          <w:szCs w:val="22"/>
          <w:lang w:eastAsia="zh-CN"/>
        </w:rPr>
        <w:t>作为卡塔赫纳生物安全议定书缔约方会议的缔约方大会第九</w:t>
      </w:r>
      <w:r w:rsidR="00775941">
        <w:rPr>
          <w:rFonts w:eastAsia="SimSun" w:hint="eastAsia"/>
          <w:kern w:val="22"/>
          <w:sz w:val="24"/>
          <w:szCs w:val="22"/>
          <w:lang w:eastAsia="zh-CN"/>
        </w:rPr>
        <w:t>次</w:t>
      </w:r>
      <w:r>
        <w:rPr>
          <w:rFonts w:eastAsia="SimSun" w:hint="eastAsia"/>
          <w:kern w:val="22"/>
          <w:sz w:val="24"/>
          <w:szCs w:val="22"/>
          <w:lang w:eastAsia="zh-CN"/>
        </w:rPr>
        <w:t>会议通过措辞大致如下的决定：</w:t>
      </w:r>
      <w:r>
        <w:rPr>
          <w:rFonts w:eastAsia="SimSun" w:hint="eastAsia"/>
          <w:kern w:val="22"/>
          <w:sz w:val="24"/>
          <w:szCs w:val="22"/>
          <w:lang w:eastAsia="zh-CN"/>
        </w:rPr>
        <w:t xml:space="preserve"> </w:t>
      </w:r>
    </w:p>
    <w:p w14:paraId="78040A8F" w14:textId="51AD9171"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ascii="SimSun" w:eastAsia="SimSun" w:hAnsi="SimSun"/>
          <w:kern w:val="22"/>
          <w:sz w:val="24"/>
          <w:szCs w:val="22"/>
          <w:lang w:eastAsia="zh-CN"/>
        </w:rPr>
      </w:pPr>
      <w:r>
        <w:rPr>
          <w:rFonts w:ascii="KaiTi" w:eastAsia="KaiTi" w:hAnsi="KaiTi" w:hint="eastAsia"/>
          <w:kern w:val="22"/>
          <w:sz w:val="24"/>
          <w:szCs w:val="22"/>
          <w:lang w:eastAsia="zh-CN"/>
        </w:rPr>
        <w:t>回顾</w:t>
      </w:r>
      <w:r>
        <w:rPr>
          <w:rFonts w:ascii="SimSun" w:eastAsia="SimSun" w:hAnsi="SimSun" w:hint="eastAsia"/>
          <w:kern w:val="22"/>
          <w:sz w:val="24"/>
          <w:szCs w:val="22"/>
          <w:lang w:eastAsia="zh-CN"/>
        </w:rPr>
        <w:t>通过</w:t>
      </w:r>
      <w:r>
        <w:rPr>
          <w:rFonts w:eastAsia="SimSun" w:hint="eastAsia"/>
          <w:snapToGrid w:val="0"/>
          <w:kern w:val="22"/>
          <w:sz w:val="24"/>
          <w:szCs w:val="22"/>
          <w:lang w:eastAsia="zh-CN"/>
        </w:rPr>
        <w:t>《</w:t>
      </w:r>
      <w:r w:rsidR="00775941">
        <w:rPr>
          <w:rFonts w:eastAsia="SimSun"/>
          <w:snapToGrid w:val="0"/>
          <w:kern w:val="22"/>
          <w:sz w:val="24"/>
          <w:szCs w:val="22"/>
          <w:lang w:eastAsia="zh-CN"/>
        </w:rPr>
        <w:t>2011-2020</w:t>
      </w:r>
      <w:r w:rsidR="00775941">
        <w:rPr>
          <w:rFonts w:eastAsia="SimSun" w:hint="eastAsia"/>
          <w:snapToGrid w:val="0"/>
          <w:kern w:val="22"/>
          <w:sz w:val="24"/>
          <w:szCs w:val="22"/>
          <w:lang w:eastAsia="zh-CN"/>
        </w:rPr>
        <w:t>年</w:t>
      </w:r>
      <w:r>
        <w:rPr>
          <w:rFonts w:eastAsia="SimSun" w:hint="eastAsia"/>
          <w:snapToGrid w:val="0"/>
          <w:kern w:val="22"/>
          <w:sz w:val="24"/>
          <w:szCs w:val="22"/>
          <w:lang w:eastAsia="zh-CN"/>
        </w:rPr>
        <w:t>卡塔赫纳生物安全议定书战略计划》</w:t>
      </w:r>
      <w:r w:rsidR="00775941">
        <w:rPr>
          <w:rFonts w:eastAsia="SimSun" w:hint="eastAsia"/>
          <w:snapToGrid w:val="0"/>
          <w:kern w:val="22"/>
          <w:sz w:val="24"/>
          <w:szCs w:val="22"/>
          <w:lang w:eastAsia="zh-CN"/>
        </w:rPr>
        <w:t>的</w:t>
      </w:r>
      <w:r w:rsidR="00775941">
        <w:rPr>
          <w:rFonts w:ascii="SimSun" w:eastAsia="SimSun" w:hAnsi="SimSun" w:hint="eastAsia"/>
          <w:kern w:val="22"/>
          <w:sz w:val="24"/>
          <w:szCs w:val="22"/>
          <w:lang w:eastAsia="zh-CN"/>
        </w:rPr>
        <w:t>第</w:t>
      </w:r>
      <w:r w:rsidR="00775941" w:rsidRPr="00775941">
        <w:rPr>
          <w:rFonts w:eastAsia="SimSun"/>
          <w:kern w:val="22"/>
          <w:sz w:val="24"/>
          <w:szCs w:val="22"/>
          <w:lang w:eastAsia="zh-CN"/>
        </w:rPr>
        <w:t>BS-V/16</w:t>
      </w:r>
      <w:r w:rsidR="00775941">
        <w:rPr>
          <w:rFonts w:ascii="SimSun" w:eastAsia="SimSun" w:hAnsi="SimSun" w:hint="eastAsia"/>
          <w:kern w:val="22"/>
          <w:sz w:val="24"/>
          <w:szCs w:val="22"/>
          <w:lang w:eastAsia="zh-CN"/>
        </w:rPr>
        <w:t>号决定</w:t>
      </w:r>
      <w:r>
        <w:rPr>
          <w:rFonts w:ascii="SimSun" w:eastAsia="SimSun" w:hAnsi="SimSun" w:hint="eastAsia"/>
          <w:kern w:val="22"/>
          <w:sz w:val="24"/>
          <w:szCs w:val="22"/>
          <w:lang w:eastAsia="zh-CN"/>
        </w:rPr>
        <w:t>，</w:t>
      </w:r>
    </w:p>
    <w:p w14:paraId="4E15FEEB" w14:textId="7AFC9FE0"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KaiTi_GB2312"/>
          <w:kern w:val="22"/>
          <w:sz w:val="24"/>
          <w:szCs w:val="22"/>
          <w:lang w:eastAsia="zh-CN"/>
        </w:rPr>
        <w:t>1.</w:t>
      </w:r>
      <w:r>
        <w:rPr>
          <w:rFonts w:eastAsia="KaiTi_GB2312"/>
          <w:kern w:val="22"/>
          <w:sz w:val="24"/>
          <w:szCs w:val="22"/>
          <w:lang w:eastAsia="zh-CN"/>
        </w:rPr>
        <w:tab/>
      </w:r>
      <w:r>
        <w:rPr>
          <w:rFonts w:ascii="KaiTi" w:eastAsia="KaiTi" w:hAnsi="KaiTi" w:hint="eastAsia"/>
          <w:kern w:val="22"/>
          <w:sz w:val="24"/>
          <w:szCs w:val="22"/>
          <w:lang w:eastAsia="zh-CN"/>
        </w:rPr>
        <w:t>再次</w:t>
      </w:r>
      <w:r>
        <w:rPr>
          <w:rFonts w:ascii="KaiTi" w:eastAsia="KaiTi" w:hAnsi="KaiTi" w:hint="eastAsia"/>
          <w:snapToGrid w:val="0"/>
          <w:kern w:val="22"/>
          <w:sz w:val="24"/>
          <w:szCs w:val="22"/>
          <w:lang w:eastAsia="zh-CN"/>
        </w:rPr>
        <w:t>邀请</w:t>
      </w:r>
      <w:r w:rsidR="00C37484">
        <w:rPr>
          <w:rFonts w:eastAsia="SimSun" w:hint="eastAsia"/>
          <w:kern w:val="22"/>
          <w:sz w:val="24"/>
          <w:szCs w:val="22"/>
          <w:lang w:eastAsia="zh-CN"/>
        </w:rPr>
        <w:t>各</w:t>
      </w:r>
      <w:r>
        <w:rPr>
          <w:rFonts w:eastAsia="SimSun" w:hint="eastAsia"/>
          <w:snapToGrid w:val="0"/>
          <w:kern w:val="22"/>
          <w:sz w:val="24"/>
          <w:szCs w:val="22"/>
          <w:lang w:eastAsia="zh-CN"/>
        </w:rPr>
        <w:t>缔约方</w:t>
      </w:r>
      <w:r w:rsidR="00C37484">
        <w:rPr>
          <w:rFonts w:eastAsia="SimSun" w:hint="eastAsia"/>
          <w:snapToGrid w:val="0"/>
          <w:kern w:val="22"/>
          <w:sz w:val="24"/>
          <w:szCs w:val="22"/>
          <w:lang w:eastAsia="zh-CN"/>
        </w:rPr>
        <w:t>在</w:t>
      </w:r>
      <w:r>
        <w:rPr>
          <w:rFonts w:eastAsia="SimSun" w:hint="eastAsia"/>
          <w:snapToGrid w:val="0"/>
          <w:kern w:val="22"/>
          <w:sz w:val="24"/>
          <w:szCs w:val="22"/>
          <w:lang w:eastAsia="zh-CN"/>
        </w:rPr>
        <w:t>《</w:t>
      </w:r>
      <w:r w:rsidR="00C37484">
        <w:rPr>
          <w:rFonts w:eastAsia="SimSun"/>
          <w:snapToGrid w:val="0"/>
          <w:kern w:val="22"/>
          <w:sz w:val="24"/>
          <w:szCs w:val="22"/>
          <w:lang w:eastAsia="zh-CN"/>
        </w:rPr>
        <w:t>2011-2020</w:t>
      </w:r>
      <w:r w:rsidR="00C37484">
        <w:rPr>
          <w:rFonts w:eastAsia="SimSun" w:hint="eastAsia"/>
          <w:snapToGrid w:val="0"/>
          <w:kern w:val="22"/>
          <w:sz w:val="24"/>
          <w:szCs w:val="22"/>
          <w:lang w:eastAsia="zh-CN"/>
        </w:rPr>
        <w:t>年</w:t>
      </w:r>
      <w:r>
        <w:rPr>
          <w:rFonts w:eastAsia="SimSun" w:hint="eastAsia"/>
          <w:snapToGrid w:val="0"/>
          <w:kern w:val="22"/>
          <w:sz w:val="24"/>
          <w:szCs w:val="22"/>
          <w:lang w:eastAsia="zh-CN"/>
        </w:rPr>
        <w:t>卡塔赫纳生物安全议定书战略计划》余下的时</w:t>
      </w:r>
      <w:r w:rsidR="00C37484">
        <w:rPr>
          <w:rFonts w:eastAsia="SimSun" w:hint="eastAsia"/>
          <w:snapToGrid w:val="0"/>
          <w:kern w:val="22"/>
          <w:sz w:val="24"/>
          <w:szCs w:val="22"/>
          <w:lang w:eastAsia="zh-CN"/>
        </w:rPr>
        <w:t>间</w:t>
      </w:r>
      <w:r>
        <w:rPr>
          <w:rFonts w:eastAsia="SimSun" w:hint="eastAsia"/>
          <w:snapToGrid w:val="0"/>
          <w:kern w:val="22"/>
          <w:sz w:val="24"/>
          <w:szCs w:val="22"/>
          <w:lang w:eastAsia="zh-CN"/>
        </w:rPr>
        <w:t>内，</w:t>
      </w:r>
      <w:r>
        <w:rPr>
          <w:rFonts w:eastAsia="SimSun" w:hint="eastAsia"/>
          <w:kern w:val="22"/>
          <w:sz w:val="24"/>
          <w:szCs w:val="22"/>
          <w:lang w:eastAsia="zh-CN"/>
        </w:rPr>
        <w:t>考虑</w:t>
      </w:r>
      <w:r w:rsidR="00C37484">
        <w:rPr>
          <w:rFonts w:eastAsia="SimSun" w:hint="eastAsia"/>
          <w:kern w:val="22"/>
          <w:sz w:val="24"/>
          <w:szCs w:val="22"/>
          <w:lang w:eastAsia="zh-CN"/>
        </w:rPr>
        <w:t>重点实现</w:t>
      </w:r>
      <w:r>
        <w:rPr>
          <w:rFonts w:eastAsia="SimSun" w:hint="eastAsia"/>
          <w:kern w:val="22"/>
          <w:sz w:val="24"/>
          <w:szCs w:val="22"/>
          <w:lang w:eastAsia="zh-CN"/>
        </w:rPr>
        <w:t>生物安全立法、风险评估、</w:t>
      </w:r>
      <w:r w:rsidR="00C37484">
        <w:rPr>
          <w:rFonts w:eastAsia="SimSun" w:hint="eastAsia"/>
          <w:kern w:val="22"/>
          <w:sz w:val="24"/>
          <w:szCs w:val="22"/>
          <w:lang w:eastAsia="zh-CN"/>
        </w:rPr>
        <w:t>改性活生物体</w:t>
      </w:r>
      <w:r>
        <w:rPr>
          <w:rFonts w:eastAsia="SimSun" w:hint="eastAsia"/>
          <w:kern w:val="22"/>
          <w:sz w:val="24"/>
          <w:szCs w:val="22"/>
          <w:lang w:eastAsia="zh-CN"/>
        </w:rPr>
        <w:t>检测和识别</w:t>
      </w:r>
      <w:r w:rsidR="00C37484">
        <w:rPr>
          <w:rFonts w:eastAsia="SimSun" w:hint="eastAsia"/>
          <w:kern w:val="22"/>
          <w:sz w:val="24"/>
          <w:szCs w:val="22"/>
          <w:lang w:eastAsia="zh-CN"/>
        </w:rPr>
        <w:t>、</w:t>
      </w:r>
      <w:r>
        <w:rPr>
          <w:rFonts w:eastAsia="SimSun" w:hint="eastAsia"/>
          <w:kern w:val="22"/>
          <w:sz w:val="24"/>
          <w:szCs w:val="22"/>
          <w:lang w:eastAsia="zh-CN"/>
        </w:rPr>
        <w:t>公众认识</w:t>
      </w:r>
      <w:r w:rsidR="00C37484">
        <w:rPr>
          <w:rFonts w:eastAsia="SimSun" w:hint="eastAsia"/>
          <w:kern w:val="22"/>
          <w:sz w:val="24"/>
          <w:szCs w:val="22"/>
          <w:lang w:eastAsia="zh-CN"/>
        </w:rPr>
        <w:t>方面的</w:t>
      </w:r>
      <w:r>
        <w:rPr>
          <w:rFonts w:eastAsia="SimSun" w:hint="eastAsia"/>
          <w:kern w:val="22"/>
          <w:sz w:val="24"/>
          <w:szCs w:val="22"/>
          <w:lang w:eastAsia="zh-CN"/>
        </w:rPr>
        <w:t>业务目标，因为</w:t>
      </w:r>
      <w:r w:rsidR="00C37484">
        <w:rPr>
          <w:rFonts w:eastAsia="SimSun" w:hint="eastAsia"/>
          <w:kern w:val="22"/>
          <w:sz w:val="24"/>
          <w:szCs w:val="22"/>
          <w:lang w:eastAsia="zh-CN"/>
        </w:rPr>
        <w:t>这些目标对</w:t>
      </w:r>
      <w:r>
        <w:rPr>
          <w:rFonts w:eastAsia="SimSun" w:hint="eastAsia"/>
          <w:kern w:val="22"/>
          <w:sz w:val="24"/>
          <w:szCs w:val="22"/>
          <w:lang w:eastAsia="zh-CN"/>
        </w:rPr>
        <w:t>促进《议定书》</w:t>
      </w:r>
      <w:r w:rsidR="00C37484">
        <w:rPr>
          <w:rFonts w:eastAsia="SimSun" w:hint="eastAsia"/>
          <w:kern w:val="22"/>
          <w:sz w:val="24"/>
          <w:szCs w:val="22"/>
          <w:lang w:eastAsia="zh-CN"/>
        </w:rPr>
        <w:t>的</w:t>
      </w:r>
      <w:r>
        <w:rPr>
          <w:rFonts w:eastAsia="SimSun" w:hint="eastAsia"/>
          <w:kern w:val="22"/>
          <w:sz w:val="24"/>
          <w:szCs w:val="22"/>
          <w:lang w:eastAsia="zh-CN"/>
        </w:rPr>
        <w:t>执行至关重要；</w:t>
      </w:r>
      <w:r w:rsidR="00C37484">
        <w:rPr>
          <w:rFonts w:eastAsia="SimSun"/>
          <w:kern w:val="22"/>
          <w:sz w:val="24"/>
          <w:szCs w:val="22"/>
          <w:lang w:eastAsia="zh-CN"/>
        </w:rPr>
        <w:t xml:space="preserve"> </w:t>
      </w:r>
    </w:p>
    <w:p w14:paraId="3CE157A9" w14:textId="697CDE7D"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KaiTi_GB2312"/>
          <w:kern w:val="22"/>
          <w:sz w:val="24"/>
          <w:szCs w:val="22"/>
          <w:lang w:eastAsia="zh-CN"/>
        </w:rPr>
        <w:t>2.</w:t>
      </w:r>
      <w:r>
        <w:rPr>
          <w:rFonts w:eastAsia="KaiTi_GB2312"/>
          <w:kern w:val="22"/>
          <w:sz w:val="24"/>
          <w:szCs w:val="22"/>
          <w:lang w:eastAsia="zh-CN"/>
        </w:rPr>
        <w:tab/>
      </w:r>
      <w:r>
        <w:rPr>
          <w:rFonts w:ascii="KaiTi" w:eastAsia="KaiTi" w:hAnsi="KaiTi" w:hint="eastAsia"/>
          <w:kern w:val="22"/>
          <w:sz w:val="24"/>
          <w:szCs w:val="22"/>
          <w:lang w:eastAsia="zh-CN"/>
        </w:rPr>
        <w:t>决定</w:t>
      </w:r>
      <w:r>
        <w:rPr>
          <w:rFonts w:eastAsia="SimSun" w:hint="eastAsia"/>
          <w:kern w:val="22"/>
          <w:sz w:val="24"/>
          <w:szCs w:val="22"/>
          <w:lang w:eastAsia="zh-CN"/>
        </w:rPr>
        <w:t>《卡塔赫纳议定书》</w:t>
      </w:r>
      <w:r w:rsidR="00C37484">
        <w:rPr>
          <w:rFonts w:eastAsia="SimSun" w:hint="eastAsia"/>
          <w:kern w:val="22"/>
          <w:sz w:val="24"/>
          <w:szCs w:val="22"/>
          <w:lang w:eastAsia="zh-CN"/>
        </w:rPr>
        <w:t>的</w:t>
      </w:r>
      <w:r>
        <w:rPr>
          <w:rFonts w:eastAsia="SimSun" w:hint="eastAsia"/>
          <w:kern w:val="22"/>
          <w:sz w:val="24"/>
          <w:szCs w:val="22"/>
          <w:lang w:eastAsia="zh-CN"/>
        </w:rPr>
        <w:t>第四次评估和审查与《</w:t>
      </w:r>
      <w:r>
        <w:rPr>
          <w:rFonts w:eastAsia="SimSun"/>
          <w:kern w:val="22"/>
          <w:sz w:val="24"/>
          <w:szCs w:val="22"/>
          <w:lang w:eastAsia="zh-CN"/>
        </w:rPr>
        <w:t>2011-2020</w:t>
      </w:r>
      <w:r>
        <w:rPr>
          <w:rFonts w:eastAsia="SimSun" w:hint="eastAsia"/>
          <w:kern w:val="22"/>
          <w:sz w:val="24"/>
          <w:szCs w:val="22"/>
          <w:lang w:eastAsia="zh-CN"/>
        </w:rPr>
        <w:t>年卡塔赫纳议定书战略计划》</w:t>
      </w:r>
      <w:r w:rsidR="00C37484">
        <w:rPr>
          <w:rFonts w:eastAsia="SimSun" w:hint="eastAsia"/>
          <w:kern w:val="22"/>
          <w:sz w:val="24"/>
          <w:szCs w:val="22"/>
          <w:lang w:eastAsia="zh-CN"/>
        </w:rPr>
        <w:t>的</w:t>
      </w:r>
      <w:r>
        <w:rPr>
          <w:rFonts w:eastAsia="SimSun" w:hint="eastAsia"/>
          <w:kern w:val="22"/>
          <w:sz w:val="24"/>
          <w:szCs w:val="22"/>
          <w:lang w:eastAsia="zh-CN"/>
        </w:rPr>
        <w:t>最后评价</w:t>
      </w:r>
      <w:r w:rsidR="00C37484">
        <w:rPr>
          <w:rFonts w:eastAsia="SimSun" w:hint="eastAsia"/>
          <w:kern w:val="22"/>
          <w:sz w:val="24"/>
          <w:szCs w:val="22"/>
          <w:lang w:eastAsia="zh-CN"/>
        </w:rPr>
        <w:t>合并</w:t>
      </w:r>
      <w:r>
        <w:rPr>
          <w:rFonts w:eastAsia="SimSun" w:hint="eastAsia"/>
          <w:kern w:val="22"/>
          <w:sz w:val="24"/>
          <w:szCs w:val="22"/>
          <w:lang w:eastAsia="zh-CN"/>
        </w:rPr>
        <w:t>进行；</w:t>
      </w:r>
    </w:p>
    <w:p w14:paraId="2BECC384" w14:textId="77777777"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SimSun"/>
          <w:kern w:val="22"/>
          <w:sz w:val="24"/>
          <w:szCs w:val="22"/>
          <w:lang w:eastAsia="zh-CN"/>
        </w:rPr>
        <w:t>3.</w:t>
      </w:r>
      <w:r>
        <w:rPr>
          <w:rFonts w:eastAsia="SimSun"/>
          <w:kern w:val="22"/>
          <w:sz w:val="24"/>
          <w:szCs w:val="22"/>
          <w:lang w:eastAsia="zh-CN"/>
        </w:rPr>
        <w:tab/>
      </w:r>
      <w:r>
        <w:rPr>
          <w:rFonts w:ascii="KaiTi" w:eastAsia="KaiTi" w:hAnsi="KaiTi" w:hint="eastAsia"/>
          <w:kern w:val="22"/>
          <w:sz w:val="24"/>
          <w:szCs w:val="22"/>
          <w:lang w:eastAsia="zh-CN"/>
        </w:rPr>
        <w:t>请</w:t>
      </w:r>
      <w:r>
        <w:rPr>
          <w:rFonts w:eastAsia="SimSun" w:hint="eastAsia"/>
          <w:kern w:val="22"/>
          <w:sz w:val="24"/>
          <w:szCs w:val="22"/>
          <w:lang w:eastAsia="zh-CN"/>
        </w:rPr>
        <w:t>执行秘书：</w:t>
      </w:r>
    </w:p>
    <w:p w14:paraId="35155F9E" w14:textId="4FE90DDB" w:rsidR="006904DC" w:rsidRDefault="006904DC" w:rsidP="00C37484">
      <w:pPr>
        <w:pStyle w:val="ListParagraph"/>
        <w:numPr>
          <w:ilvl w:val="1"/>
          <w:numId w:val="4"/>
        </w:numPr>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SimSun" w:hint="eastAsia"/>
          <w:kern w:val="22"/>
          <w:sz w:val="24"/>
          <w:szCs w:val="22"/>
          <w:lang w:eastAsia="zh-CN"/>
        </w:rPr>
        <w:t>继续改进在线国家报告分析工具，以</w:t>
      </w:r>
      <w:r w:rsidR="00706473">
        <w:rPr>
          <w:rFonts w:eastAsia="SimSun" w:hint="eastAsia"/>
          <w:kern w:val="22"/>
          <w:sz w:val="24"/>
          <w:szCs w:val="22"/>
          <w:lang w:eastAsia="zh-CN"/>
        </w:rPr>
        <w:t>便利</w:t>
      </w:r>
      <w:r>
        <w:rPr>
          <w:rFonts w:eastAsia="SimSun" w:hint="eastAsia"/>
          <w:kern w:val="22"/>
          <w:sz w:val="24"/>
          <w:szCs w:val="22"/>
          <w:lang w:eastAsia="zh-CN"/>
        </w:rPr>
        <w:t>对照第二个国家报告周期获得的相关基准数据对第四次国家报告和其他来源所载数据进行编辑、汇总和分析；</w:t>
      </w:r>
    </w:p>
    <w:p w14:paraId="100200E0" w14:textId="7FB4B749" w:rsidR="006904DC" w:rsidRDefault="00706473" w:rsidP="00C37484">
      <w:pPr>
        <w:pStyle w:val="ListParagraph"/>
        <w:numPr>
          <w:ilvl w:val="1"/>
          <w:numId w:val="4"/>
        </w:numPr>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SimSun" w:hint="eastAsia"/>
          <w:kern w:val="22"/>
          <w:sz w:val="24"/>
          <w:szCs w:val="22"/>
          <w:lang w:eastAsia="zh-CN"/>
        </w:rPr>
        <w:t>以</w:t>
      </w:r>
      <w:r w:rsidR="006904DC">
        <w:rPr>
          <w:rFonts w:eastAsia="SimSun" w:hint="eastAsia"/>
          <w:kern w:val="22"/>
          <w:sz w:val="24"/>
          <w:szCs w:val="22"/>
          <w:lang w:eastAsia="zh-CN"/>
        </w:rPr>
        <w:t>第四次国家报告为主要来源，</w:t>
      </w:r>
      <w:r w:rsidR="00A16A39">
        <w:rPr>
          <w:rFonts w:eastAsia="SimSun" w:hint="eastAsia"/>
          <w:kern w:val="22"/>
          <w:sz w:val="24"/>
          <w:szCs w:val="22"/>
          <w:lang w:eastAsia="zh-CN"/>
        </w:rPr>
        <w:t>并酌情</w:t>
      </w:r>
      <w:r w:rsidR="006904DC">
        <w:rPr>
          <w:rFonts w:eastAsia="SimSun" w:hint="eastAsia"/>
          <w:kern w:val="22"/>
          <w:sz w:val="24"/>
          <w:szCs w:val="22"/>
          <w:lang w:eastAsia="zh-CN"/>
        </w:rPr>
        <w:t>利用生物安全信息交换所及</w:t>
      </w:r>
      <w:r w:rsidR="00A16A39">
        <w:rPr>
          <w:rFonts w:eastAsia="SimSun" w:hint="eastAsia"/>
          <w:kern w:val="22"/>
          <w:sz w:val="24"/>
          <w:szCs w:val="22"/>
          <w:lang w:eastAsia="zh-CN"/>
        </w:rPr>
        <w:t>能力建设项目</w:t>
      </w:r>
      <w:r w:rsidR="00142336">
        <w:rPr>
          <w:rFonts w:eastAsia="SimSun" w:hint="eastAsia"/>
          <w:kern w:val="22"/>
          <w:sz w:val="24"/>
          <w:szCs w:val="22"/>
          <w:lang w:eastAsia="zh-CN"/>
        </w:rPr>
        <w:t>和履约委员会</w:t>
      </w:r>
      <w:r w:rsidR="00A16A39">
        <w:rPr>
          <w:rFonts w:eastAsia="SimSun" w:hint="eastAsia"/>
          <w:kern w:val="22"/>
          <w:sz w:val="24"/>
          <w:szCs w:val="22"/>
          <w:lang w:eastAsia="zh-CN"/>
        </w:rPr>
        <w:t>的经验</w:t>
      </w:r>
      <w:r w:rsidR="006904DC">
        <w:rPr>
          <w:rFonts w:eastAsia="SimSun" w:hint="eastAsia"/>
          <w:kern w:val="22"/>
          <w:sz w:val="24"/>
          <w:szCs w:val="22"/>
          <w:lang w:eastAsia="zh-CN"/>
        </w:rPr>
        <w:t>，分析并汇总关于《议定书》执行情况的信息，以促进《议定书》第四次评估和审查以及《战略计划》最后评价，并</w:t>
      </w:r>
      <w:r w:rsidR="00C3745C">
        <w:rPr>
          <w:rFonts w:eastAsia="SimSun" w:hint="eastAsia"/>
          <w:kern w:val="22"/>
          <w:sz w:val="24"/>
          <w:szCs w:val="22"/>
          <w:lang w:eastAsia="zh-CN"/>
        </w:rPr>
        <w:t>酌情</w:t>
      </w:r>
      <w:r w:rsidR="006904DC">
        <w:rPr>
          <w:rFonts w:eastAsia="SimSun" w:hint="eastAsia"/>
          <w:kern w:val="22"/>
          <w:sz w:val="24"/>
          <w:szCs w:val="22"/>
          <w:lang w:eastAsia="zh-CN"/>
        </w:rPr>
        <w:t>将这些信息提供能力建设</w:t>
      </w:r>
      <w:r>
        <w:rPr>
          <w:rFonts w:eastAsia="SimSun" w:hint="eastAsia"/>
          <w:kern w:val="22"/>
          <w:sz w:val="24"/>
          <w:szCs w:val="22"/>
          <w:lang w:eastAsia="zh-CN"/>
        </w:rPr>
        <w:t>问题</w:t>
      </w:r>
      <w:r w:rsidR="006904DC">
        <w:rPr>
          <w:rFonts w:eastAsia="SimSun" w:hint="eastAsia"/>
          <w:kern w:val="22"/>
          <w:sz w:val="24"/>
          <w:szCs w:val="22"/>
          <w:lang w:eastAsia="zh-CN"/>
        </w:rPr>
        <w:t>联络小组和履约委员会</w:t>
      </w:r>
      <w:r>
        <w:rPr>
          <w:rFonts w:eastAsia="SimSun" w:hint="eastAsia"/>
          <w:kern w:val="22"/>
          <w:sz w:val="24"/>
          <w:szCs w:val="22"/>
          <w:lang w:eastAsia="zh-CN"/>
        </w:rPr>
        <w:t>；</w:t>
      </w:r>
    </w:p>
    <w:p w14:paraId="37E84800" w14:textId="77777777"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SimSun"/>
          <w:kern w:val="22"/>
          <w:sz w:val="24"/>
          <w:szCs w:val="22"/>
          <w:lang w:eastAsia="zh-CN"/>
        </w:rPr>
        <w:t>4.</w:t>
      </w:r>
      <w:r>
        <w:rPr>
          <w:rFonts w:eastAsia="SimSun"/>
          <w:kern w:val="22"/>
          <w:sz w:val="24"/>
          <w:szCs w:val="22"/>
          <w:lang w:eastAsia="zh-CN"/>
        </w:rPr>
        <w:tab/>
      </w:r>
      <w:r>
        <w:rPr>
          <w:rFonts w:ascii="KaiTi" w:eastAsia="KaiTi" w:hAnsi="KaiTi" w:hint="eastAsia"/>
          <w:kern w:val="22"/>
          <w:sz w:val="24"/>
          <w:szCs w:val="22"/>
          <w:lang w:eastAsia="zh-CN"/>
        </w:rPr>
        <w:t>请</w:t>
      </w:r>
      <w:r>
        <w:rPr>
          <w:rFonts w:eastAsia="SimSun" w:hint="eastAsia"/>
          <w:kern w:val="22"/>
          <w:sz w:val="24"/>
          <w:szCs w:val="22"/>
          <w:lang w:eastAsia="zh-CN"/>
        </w:rPr>
        <w:t>能力建设问题联络小组和履约委员会以互补和不重复的方式开展工作，为《卡塔赫纳议定书》第四次评估和审查以及《战略计划》最后评价作出贡献，并提交其结论供执行问题附属机构审议；</w:t>
      </w:r>
    </w:p>
    <w:p w14:paraId="651EEB6F" w14:textId="4FAF8CF6" w:rsidR="006904DC" w:rsidRDefault="006904DC" w:rsidP="00142336">
      <w:pPr>
        <w:pStyle w:val="ListParagraph"/>
        <w:suppressLineNumbers/>
        <w:suppressAutoHyphens/>
        <w:topLinePunct/>
        <w:autoSpaceDE w:val="0"/>
        <w:autoSpaceDN w:val="0"/>
        <w:adjustRightInd w:val="0"/>
        <w:snapToGrid w:val="0"/>
        <w:spacing w:before="120" w:after="120" w:line="240" w:lineRule="atLeast"/>
        <w:ind w:left="490" w:firstLine="490"/>
        <w:contextualSpacing w:val="0"/>
        <w:rPr>
          <w:rFonts w:eastAsia="SimSun"/>
          <w:kern w:val="22"/>
          <w:sz w:val="24"/>
          <w:szCs w:val="22"/>
          <w:lang w:eastAsia="zh-CN"/>
        </w:rPr>
      </w:pPr>
      <w:r>
        <w:rPr>
          <w:rFonts w:eastAsia="SimSun"/>
          <w:kern w:val="22"/>
          <w:sz w:val="24"/>
          <w:szCs w:val="22"/>
          <w:lang w:eastAsia="zh-CN"/>
        </w:rPr>
        <w:t>5.</w:t>
      </w:r>
      <w:r>
        <w:rPr>
          <w:rFonts w:eastAsia="SimSun"/>
          <w:kern w:val="22"/>
          <w:sz w:val="24"/>
          <w:szCs w:val="22"/>
          <w:lang w:eastAsia="zh-CN"/>
        </w:rPr>
        <w:tab/>
      </w:r>
      <w:r>
        <w:rPr>
          <w:rFonts w:ascii="KaiTi" w:eastAsia="KaiTi" w:hAnsi="KaiTi" w:hint="eastAsia"/>
          <w:kern w:val="22"/>
          <w:sz w:val="24"/>
          <w:szCs w:val="22"/>
          <w:lang w:eastAsia="zh-CN"/>
        </w:rPr>
        <w:t>请</w:t>
      </w:r>
      <w:r>
        <w:rPr>
          <w:rFonts w:eastAsia="SimSun" w:hint="eastAsia"/>
          <w:kern w:val="22"/>
          <w:sz w:val="24"/>
          <w:szCs w:val="22"/>
          <w:lang w:eastAsia="zh-CN"/>
        </w:rPr>
        <w:t>执行问题附属机构第三次会议审议联络小组和履约委员会提供的</w:t>
      </w:r>
      <w:r w:rsidR="00706473">
        <w:rPr>
          <w:rFonts w:eastAsia="SimSun" w:hint="eastAsia"/>
          <w:kern w:val="22"/>
          <w:sz w:val="24"/>
          <w:szCs w:val="22"/>
          <w:lang w:eastAsia="zh-CN"/>
        </w:rPr>
        <w:t>信息</w:t>
      </w:r>
      <w:r>
        <w:rPr>
          <w:rFonts w:eastAsia="SimSun" w:hint="eastAsia"/>
          <w:kern w:val="22"/>
          <w:sz w:val="24"/>
          <w:szCs w:val="22"/>
          <w:lang w:eastAsia="zh-CN"/>
        </w:rPr>
        <w:t>和得出的结论，并将其</w:t>
      </w:r>
      <w:r w:rsidR="00706473">
        <w:rPr>
          <w:rFonts w:eastAsia="SimSun" w:hint="eastAsia"/>
          <w:kern w:val="22"/>
          <w:sz w:val="24"/>
          <w:szCs w:val="22"/>
          <w:lang w:eastAsia="zh-CN"/>
        </w:rPr>
        <w:t>定论</w:t>
      </w:r>
      <w:r>
        <w:rPr>
          <w:rFonts w:eastAsia="SimSun" w:hint="eastAsia"/>
          <w:kern w:val="22"/>
          <w:sz w:val="24"/>
          <w:szCs w:val="22"/>
          <w:lang w:eastAsia="zh-CN"/>
        </w:rPr>
        <w:t>和建议提交作为卡塔赫纳议定书缔约方会议的缔约方大会</w:t>
      </w:r>
      <w:r>
        <w:rPr>
          <w:rFonts w:eastAsia="SimSun" w:hint="eastAsia"/>
          <w:kern w:val="22"/>
          <w:sz w:val="24"/>
          <w:szCs w:val="22"/>
          <w:lang w:eastAsia="zh-CN"/>
        </w:rPr>
        <w:lastRenderedPageBreak/>
        <w:t>第十次会议，以期</w:t>
      </w:r>
      <w:r w:rsidR="00706473">
        <w:rPr>
          <w:rFonts w:eastAsia="SimSun" w:hint="eastAsia"/>
          <w:kern w:val="22"/>
          <w:sz w:val="24"/>
          <w:szCs w:val="22"/>
          <w:lang w:eastAsia="zh-CN"/>
        </w:rPr>
        <w:t>便利</w:t>
      </w:r>
      <w:r>
        <w:rPr>
          <w:rFonts w:eastAsia="SimSun" w:hint="eastAsia"/>
          <w:kern w:val="22"/>
          <w:sz w:val="24"/>
          <w:szCs w:val="22"/>
          <w:lang w:eastAsia="zh-CN"/>
        </w:rPr>
        <w:t>《卡塔赫纳议定书》第四次评估和审查以及《</w:t>
      </w:r>
      <w:r>
        <w:rPr>
          <w:rFonts w:eastAsia="SimSun"/>
          <w:kern w:val="22"/>
          <w:sz w:val="24"/>
          <w:szCs w:val="22"/>
          <w:lang w:eastAsia="zh-CN"/>
        </w:rPr>
        <w:t>2011-2020</w:t>
      </w:r>
      <w:r>
        <w:rPr>
          <w:rFonts w:eastAsia="SimSun" w:hint="eastAsia"/>
          <w:kern w:val="22"/>
          <w:sz w:val="24"/>
          <w:szCs w:val="22"/>
          <w:lang w:eastAsia="zh-CN"/>
        </w:rPr>
        <w:t>年卡塔赫纳生物安全议定书战略计划》最后评价。</w:t>
      </w:r>
    </w:p>
    <w:p w14:paraId="6E3AED71" w14:textId="77777777" w:rsidR="006904DC" w:rsidRDefault="006904DC" w:rsidP="006904DC">
      <w:pPr>
        <w:pStyle w:val="Para1"/>
        <w:numPr>
          <w:ilvl w:val="0"/>
          <w:numId w:val="0"/>
        </w:numPr>
        <w:suppressLineNumbers/>
        <w:tabs>
          <w:tab w:val="left" w:pos="720"/>
        </w:tabs>
        <w:suppressAutoHyphens/>
        <w:topLinePunct/>
        <w:autoSpaceDE w:val="0"/>
        <w:autoSpaceDN w:val="0"/>
        <w:adjustRightInd w:val="0"/>
        <w:spacing w:line="240" w:lineRule="atLeast"/>
        <w:rPr>
          <w:rFonts w:eastAsiaTheme="minorEastAsia"/>
          <w:kern w:val="22"/>
          <w:sz w:val="24"/>
          <w:szCs w:val="22"/>
          <w:lang w:eastAsia="zh-CN"/>
        </w:rPr>
      </w:pPr>
    </w:p>
    <w:p w14:paraId="65B40C5F" w14:textId="77777777" w:rsidR="006904DC" w:rsidRDefault="006904DC" w:rsidP="006904DC">
      <w:pPr>
        <w:kinsoku w:val="0"/>
        <w:overflowPunct w:val="0"/>
        <w:autoSpaceDE w:val="0"/>
        <w:autoSpaceDN w:val="0"/>
        <w:adjustRightInd w:val="0"/>
        <w:spacing w:before="120" w:after="120" w:line="240" w:lineRule="atLeast"/>
        <w:jc w:val="center"/>
      </w:pPr>
      <w:r>
        <w:t>__________</w:t>
      </w:r>
    </w:p>
    <w:p w14:paraId="474B9052" w14:textId="77777777" w:rsidR="006904DC" w:rsidRDefault="006904DC" w:rsidP="006904DC">
      <w:pPr>
        <w:pStyle w:val="Para1"/>
        <w:numPr>
          <w:ilvl w:val="0"/>
          <w:numId w:val="0"/>
        </w:numPr>
        <w:suppressLineNumbers/>
        <w:tabs>
          <w:tab w:val="left" w:pos="720"/>
        </w:tabs>
        <w:suppressAutoHyphens/>
        <w:topLinePunct/>
        <w:autoSpaceDE w:val="0"/>
        <w:autoSpaceDN w:val="0"/>
        <w:adjustRightInd w:val="0"/>
        <w:spacing w:line="240" w:lineRule="atLeast"/>
        <w:rPr>
          <w:kern w:val="22"/>
          <w:sz w:val="24"/>
          <w:szCs w:val="22"/>
          <w:lang w:eastAsia="zh-CN"/>
        </w:rPr>
      </w:pPr>
    </w:p>
    <w:p w14:paraId="4AEFB2A8" w14:textId="4E578552" w:rsidR="005E169C" w:rsidRDefault="005E169C">
      <w:pPr>
        <w:rPr>
          <w:lang w:eastAsia="zh-CN"/>
        </w:rPr>
      </w:pPr>
    </w:p>
    <w:sectPr w:rsidR="005E169C"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4DA5" w14:textId="77777777" w:rsidR="0038380C" w:rsidRDefault="0038380C" w:rsidP="00F05487">
      <w:r>
        <w:separator/>
      </w:r>
    </w:p>
  </w:endnote>
  <w:endnote w:type="continuationSeparator" w:id="0">
    <w:p w14:paraId="5D6EA96E" w14:textId="77777777" w:rsidR="0038380C" w:rsidRDefault="0038380C"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067B1" w14:textId="77777777" w:rsidR="0038380C" w:rsidRDefault="0038380C" w:rsidP="00F05487">
      <w:r>
        <w:separator/>
      </w:r>
    </w:p>
  </w:footnote>
  <w:footnote w:type="continuationSeparator" w:id="0">
    <w:p w14:paraId="0DFE8F28" w14:textId="77777777" w:rsidR="0038380C" w:rsidRDefault="0038380C" w:rsidP="00F05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3DE2" w14:textId="77777777" w:rsidR="0067775C" w:rsidRDefault="00F05487" w:rsidP="00F05487">
    <w:pPr>
      <w:rPr>
        <w:snapToGrid w:val="0"/>
        <w:kern w:val="22"/>
        <w:sz w:val="24"/>
      </w:rPr>
    </w:pPr>
    <w:r>
      <w:rPr>
        <w:snapToGrid w:val="0"/>
        <w:kern w:val="22"/>
        <w:sz w:val="24"/>
      </w:rPr>
      <w:t>CBD/SBI/</w:t>
    </w:r>
    <w:r w:rsidR="0067775C">
      <w:rPr>
        <w:snapToGrid w:val="0"/>
        <w:kern w:val="22"/>
        <w:sz w:val="24"/>
      </w:rPr>
      <w:t>REC/2/12</w:t>
    </w:r>
  </w:p>
  <w:p w14:paraId="7EF684D2" w14:textId="5C95A4A5"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Pr="00F05487">
      <w:rPr>
        <w:noProof/>
        <w:snapToGrid w:val="0"/>
        <w:kern w:val="22"/>
        <w:sz w:val="24"/>
      </w:rPr>
      <w:t>1</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8" w14:textId="38E0B0DB" w:rsidR="00F05487" w:rsidRDefault="00F05487" w:rsidP="00F05487">
    <w:pPr>
      <w:jc w:val="right"/>
      <w:rPr>
        <w:snapToGrid w:val="0"/>
        <w:kern w:val="22"/>
        <w:sz w:val="24"/>
      </w:rPr>
    </w:pPr>
    <w:r>
      <w:rPr>
        <w:snapToGrid w:val="0"/>
        <w:kern w:val="22"/>
        <w:sz w:val="24"/>
      </w:rPr>
      <w:t>CBD/SBI/2/L.</w:t>
    </w:r>
    <w:r w:rsidR="00ED1E5C">
      <w:rPr>
        <w:snapToGrid w:val="0"/>
        <w:kern w:val="22"/>
        <w:sz w:val="24"/>
      </w:rPr>
      <w:t>5</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2F61"/>
    <w:multiLevelType w:val="hybridMultilevel"/>
    <w:tmpl w:val="B2CCD7B8"/>
    <w:lvl w:ilvl="0" w:tplc="CAB40D4C">
      <w:start w:val="1"/>
      <w:numFmt w:val="lowerLetter"/>
      <w:lvlText w:val="(%1)"/>
      <w:lvlJc w:val="left"/>
      <w:pPr>
        <w:ind w:left="1140" w:hanging="420"/>
      </w:pPr>
      <w:rPr>
        <w:b w:val="0"/>
      </w:rPr>
    </w:lvl>
    <w:lvl w:ilvl="1" w:tplc="CAB40D4C">
      <w:start w:val="1"/>
      <w:numFmt w:val="lowerLetter"/>
      <w:lvlText w:val="(%2)"/>
      <w:lvlJc w:val="left"/>
      <w:pPr>
        <w:ind w:left="1560" w:hanging="420"/>
      </w:pPr>
      <w:rPr>
        <w:b w:val="0"/>
      </w:r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142336"/>
    <w:rsid w:val="0015716C"/>
    <w:rsid w:val="0038380C"/>
    <w:rsid w:val="003B22DF"/>
    <w:rsid w:val="004768B7"/>
    <w:rsid w:val="00483580"/>
    <w:rsid w:val="005E169C"/>
    <w:rsid w:val="0061244F"/>
    <w:rsid w:val="0067775C"/>
    <w:rsid w:val="006904DC"/>
    <w:rsid w:val="00706473"/>
    <w:rsid w:val="00725928"/>
    <w:rsid w:val="00775941"/>
    <w:rsid w:val="007D4E3C"/>
    <w:rsid w:val="00910660"/>
    <w:rsid w:val="00A16A39"/>
    <w:rsid w:val="00BD4E04"/>
    <w:rsid w:val="00C3745C"/>
    <w:rsid w:val="00C37484"/>
    <w:rsid w:val="00CC1A3C"/>
    <w:rsid w:val="00D704D5"/>
    <w:rsid w:val="00DF3960"/>
    <w:rsid w:val="00ED1E5C"/>
    <w:rsid w:val="00EF57B1"/>
    <w:rsid w:val="00F0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chartTrackingRefBased/>
  <w15:docId w15:val="{E4749982-7CC4-4761-9A38-4FD76973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1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99"/>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customStyle="1" w:styleId="Heading1Char">
    <w:name w:val="Heading 1 Char"/>
    <w:basedOn w:val="DefaultParagraphFont"/>
    <w:link w:val="Heading1"/>
    <w:rsid w:val="00910660"/>
    <w:rPr>
      <w:rFonts w:ascii="Times New Roman" w:eastAsia="Times New Roman" w:hAnsi="Times New Roman" w:cs="Times New Roman"/>
      <w:b/>
      <w:caps/>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910660"/>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910660"/>
    <w:rPr>
      <w:rFonts w:ascii="Times New Roman" w:eastAsia="Times New Roman" w:hAnsi="Times New Roman" w:cs="Times New Roman"/>
      <w:sz w:val="18"/>
      <w:szCs w:val="24"/>
      <w:lang w:val="en-GB" w:eastAsia="en-US"/>
    </w:rPr>
  </w:style>
  <w:style w:type="paragraph" w:customStyle="1" w:styleId="Para1">
    <w:name w:val="Para1"/>
    <w:basedOn w:val="Normal"/>
    <w:link w:val="Para1Char"/>
    <w:rsid w:val="00910660"/>
    <w:pPr>
      <w:numPr>
        <w:numId w:val="1"/>
      </w:numPr>
      <w:tabs>
        <w:tab w:val="clear" w:pos="360"/>
      </w:tabs>
      <w:spacing w:before="120" w:after="120"/>
    </w:pPr>
    <w:rPr>
      <w:snapToGrid w:val="0"/>
      <w:szCs w:val="18"/>
    </w:rPr>
  </w:style>
  <w:style w:type="character" w:styleId="Hyperlink">
    <w:name w:val="Hyperlink"/>
    <w:rsid w:val="00910660"/>
    <w:rPr>
      <w:color w:val="0000FF"/>
      <w:sz w:val="18"/>
      <w:u w:val="single"/>
    </w:rPr>
  </w:style>
  <w:style w:type="character" w:customStyle="1" w:styleId="Para1Char">
    <w:name w:val="Para1 Char"/>
    <w:link w:val="Para1"/>
    <w:locked/>
    <w:rsid w:val="00910660"/>
    <w:rPr>
      <w:rFonts w:ascii="Times New Roman" w:eastAsia="Times New Roman" w:hAnsi="Times New Roman" w:cs="Times New Roman"/>
      <w:snapToGrid w:val="0"/>
      <w:szCs w:val="18"/>
      <w:lang w:val="en-GB" w:eastAsia="en-US"/>
    </w:rPr>
  </w:style>
  <w:style w:type="paragraph" w:styleId="ListParagraph">
    <w:name w:val="List Paragraph"/>
    <w:basedOn w:val="Normal"/>
    <w:qFormat/>
    <w:rsid w:val="00910660"/>
    <w:pPr>
      <w:ind w:left="720"/>
      <w:contextualSpacing/>
    </w:pPr>
  </w:style>
  <w:style w:type="character" w:customStyle="1" w:styleId="shorttext">
    <w:name w:val="short_text"/>
    <w:basedOn w:val="DefaultParagraphFont"/>
    <w:rsid w:val="00910660"/>
  </w:style>
  <w:style w:type="character" w:customStyle="1" w:styleId="Heading2Char">
    <w:name w:val="Heading 2 Char"/>
    <w:basedOn w:val="DefaultParagraphFont"/>
    <w:link w:val="Heading2"/>
    <w:uiPriority w:val="9"/>
    <w:semiHidden/>
    <w:rsid w:val="00910660"/>
    <w:rPr>
      <w:rFonts w:asciiTheme="majorHAnsi" w:eastAsiaTheme="majorEastAsia" w:hAnsiTheme="majorHAnsi" w:cstheme="majorBidi"/>
      <w:color w:val="2F5496" w:themeColor="accent1" w:themeShade="BF"/>
      <w:sz w:val="26"/>
      <w:szCs w:val="26"/>
      <w:lang w:val="en-GB" w:eastAsia="en-US"/>
    </w:rPr>
  </w:style>
  <w:style w:type="paragraph" w:styleId="BodyText">
    <w:name w:val="Body Text"/>
    <w:basedOn w:val="Normal"/>
    <w:link w:val="BodyTextChar"/>
    <w:uiPriority w:val="99"/>
    <w:unhideWhenUsed/>
    <w:rsid w:val="006904DC"/>
    <w:pPr>
      <w:spacing w:after="120"/>
    </w:pPr>
  </w:style>
  <w:style w:type="character" w:customStyle="1" w:styleId="BodyTextChar">
    <w:name w:val="Body Text Char"/>
    <w:basedOn w:val="DefaultParagraphFont"/>
    <w:link w:val="BodyText"/>
    <w:uiPriority w:val="99"/>
    <w:rsid w:val="006904DC"/>
    <w:rPr>
      <w:rFonts w:ascii="Times New Roman" w:eastAsia="Times New Roman" w:hAnsi="Times New Roman" w:cs="Times New Roman"/>
      <w:szCs w:val="24"/>
      <w:lang w:val="en-GB" w:eastAsia="en-US"/>
    </w:rPr>
  </w:style>
  <w:style w:type="character" w:customStyle="1" w:styleId="Para1Char1">
    <w:name w:val="Para1 Char1"/>
    <w:locked/>
    <w:rsid w:val="006904DC"/>
    <w:rPr>
      <w:szCs w:val="18"/>
      <w:lang w:val="en-GB"/>
    </w:rPr>
  </w:style>
  <w:style w:type="paragraph" w:customStyle="1" w:styleId="Para3">
    <w:name w:val="Para3"/>
    <w:basedOn w:val="Normal"/>
    <w:rsid w:val="006904DC"/>
    <w:pPr>
      <w:tabs>
        <w:tab w:val="num" w:pos="1440"/>
        <w:tab w:val="left" w:pos="1980"/>
      </w:tabs>
      <w:spacing w:before="80" w:after="80"/>
      <w:ind w:left="1440" w:hanging="360"/>
    </w:pPr>
    <w:rPr>
      <w:rFonts w:eastAsiaTheme="minorEastAsia"/>
      <w:szCs w:val="20"/>
    </w:rPr>
  </w:style>
  <w:style w:type="character" w:customStyle="1" w:styleId="HEADINGNOTFORTOCChar">
    <w:name w:val="HEADING (NOT FOR TOC) Char"/>
    <w:link w:val="HEADINGNOTFORTOC"/>
    <w:locked/>
    <w:rsid w:val="006904DC"/>
    <w:rPr>
      <w:b/>
      <w:caps/>
      <w:szCs w:val="24"/>
      <w:lang w:val="en-GB"/>
    </w:rPr>
  </w:style>
  <w:style w:type="paragraph" w:customStyle="1" w:styleId="HEADINGNOTFORTOC">
    <w:name w:val="HEADING (NOT FOR TOC)"/>
    <w:basedOn w:val="Heading1"/>
    <w:next w:val="Heading2"/>
    <w:link w:val="HEADINGNOTFORTOCChar"/>
    <w:rsid w:val="006904DC"/>
    <w:rPr>
      <w:rFonts w:asciiTheme="minorHAnsi" w:eastAsiaTheme="minorEastAsia" w:hAnsiTheme="minorHAnsi" w:cstheme="minorBidi"/>
      <w:lang w:eastAsia="zh-CN"/>
    </w:rPr>
  </w:style>
  <w:style w:type="paragraph" w:customStyle="1" w:styleId="Para4">
    <w:name w:val="Para4"/>
    <w:basedOn w:val="Para3"/>
    <w:rsid w:val="006904DC"/>
    <w:pPr>
      <w:tabs>
        <w:tab w:val="clear" w:pos="1440"/>
        <w:tab w:val="clear" w:pos="1980"/>
        <w:tab w:val="left" w:pos="2552"/>
        <w:tab w:val="num" w:pos="2880"/>
      </w:tabs>
      <w:ind w:left="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8A6E6443094C4A8A1223AA47507B78"/>
        <w:category>
          <w:name w:val="General"/>
          <w:gallery w:val="placeholder"/>
        </w:category>
        <w:types>
          <w:type w:val="bbPlcHdr"/>
        </w:types>
        <w:behaviors>
          <w:behavior w:val="content"/>
        </w:behaviors>
        <w:guid w:val="{B6850DC9-48CC-4F03-B73F-FCE018A49EB0}"/>
      </w:docPartPr>
      <w:docPartBody>
        <w:p w:rsidR="00F5416F" w:rsidRDefault="00475AED" w:rsidP="00475AED">
          <w:pPr>
            <w:pStyle w:val="4B8A6E6443094C4A8A1223AA47507B78"/>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D"/>
    <w:rsid w:val="001D1F4D"/>
    <w:rsid w:val="00475AED"/>
    <w:rsid w:val="00657859"/>
    <w:rsid w:val="00D90256"/>
    <w:rsid w:val="00F5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AED"/>
  </w:style>
  <w:style w:type="paragraph" w:customStyle="1" w:styleId="4B8A6E6443094C4A8A1223AA47507B78">
    <w:name w:val="4B8A6E6443094C4A8A1223AA47507B78"/>
    <w:rsid w:val="00475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2/12. 评估与审查（《卡塔赫纳生物安全议定书》第35条）</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评估与审查（《卡塔赫纳生物安全议定书》第35条）</dc:title>
  <dc:subject/>
  <dc:creator>Yunqi Jia</dc:creator>
  <cp:keywords/>
  <dc:description/>
  <cp:lastModifiedBy>Yunqi Jia</cp:lastModifiedBy>
  <cp:revision>5</cp:revision>
  <dcterms:created xsi:type="dcterms:W3CDTF">2018-08-12T19:35:00Z</dcterms:created>
  <dcterms:modified xsi:type="dcterms:W3CDTF">2018-08-15T02:27:00Z</dcterms:modified>
</cp:coreProperties>
</file>