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4"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718"/>
      </w:tblGrid>
      <w:tr w:rsidR="00C9161D" w14:paraId="07F6750D" w14:textId="77777777" w:rsidTr="009509AA">
        <w:trPr>
          <w:trHeight w:val="851"/>
        </w:trPr>
        <w:tc>
          <w:tcPr>
            <w:tcW w:w="948"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9509AA">
            <w:pPr>
              <w:ind w:left="55"/>
            </w:pPr>
            <w:r w:rsidRPr="00AA6F92">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727"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9509AA">
        <w:tc>
          <w:tcPr>
            <w:tcW w:w="6089"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727"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4ED5B47B" w:rsidR="00C9161D" w:rsidRPr="00C9161D" w:rsidRDefault="003B28AE"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7779A254" w:rsidR="00C9161D" w:rsidRPr="00C9161D" w:rsidRDefault="003F1D6D"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B28AE">
                  <w:rPr>
                    <w:lang w:val="en-US"/>
                  </w:rPr>
                  <w:t>CBD/NP/MOP/DEC/4/1</w:t>
                </w:r>
                <w:r w:rsidR="0027325F">
                  <w:rPr>
                    <w:lang w:val="en-US"/>
                  </w:rPr>
                  <w:t>1</w:t>
                </w:r>
              </w:sdtContent>
            </w:sdt>
          </w:p>
          <w:p w14:paraId="0DF1F033" w14:textId="105573F1" w:rsidR="00C9161D" w:rsidRPr="00C9161D" w:rsidRDefault="00095133" w:rsidP="00176CEE">
            <w:pPr>
              <w:ind w:left="1215"/>
              <w:rPr>
                <w:szCs w:val="22"/>
              </w:rPr>
            </w:pPr>
            <w:r>
              <w:rPr>
                <w:szCs w:val="22"/>
                <w:lang w:val="en-US"/>
              </w:rPr>
              <w:t>1</w:t>
            </w:r>
            <w:r w:rsidR="00A06239">
              <w:rPr>
                <w:szCs w:val="22"/>
                <w:lang w:val="en-US"/>
              </w:rPr>
              <w:t>9</w:t>
            </w:r>
            <w:r>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D92CDB0" w:rsidR="003B7BB2" w:rsidRPr="00910961" w:rsidRDefault="003B7BB2" w:rsidP="00BA33A0">
      <w:pPr>
        <w:pStyle w:val="Cornernotation"/>
        <w:kinsoku w:val="0"/>
        <w:overflowPunct w:val="0"/>
        <w:autoSpaceDE w:val="0"/>
        <w:autoSpaceDN w:val="0"/>
        <w:spacing w:before="60"/>
        <w:ind w:left="227" w:right="3792" w:hanging="227"/>
        <w:rPr>
          <w:snapToGrid w:val="0"/>
          <w:kern w:val="22"/>
        </w:rPr>
      </w:pPr>
      <w:r w:rsidRPr="00910961">
        <w:rPr>
          <w:snapToGrid w:val="0"/>
          <w:kern w:val="22"/>
        </w:rPr>
        <w:t xml:space="preserve">CONFERENCE OF THE PARTIES TO THE CONVENTION ON BIOLOGICAL DIVERSITY </w:t>
      </w:r>
      <w:r w:rsidR="005E0ED3">
        <w:rPr>
          <w:snapToGrid w:val="0"/>
          <w:kern w:val="22"/>
        </w:rPr>
        <w:t xml:space="preserve">SERVING AS THE MEETING OF THE PARTIES TO THE </w:t>
      </w:r>
      <w:r w:rsidR="0083009D">
        <w:rPr>
          <w:snapToGrid w:val="0"/>
          <w:kern w:val="22"/>
        </w:rPr>
        <w:t>NAGOYA PROTOCOL ON ACCESS TO GENETIC RESOURCES AND THE FAIR AND EQUITABLE SHARING</w:t>
      </w:r>
      <w:r w:rsidR="00BA33A0">
        <w:rPr>
          <w:snapToGrid w:val="0"/>
          <w:kern w:val="22"/>
        </w:rPr>
        <w:t xml:space="preserve"> OF BENEFITS ARISING FROM THEIR UTILIZATION</w:t>
      </w:r>
    </w:p>
    <w:p w14:paraId="141C6194" w14:textId="056A5FC1" w:rsidR="003B7BB2" w:rsidRPr="00910961" w:rsidRDefault="00BA33A0" w:rsidP="00BA33A0">
      <w:pPr>
        <w:pStyle w:val="Cornernotation"/>
        <w:kinsoku w:val="0"/>
        <w:overflowPunct w:val="0"/>
        <w:autoSpaceDE w:val="0"/>
        <w:autoSpaceDN w:val="0"/>
        <w:ind w:left="0" w:right="3792" w:firstLine="0"/>
        <w:rPr>
          <w:snapToGrid w:val="0"/>
          <w:kern w:val="22"/>
        </w:rPr>
      </w:pPr>
      <w:r>
        <w:rPr>
          <w:snapToGrid w:val="0"/>
          <w:kern w:val="22"/>
        </w:rPr>
        <w:t>Fourth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BA33A0">
      <w:pPr>
        <w:pStyle w:val="Cornernotation"/>
        <w:kinsoku w:val="0"/>
        <w:overflowPunct w:val="0"/>
        <w:autoSpaceDE w:val="0"/>
        <w:autoSpaceDN w:val="0"/>
        <w:ind w:left="227" w:right="3792" w:hanging="227"/>
        <w:rPr>
          <w:snapToGrid w:val="0"/>
          <w:kern w:val="22"/>
          <w:szCs w:val="22"/>
          <w:lang w:eastAsia="nb-NO"/>
        </w:rPr>
      </w:pPr>
      <w:r>
        <w:rPr>
          <w:snapToGrid w:val="0"/>
          <w:kern w:val="22"/>
          <w:szCs w:val="22"/>
          <w:lang w:eastAsia="nb-NO"/>
        </w:rPr>
        <w:t>Montreal, Canada, 7-19 December 2022</w:t>
      </w:r>
    </w:p>
    <w:p w14:paraId="5ECF7635" w14:textId="4EF0CEDF" w:rsidR="00C9161D" w:rsidRDefault="00B26ACD" w:rsidP="00BA33A0">
      <w:pPr>
        <w:ind w:right="3792"/>
        <w:rPr>
          <w:snapToGrid w:val="0"/>
          <w:kern w:val="22"/>
          <w:szCs w:val="22"/>
        </w:rPr>
      </w:pPr>
      <w:r>
        <w:rPr>
          <w:snapToGrid w:val="0"/>
          <w:kern w:val="22"/>
          <w:szCs w:val="22"/>
        </w:rPr>
        <w:t>Agenda i</w:t>
      </w:r>
      <w:r w:rsidR="00134846" w:rsidRPr="004B44DE">
        <w:rPr>
          <w:snapToGrid w:val="0"/>
          <w:kern w:val="22"/>
          <w:szCs w:val="22"/>
        </w:rPr>
        <w:t xml:space="preserve">tem </w:t>
      </w:r>
      <w:r w:rsidR="00411BC6">
        <w:rPr>
          <w:snapToGrid w:val="0"/>
          <w:kern w:val="22"/>
          <w:szCs w:val="22"/>
        </w:rPr>
        <w:t>15</w:t>
      </w:r>
      <w:r w:rsidR="00134846" w:rsidRPr="004B44DE">
        <w:rPr>
          <w:snapToGrid w:val="0"/>
          <w:kern w:val="22"/>
          <w:szCs w:val="22"/>
        </w:rPr>
        <w:t xml:space="preserve"> </w:t>
      </w:r>
    </w:p>
    <w:p w14:paraId="5CE8FC82" w14:textId="447A9801" w:rsidR="00BD7173" w:rsidRPr="007A73CD" w:rsidRDefault="00531C7D" w:rsidP="008A068B">
      <w:pPr>
        <w:spacing w:before="240" w:after="240"/>
        <w:jc w:val="center"/>
        <w:rPr>
          <w:rFonts w:ascii="Times New Roman Bold" w:hAnsi="Times New Roman Bold"/>
          <w:b/>
          <w:bCs/>
          <w:caps/>
        </w:rPr>
      </w:pPr>
      <w:r w:rsidRPr="007A73CD">
        <w:rPr>
          <w:rFonts w:ascii="Times New Roman Bold" w:hAnsi="Times New Roman Bold"/>
          <w:b/>
          <w:bCs/>
          <w:caps/>
        </w:rPr>
        <w:t>Decision adopted by the Parties to the Nagoya Protocol on Access and Benefit-sharing</w:t>
      </w:r>
    </w:p>
    <w:p w14:paraId="267CCEC8" w14:textId="74436E61" w:rsidR="009F51A8" w:rsidRDefault="003F1D6D" w:rsidP="008A068B">
      <w:pPr>
        <w:spacing w:before="120" w:after="240"/>
        <w:ind w:left="1584" w:hanging="1152"/>
        <w:jc w:val="left"/>
        <w:outlineLvl w:val="1"/>
        <w:rPr>
          <w:rFonts w:asciiTheme="majorBidi" w:hAnsiTheme="majorBidi" w:cstheme="majorBidi"/>
          <w:b/>
          <w:bCs/>
          <w:snapToGrid w:val="0"/>
          <w:kern w:val="22"/>
        </w:rPr>
      </w:pPr>
      <w:sdt>
        <w:sdtPr>
          <w:rPr>
            <w:rFonts w:asciiTheme="majorBidi" w:hAnsiTheme="majorBidi" w:cstheme="majorBidi"/>
            <w:b/>
            <w:bCs/>
            <w:snapToGrid w:val="0"/>
            <w:kern w:val="22"/>
          </w:rPr>
          <w:alias w:val="Title"/>
          <w:tag w:val=""/>
          <w:id w:val="1621721383"/>
          <w:placeholder>
            <w:docPart w:val="D87C095CB6B74BDA96AD11D916545B97"/>
          </w:placeholder>
          <w:dataBinding w:prefixMappings="xmlns:ns0='http://purl.org/dc/elements/1.1/' xmlns:ns1='http://schemas.openxmlformats.org/package/2006/metadata/core-properties' " w:xpath="/ns1:coreProperties[1]/ns0:title[1]" w:storeItemID="{6C3C8BC8-F283-45AE-878A-BAB7291924A1}"/>
          <w:text/>
        </w:sdtPr>
        <w:sdtEndPr/>
        <w:sdtContent>
          <w:r w:rsidR="004A74CE">
            <w:rPr>
              <w:rFonts w:asciiTheme="majorBidi" w:hAnsiTheme="majorBidi" w:cstheme="majorBidi"/>
              <w:b/>
              <w:bCs/>
              <w:snapToGrid w:val="0"/>
              <w:kern w:val="22"/>
            </w:rPr>
            <w:t>NP-</w:t>
          </w:r>
          <w:r w:rsidR="0027325F">
            <w:rPr>
              <w:rFonts w:asciiTheme="majorBidi" w:hAnsiTheme="majorBidi" w:cstheme="majorBidi"/>
              <w:b/>
              <w:bCs/>
              <w:snapToGrid w:val="0"/>
              <w:kern w:val="22"/>
            </w:rPr>
            <w:t>4/11.</w:t>
          </w:r>
          <w:r w:rsidR="0027325F">
            <w:rPr>
              <w:rFonts w:asciiTheme="majorBidi" w:hAnsiTheme="majorBidi" w:cstheme="majorBidi"/>
              <w:b/>
              <w:bCs/>
              <w:snapToGrid w:val="0"/>
              <w:kern w:val="22"/>
            </w:rPr>
            <w:tab/>
            <w:t>Specialized international access and benefit-sharing instruments in the context of Article 4, paragraph 4, of the Nagoya Protocol</w:t>
          </w:r>
        </w:sdtContent>
      </w:sdt>
    </w:p>
    <w:p w14:paraId="32C2680A" w14:textId="431C3449" w:rsidR="00D04C5B" w:rsidRDefault="00AB2545" w:rsidP="00095133">
      <w:pPr>
        <w:spacing w:before="120" w:after="120"/>
        <w:ind w:firstLine="720"/>
        <w:rPr>
          <w:rFonts w:eastAsia="Malgun Gothic"/>
          <w:i/>
          <w:color w:val="000000" w:themeColor="text1"/>
          <w:kern w:val="20"/>
        </w:rPr>
      </w:pPr>
      <w:r w:rsidRPr="005C41BC">
        <w:rPr>
          <w:rFonts w:eastAsia="Malgun Gothic"/>
          <w:i/>
          <w:color w:val="000000" w:themeColor="text1"/>
          <w:kern w:val="20"/>
        </w:rPr>
        <w:t>The Conference of the Parties</w:t>
      </w:r>
      <w:r>
        <w:rPr>
          <w:rFonts w:eastAsia="Malgun Gothic"/>
          <w:i/>
          <w:color w:val="000000" w:themeColor="text1"/>
          <w:kern w:val="20"/>
        </w:rPr>
        <w:t xml:space="preserve"> serving as the meeting of the Parties to the Nagoya Protocol</w:t>
      </w:r>
      <w:bookmarkStart w:id="0" w:name="_Toc118407980"/>
      <w:r w:rsidR="00D04C5B">
        <w:rPr>
          <w:rFonts w:eastAsia="Malgun Gothic"/>
          <w:i/>
          <w:color w:val="000000" w:themeColor="text1"/>
          <w:kern w:val="20"/>
        </w:rPr>
        <w:t>,</w:t>
      </w:r>
    </w:p>
    <w:p w14:paraId="06E35411" w14:textId="3FF7A340" w:rsidR="00D04C5B" w:rsidRDefault="00D04C5B" w:rsidP="00095133">
      <w:pPr>
        <w:spacing w:before="120" w:after="120"/>
        <w:ind w:firstLine="709"/>
      </w:pPr>
      <w:r>
        <w:rPr>
          <w:i/>
          <w:iCs/>
        </w:rPr>
        <w:t>Noting</w:t>
      </w:r>
      <w:r w:rsidRPr="003E5131">
        <w:t xml:space="preserve"> the </w:t>
      </w:r>
      <w:r>
        <w:t xml:space="preserve">divergence of views among Parties </w:t>
      </w:r>
      <w:proofErr w:type="gramStart"/>
      <w:r>
        <w:t>with regard to</w:t>
      </w:r>
      <w:proofErr w:type="gramEnd"/>
      <w:r>
        <w:t xml:space="preserve"> specialized international access and benefit-sharing instruments in the context of Article 4 of the Nagoya Protocol,</w:t>
      </w:r>
    </w:p>
    <w:p w14:paraId="1EF79368" w14:textId="70A556EE" w:rsidR="00D04C5B" w:rsidRDefault="00D04C5B" w:rsidP="00095133">
      <w:pPr>
        <w:pStyle w:val="ListParagraph"/>
        <w:numPr>
          <w:ilvl w:val="0"/>
          <w:numId w:val="19"/>
        </w:numPr>
        <w:spacing w:before="120" w:after="120"/>
        <w:ind w:left="0" w:firstLine="709"/>
        <w:contextualSpacing w:val="0"/>
      </w:pPr>
      <w:r w:rsidRPr="007D43F5">
        <w:rPr>
          <w:i/>
          <w:iCs/>
        </w:rPr>
        <w:t>Takes note</w:t>
      </w:r>
      <w:r w:rsidRPr="007D43F5">
        <w:t xml:space="preserve"> of recommendation 3/16 </w:t>
      </w:r>
      <w:r>
        <w:t xml:space="preserve">of the Subsidiary Body on Implementation, </w:t>
      </w:r>
      <w:r w:rsidRPr="007D43F5">
        <w:t xml:space="preserve">on </w:t>
      </w:r>
      <w:r>
        <w:t>s</w:t>
      </w:r>
      <w:r w:rsidRPr="007D43F5">
        <w:t>pecialized international</w:t>
      </w:r>
      <w:r>
        <w:t xml:space="preserve"> </w:t>
      </w:r>
      <w:r w:rsidRPr="007D43F5">
        <w:t>access and benefit-sharing instruments in the context of Article 4, paragraph 4, of the Nagoya Protocol</w:t>
      </w:r>
      <w:r>
        <w:t>;</w:t>
      </w:r>
    </w:p>
    <w:p w14:paraId="57E71A58" w14:textId="14B95DF5" w:rsidR="00C13AD7" w:rsidRPr="00095133" w:rsidRDefault="00D04C5B" w:rsidP="00095133">
      <w:pPr>
        <w:pStyle w:val="ListParagraph"/>
        <w:numPr>
          <w:ilvl w:val="0"/>
          <w:numId w:val="19"/>
        </w:numPr>
        <w:spacing w:before="120" w:after="120"/>
        <w:ind w:left="0" w:firstLine="709"/>
        <w:contextualSpacing w:val="0"/>
      </w:pPr>
      <w:r w:rsidRPr="009104B2">
        <w:rPr>
          <w:i/>
          <w:iCs/>
        </w:rPr>
        <w:t xml:space="preserve">Decides </w:t>
      </w:r>
      <w:r w:rsidRPr="009104B2">
        <w:t xml:space="preserve">to further review the item at its </w:t>
      </w:r>
      <w:r>
        <w:t xml:space="preserve">fifth </w:t>
      </w:r>
      <w:r w:rsidRPr="009104B2">
        <w:t xml:space="preserve">meeting on </w:t>
      </w:r>
      <w:r>
        <w:t>the basis of recommendation 3/16 referred to above.</w:t>
      </w:r>
      <w:bookmarkEnd w:id="0"/>
    </w:p>
    <w:p w14:paraId="3093D971" w14:textId="34A611B1" w:rsidR="00B3369F" w:rsidRPr="00C9161D" w:rsidRDefault="00095133" w:rsidP="00095133">
      <w:pPr>
        <w:jc w:val="center"/>
      </w:pPr>
      <w:r>
        <w:t>__________</w:t>
      </w:r>
    </w:p>
    <w:sectPr w:rsidR="00B3369F" w:rsidRPr="00C9161D" w:rsidSect="00095133">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FC64" w14:textId="77777777" w:rsidR="003F1D6D" w:rsidRDefault="003F1D6D" w:rsidP="00CF1848">
      <w:r>
        <w:separator/>
      </w:r>
    </w:p>
  </w:endnote>
  <w:endnote w:type="continuationSeparator" w:id="0">
    <w:p w14:paraId="3C388849" w14:textId="77777777" w:rsidR="003F1D6D" w:rsidRDefault="003F1D6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E5BD" w14:textId="77777777" w:rsidR="003F1D6D" w:rsidRDefault="003F1D6D" w:rsidP="00CF1848">
      <w:r>
        <w:separator/>
      </w:r>
    </w:p>
  </w:footnote>
  <w:footnote w:type="continuationSeparator" w:id="0">
    <w:p w14:paraId="132613B9" w14:textId="77777777" w:rsidR="003F1D6D" w:rsidRDefault="003F1D6D"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1A3EAF36" w:rsidR="00534681" w:rsidRPr="00134846" w:rsidRDefault="0027325F" w:rsidP="00534681">
        <w:pPr>
          <w:pStyle w:val="Header"/>
          <w:rPr>
            <w:lang w:val="fr-FR"/>
          </w:rPr>
        </w:pPr>
        <w:r>
          <w:rPr>
            <w:lang w:val="fr-FR"/>
          </w:rPr>
          <w:t>CBD/NP/MOP/DEC/4/11</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71D45FBD" w:rsidR="009505C9" w:rsidRPr="00134846" w:rsidRDefault="0027325F" w:rsidP="009505C9">
        <w:pPr>
          <w:pStyle w:val="Header"/>
          <w:jc w:val="right"/>
          <w:rPr>
            <w:lang w:val="fr-FR"/>
          </w:rPr>
        </w:pPr>
        <w:r>
          <w:rPr>
            <w:lang w:val="fr-FR"/>
          </w:rPr>
          <w:t>CBD/NP/MOP/DEC/4/11</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092964"/>
    <w:multiLevelType w:val="hybridMultilevel"/>
    <w:tmpl w:val="63A2C8FE"/>
    <w:lvl w:ilvl="0" w:tplc="76307376">
      <w:start w:val="1"/>
      <w:numFmt w:val="decimal"/>
      <w:lvlText w:val="%1."/>
      <w:lvlJc w:val="left"/>
      <w:pPr>
        <w:ind w:left="1080" w:hanging="360"/>
      </w:pPr>
      <w:rPr>
        <w:rFonts w:hint="default"/>
        <w:b w:val="0"/>
        <w:bCs w:val="0"/>
        <w:i w:val="0"/>
        <w:i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215808">
    <w:abstractNumId w:val="4"/>
  </w:num>
  <w:num w:numId="2" w16cid:durableId="1161043836">
    <w:abstractNumId w:val="7"/>
  </w:num>
  <w:num w:numId="3" w16cid:durableId="1309044938">
    <w:abstractNumId w:val="5"/>
  </w:num>
  <w:num w:numId="4" w16cid:durableId="1821605775">
    <w:abstractNumId w:val="7"/>
  </w:num>
  <w:num w:numId="5" w16cid:durableId="370112593">
    <w:abstractNumId w:val="6"/>
  </w:num>
  <w:num w:numId="6" w16cid:durableId="1819422939">
    <w:abstractNumId w:val="0"/>
  </w:num>
  <w:num w:numId="7" w16cid:durableId="579603185">
    <w:abstractNumId w:val="2"/>
  </w:num>
  <w:num w:numId="8" w16cid:durableId="1901868460">
    <w:abstractNumId w:val="5"/>
    <w:lvlOverride w:ilvl="0">
      <w:startOverride w:val="1"/>
    </w:lvlOverride>
  </w:num>
  <w:num w:numId="9" w16cid:durableId="630481516">
    <w:abstractNumId w:val="10"/>
  </w:num>
  <w:num w:numId="10" w16cid:durableId="950666925">
    <w:abstractNumId w:val="5"/>
    <w:lvlOverride w:ilvl="0">
      <w:startOverride w:val="1"/>
    </w:lvlOverride>
  </w:num>
  <w:num w:numId="11" w16cid:durableId="415564024">
    <w:abstractNumId w:val="5"/>
    <w:lvlOverride w:ilvl="0">
      <w:startOverride w:val="1"/>
    </w:lvlOverride>
  </w:num>
  <w:num w:numId="12" w16cid:durableId="606160432">
    <w:abstractNumId w:val="5"/>
    <w:lvlOverride w:ilvl="0">
      <w:startOverride w:val="1"/>
    </w:lvlOverride>
  </w:num>
  <w:num w:numId="13" w16cid:durableId="51931270">
    <w:abstractNumId w:val="5"/>
    <w:lvlOverride w:ilvl="0">
      <w:startOverride w:val="1"/>
    </w:lvlOverride>
  </w:num>
  <w:num w:numId="14" w16cid:durableId="756943176">
    <w:abstractNumId w:val="9"/>
  </w:num>
  <w:num w:numId="15" w16cid:durableId="431170423">
    <w:abstractNumId w:val="8"/>
  </w:num>
  <w:num w:numId="16" w16cid:durableId="299723779">
    <w:abstractNumId w:val="1"/>
  </w:num>
  <w:num w:numId="17" w16cid:durableId="1495757730">
    <w:abstractNumId w:val="11"/>
  </w:num>
  <w:num w:numId="18" w16cid:durableId="1292395673">
    <w:abstractNumId w:val="12"/>
  </w:num>
  <w:num w:numId="19" w16cid:durableId="1389722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0A25"/>
    <w:rsid w:val="0007171B"/>
    <w:rsid w:val="00095133"/>
    <w:rsid w:val="000C64C2"/>
    <w:rsid w:val="000E673A"/>
    <w:rsid w:val="000F74F5"/>
    <w:rsid w:val="00105372"/>
    <w:rsid w:val="001078CB"/>
    <w:rsid w:val="001226B6"/>
    <w:rsid w:val="001312AD"/>
    <w:rsid w:val="00131E7A"/>
    <w:rsid w:val="00134846"/>
    <w:rsid w:val="00172AF6"/>
    <w:rsid w:val="00176CEE"/>
    <w:rsid w:val="00186DD8"/>
    <w:rsid w:val="001B13FE"/>
    <w:rsid w:val="001E38DB"/>
    <w:rsid w:val="0027325F"/>
    <w:rsid w:val="00274635"/>
    <w:rsid w:val="002D601B"/>
    <w:rsid w:val="0030169D"/>
    <w:rsid w:val="003060EB"/>
    <w:rsid w:val="003153EB"/>
    <w:rsid w:val="00321985"/>
    <w:rsid w:val="00351205"/>
    <w:rsid w:val="00372F74"/>
    <w:rsid w:val="00386DD9"/>
    <w:rsid w:val="003B28AE"/>
    <w:rsid w:val="003B7BB2"/>
    <w:rsid w:val="003F1D6D"/>
    <w:rsid w:val="003F7224"/>
    <w:rsid w:val="00411BC6"/>
    <w:rsid w:val="004146DD"/>
    <w:rsid w:val="00427D21"/>
    <w:rsid w:val="004644C2"/>
    <w:rsid w:val="00467F9C"/>
    <w:rsid w:val="004A74CE"/>
    <w:rsid w:val="00531C7D"/>
    <w:rsid w:val="00534681"/>
    <w:rsid w:val="00563442"/>
    <w:rsid w:val="00565B42"/>
    <w:rsid w:val="005A78DC"/>
    <w:rsid w:val="005B4ADC"/>
    <w:rsid w:val="005C4CE6"/>
    <w:rsid w:val="005E0ED3"/>
    <w:rsid w:val="005F0693"/>
    <w:rsid w:val="00604A13"/>
    <w:rsid w:val="006122BA"/>
    <w:rsid w:val="006B2290"/>
    <w:rsid w:val="006F196D"/>
    <w:rsid w:val="00717D88"/>
    <w:rsid w:val="007462DB"/>
    <w:rsid w:val="00786056"/>
    <w:rsid w:val="007942D3"/>
    <w:rsid w:val="007A73CD"/>
    <w:rsid w:val="007B2099"/>
    <w:rsid w:val="007B6C09"/>
    <w:rsid w:val="007B7741"/>
    <w:rsid w:val="007E09DA"/>
    <w:rsid w:val="007E0DA8"/>
    <w:rsid w:val="008138EF"/>
    <w:rsid w:val="008178B6"/>
    <w:rsid w:val="0083009D"/>
    <w:rsid w:val="00834BE3"/>
    <w:rsid w:val="00844D7E"/>
    <w:rsid w:val="00860C93"/>
    <w:rsid w:val="00865B74"/>
    <w:rsid w:val="008974F0"/>
    <w:rsid w:val="008A068B"/>
    <w:rsid w:val="008B00B4"/>
    <w:rsid w:val="008B012A"/>
    <w:rsid w:val="00906E17"/>
    <w:rsid w:val="00930BA1"/>
    <w:rsid w:val="0093169E"/>
    <w:rsid w:val="00937130"/>
    <w:rsid w:val="009505C9"/>
    <w:rsid w:val="00950752"/>
    <w:rsid w:val="009509AA"/>
    <w:rsid w:val="00966424"/>
    <w:rsid w:val="00995FFF"/>
    <w:rsid w:val="009C2DE6"/>
    <w:rsid w:val="009F51A8"/>
    <w:rsid w:val="00A06239"/>
    <w:rsid w:val="00A1252A"/>
    <w:rsid w:val="00A83373"/>
    <w:rsid w:val="00A9048A"/>
    <w:rsid w:val="00AA40ED"/>
    <w:rsid w:val="00AA6F92"/>
    <w:rsid w:val="00AB2545"/>
    <w:rsid w:val="00AB6934"/>
    <w:rsid w:val="00AC4A7F"/>
    <w:rsid w:val="00AD7FFC"/>
    <w:rsid w:val="00AF18A4"/>
    <w:rsid w:val="00AF42DE"/>
    <w:rsid w:val="00B26ACD"/>
    <w:rsid w:val="00B3369F"/>
    <w:rsid w:val="00B94E6C"/>
    <w:rsid w:val="00BA33A0"/>
    <w:rsid w:val="00BB4606"/>
    <w:rsid w:val="00BC3306"/>
    <w:rsid w:val="00BD6ED2"/>
    <w:rsid w:val="00BD7173"/>
    <w:rsid w:val="00BF11F9"/>
    <w:rsid w:val="00C13AD7"/>
    <w:rsid w:val="00C23D2F"/>
    <w:rsid w:val="00C443BD"/>
    <w:rsid w:val="00C451C5"/>
    <w:rsid w:val="00C90FDF"/>
    <w:rsid w:val="00C9161D"/>
    <w:rsid w:val="00CA0C1D"/>
    <w:rsid w:val="00CF1848"/>
    <w:rsid w:val="00D04C5B"/>
    <w:rsid w:val="00D12044"/>
    <w:rsid w:val="00D30264"/>
    <w:rsid w:val="00D33EFC"/>
    <w:rsid w:val="00D40DBC"/>
    <w:rsid w:val="00D41EB3"/>
    <w:rsid w:val="00D73F99"/>
    <w:rsid w:val="00D76A18"/>
    <w:rsid w:val="00D80849"/>
    <w:rsid w:val="00D82E8F"/>
    <w:rsid w:val="00DD118C"/>
    <w:rsid w:val="00E66235"/>
    <w:rsid w:val="00E70A80"/>
    <w:rsid w:val="00E83C24"/>
    <w:rsid w:val="00E9318D"/>
    <w:rsid w:val="00EC1F46"/>
    <w:rsid w:val="00F53193"/>
    <w:rsid w:val="00F5357E"/>
    <w:rsid w:val="00F6586C"/>
    <w:rsid w:val="00F94774"/>
    <w:rsid w:val="00FA0E9A"/>
    <w:rsid w:val="00FA663B"/>
    <w:rsid w:val="00FC25F8"/>
    <w:rsid w:val="00FC53DB"/>
    <w:rsid w:val="00FD4D9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B2545"/>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D04C5B"/>
    <w:rPr>
      <w:rFonts w:ascii="Times New Roman" w:eastAsia="Times New Roman" w:hAnsi="Times New Roman" w:cs="Times New Roman"/>
      <w:sz w:val="22"/>
      <w:lang w:val="en-GB"/>
    </w:rPr>
  </w:style>
  <w:style w:type="paragraph" w:styleId="Revision">
    <w:name w:val="Revision"/>
    <w:hidden/>
    <w:uiPriority w:val="99"/>
    <w:semiHidden/>
    <w:rsid w:val="00BD7173"/>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D87C095CB6B74BDA96AD11D916545B97"/>
        <w:category>
          <w:name w:val="General"/>
          <w:gallery w:val="placeholder"/>
        </w:category>
        <w:types>
          <w:type w:val="bbPlcHdr"/>
        </w:types>
        <w:behaviors>
          <w:behavior w:val="content"/>
        </w:behaviors>
        <w:guid w:val="{E2F64298-1DDE-4092-8E96-CCEC1D9E07AF}"/>
      </w:docPartPr>
      <w:docPartBody>
        <w:p w:rsidR="00E13818" w:rsidRDefault="0062718D" w:rsidP="0062718D">
          <w:pPr>
            <w:pStyle w:val="D87C095CB6B74BDA96AD11D916545B97"/>
          </w:pPr>
          <w:r w:rsidRPr="000C09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45252"/>
    <w:rsid w:val="0019323F"/>
    <w:rsid w:val="001C2613"/>
    <w:rsid w:val="00342E47"/>
    <w:rsid w:val="0046422C"/>
    <w:rsid w:val="004760CF"/>
    <w:rsid w:val="004E092F"/>
    <w:rsid w:val="00500A2B"/>
    <w:rsid w:val="00560557"/>
    <w:rsid w:val="0058288D"/>
    <w:rsid w:val="0062718D"/>
    <w:rsid w:val="00665C6B"/>
    <w:rsid w:val="006801B3"/>
    <w:rsid w:val="00810A55"/>
    <w:rsid w:val="008C6619"/>
    <w:rsid w:val="008D420E"/>
    <w:rsid w:val="0098642F"/>
    <w:rsid w:val="00B27D2C"/>
    <w:rsid w:val="00C04427"/>
    <w:rsid w:val="00C42288"/>
    <w:rsid w:val="00C8104B"/>
    <w:rsid w:val="00D07834"/>
    <w:rsid w:val="00D31D12"/>
    <w:rsid w:val="00E13818"/>
    <w:rsid w:val="00EB56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2718D"/>
    <w:rPr>
      <w:color w:val="808080"/>
    </w:rPr>
  </w:style>
  <w:style w:type="paragraph" w:customStyle="1" w:styleId="D87C095CB6B74BDA96AD11D916545B97">
    <w:name w:val="D87C095CB6B74BDA96AD11D916545B97"/>
    <w:rsid w:val="0062718D"/>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939E1-F253-4688-9809-6EDFB836D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NP-4/11.	Specialized international access and benefit-sharing instruments in the context of Article 4, paragraph 4, of the Nagoya Protocol</vt:lpstr>
    </vt:vector>
  </TitlesOfParts>
  <Company>SCBD</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NP-4/11.	Specialized international access and benefit-sharing instruments in the context of Article 4, paragraph 4, of the Nagoya Protocol</dc:title>
  <dc:subject>CBD/NP/MOP/DEC/4/11</dc:subject>
  <dc:creator>SCBD</dc:creator>
  <cp:keywords>Decision adopted by the Parties to the Nagoya Protocol on Access and Benefit-sharing</cp:keywords>
  <cp:lastModifiedBy>Veronique Lefebvre</cp:lastModifiedBy>
  <cp:revision>5</cp:revision>
  <cp:lastPrinted>2020-01-21T16:56:00Z</cp:lastPrinted>
  <dcterms:created xsi:type="dcterms:W3CDTF">2023-02-17T17:22:00Z</dcterms:created>
  <dcterms:modified xsi:type="dcterms:W3CDTF">2023-02-17T17:24:00Z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