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7" w:type="dxa"/>
        <w:tblLayout w:type="fixed"/>
        <w:tblLook w:val="00A0"/>
      </w:tblPr>
      <w:tblGrid>
        <w:gridCol w:w="820"/>
        <w:gridCol w:w="5141"/>
        <w:gridCol w:w="3568"/>
        <w:gridCol w:w="428"/>
      </w:tblGrid>
      <w:tr w:rsidR="00FD6ACB" w:rsidRPr="00E60534">
        <w:trPr>
          <w:gridAfter w:val="1"/>
          <w:wAfter w:w="428" w:type="dxa"/>
          <w:trHeight w:val="851"/>
        </w:trPr>
        <w:tc>
          <w:tcPr>
            <w:tcW w:w="820" w:type="dxa"/>
            <w:tcBorders>
              <w:bottom w:val="single" w:sz="12" w:space="0" w:color="auto"/>
            </w:tcBorders>
          </w:tcPr>
          <w:p w:rsidR="00FD6ACB" w:rsidRPr="00E60534" w:rsidRDefault="006E03F0">
            <w:pPr>
              <w:rPr>
                <w:rFonts w:eastAsia="Times New Roman"/>
                <w:lang w:val="es-ES"/>
              </w:rPr>
            </w:pPr>
            <w:r w:rsidRPr="00E60534">
              <w:rPr>
                <w:rFonts w:eastAsia="Times New Roman"/>
                <w:snapToGrid/>
                <w:lang w:val="es-ES" w:eastAsia="en-US"/>
              </w:rPr>
              <w:drawing>
                <wp:inline distT="0" distB="0" distL="0" distR="0">
                  <wp:extent cx="426720" cy="360680"/>
                  <wp:effectExtent l="19050" t="0" r="0" b="0"/>
                  <wp:docPr id="1" name="Picture 7"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bilodeau:Desktop:logos:template 2017:un.emf"/>
                          <pic:cNvPicPr>
                            <a:picLocks noChangeAspect="1" noChangeArrowheads="1"/>
                          </pic:cNvPicPr>
                        </pic:nvPicPr>
                        <pic:blipFill>
                          <a:blip r:embed="rId7"/>
                          <a:srcRect/>
                          <a:stretch>
                            <a:fillRect/>
                          </a:stretch>
                        </pic:blipFill>
                        <pic:spPr bwMode="auto">
                          <a:xfrm>
                            <a:off x="0" y="0"/>
                            <a:ext cx="426720" cy="360680"/>
                          </a:xfrm>
                          <a:prstGeom prst="rect">
                            <a:avLst/>
                          </a:prstGeom>
                          <a:noFill/>
                          <a:ln w="9525">
                            <a:noFill/>
                            <a:miter lim="800000"/>
                            <a:headEnd/>
                            <a:tailEnd/>
                          </a:ln>
                        </pic:spPr>
                      </pic:pic>
                    </a:graphicData>
                  </a:graphic>
                </wp:inline>
              </w:drawing>
            </w:r>
          </w:p>
        </w:tc>
        <w:tc>
          <w:tcPr>
            <w:tcW w:w="5141" w:type="dxa"/>
            <w:tcBorders>
              <w:bottom w:val="single" w:sz="12" w:space="0" w:color="auto"/>
            </w:tcBorders>
            <w:tcFitText/>
          </w:tcPr>
          <w:p w:rsidR="00FD6ACB" w:rsidRPr="00E60534" w:rsidRDefault="006E03F0">
            <w:pPr>
              <w:rPr>
                <w:rFonts w:eastAsia="Times New Roman"/>
                <w:lang w:val="es-ES"/>
              </w:rPr>
            </w:pPr>
            <w:r w:rsidRPr="00E60534">
              <w:rPr>
                <w:rFonts w:eastAsia="Times New Roman"/>
                <w:snapToGrid/>
                <w:lang w:val="es-ES" w:eastAsia="en-US"/>
              </w:rPr>
              <w:drawing>
                <wp:inline distT="0" distB="0" distL="0" distR="0">
                  <wp:extent cx="609600" cy="35052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09600" cy="350520"/>
                          </a:xfrm>
                          <a:prstGeom prst="rect">
                            <a:avLst/>
                          </a:prstGeom>
                          <a:noFill/>
                          <a:ln w="9525">
                            <a:noFill/>
                            <a:miter lim="800000"/>
                            <a:headEnd/>
                            <a:tailEnd/>
                          </a:ln>
                        </pic:spPr>
                      </pic:pic>
                    </a:graphicData>
                  </a:graphic>
                </wp:inline>
              </w:drawing>
            </w:r>
          </w:p>
        </w:tc>
        <w:tc>
          <w:tcPr>
            <w:tcW w:w="3568" w:type="dxa"/>
            <w:tcBorders>
              <w:bottom w:val="single" w:sz="12" w:space="0" w:color="auto"/>
            </w:tcBorders>
          </w:tcPr>
          <w:p w:rsidR="00FD6ACB" w:rsidRPr="00E60534" w:rsidRDefault="00FD6ACB">
            <w:pPr>
              <w:jc w:val="right"/>
              <w:rPr>
                <w:rFonts w:ascii="Arial" w:eastAsia="Times New Roman" w:hAnsi="Arial" w:cs="Arial"/>
                <w:b/>
                <w:bCs/>
                <w:sz w:val="32"/>
                <w:szCs w:val="32"/>
                <w:lang w:val="es-ES"/>
              </w:rPr>
            </w:pPr>
            <w:r w:rsidRPr="00E60534">
              <w:rPr>
                <w:rFonts w:ascii="Arial" w:eastAsia="Times New Roman" w:hAnsi="Arial" w:cs="Arial"/>
                <w:b/>
                <w:bCs/>
                <w:sz w:val="32"/>
                <w:szCs w:val="32"/>
                <w:lang w:val="es-ES"/>
              </w:rPr>
              <w:t>CBD</w:t>
            </w:r>
          </w:p>
        </w:tc>
      </w:tr>
      <w:tr w:rsidR="00FD6ACB" w:rsidRPr="00E60534">
        <w:tc>
          <w:tcPr>
            <w:tcW w:w="5961" w:type="dxa"/>
            <w:gridSpan w:val="2"/>
            <w:tcBorders>
              <w:top w:val="single" w:sz="12" w:space="0" w:color="auto"/>
              <w:bottom w:val="single" w:sz="36" w:space="0" w:color="auto"/>
            </w:tcBorders>
            <w:vAlign w:val="center"/>
          </w:tcPr>
          <w:p w:rsidR="00FD6ACB" w:rsidRPr="00E60534" w:rsidRDefault="006E03F0">
            <w:pPr>
              <w:rPr>
                <w:rFonts w:eastAsia="Times New Roman"/>
                <w:lang w:val="es-ES"/>
              </w:rPr>
            </w:pPr>
            <w:r w:rsidRPr="00E60534">
              <w:rPr>
                <w:rFonts w:eastAsia="Times New Roman"/>
                <w:snapToGrid/>
                <w:lang w:val="es-ES" w:eastAsia="en-US"/>
              </w:rPr>
              <w:drawing>
                <wp:inline distT="0" distB="0" distL="0" distR="0">
                  <wp:extent cx="2900680" cy="106680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2900680" cy="1066800"/>
                          </a:xfrm>
                          <a:prstGeom prst="rect">
                            <a:avLst/>
                          </a:prstGeom>
                          <a:noFill/>
                          <a:ln w="9525">
                            <a:noFill/>
                            <a:miter lim="800000"/>
                            <a:headEnd/>
                            <a:tailEnd/>
                          </a:ln>
                        </pic:spPr>
                      </pic:pic>
                    </a:graphicData>
                  </a:graphic>
                </wp:inline>
              </w:drawing>
            </w:r>
          </w:p>
        </w:tc>
        <w:tc>
          <w:tcPr>
            <w:tcW w:w="3996" w:type="dxa"/>
            <w:gridSpan w:val="2"/>
            <w:tcBorders>
              <w:top w:val="single" w:sz="12" w:space="0" w:color="auto"/>
              <w:bottom w:val="single" w:sz="36" w:space="0" w:color="auto"/>
            </w:tcBorders>
          </w:tcPr>
          <w:p w:rsidR="00FD6ACB" w:rsidRPr="00E60534" w:rsidRDefault="00FD6ACB">
            <w:pPr>
              <w:ind w:left="1215"/>
              <w:rPr>
                <w:rFonts w:eastAsia="Times New Roman"/>
                <w:lang w:val="es-ES"/>
              </w:rPr>
            </w:pPr>
            <w:r w:rsidRPr="00E60534">
              <w:rPr>
                <w:rFonts w:eastAsia="Times New Roman"/>
                <w:lang w:val="es-ES"/>
              </w:rPr>
              <w:t>Distr.</w:t>
            </w:r>
          </w:p>
          <w:p w:rsidR="00FD6ACB" w:rsidRPr="00E60534" w:rsidRDefault="00FD6ACB">
            <w:pPr>
              <w:ind w:left="1215"/>
              <w:rPr>
                <w:rFonts w:eastAsia="Times New Roman"/>
                <w:lang w:val="es-ES"/>
              </w:rPr>
            </w:pPr>
            <w:r w:rsidRPr="00E60534">
              <w:rPr>
                <w:rFonts w:eastAsia="Times New Roman"/>
                <w:caps/>
                <w:lang w:val="es-ES"/>
              </w:rPr>
              <w:t>GENERAL</w:t>
            </w:r>
          </w:p>
          <w:p w:rsidR="00FD6ACB" w:rsidRPr="00E60534" w:rsidRDefault="00FD6ACB">
            <w:pPr>
              <w:ind w:left="1215"/>
              <w:rPr>
                <w:rFonts w:eastAsia="Times New Roman"/>
                <w:lang w:val="es-ES"/>
              </w:rPr>
            </w:pPr>
          </w:p>
          <w:p w:rsidR="00FD6ACB" w:rsidRPr="00E60534" w:rsidRDefault="00FD6ACB">
            <w:pPr>
              <w:ind w:left="1215"/>
              <w:rPr>
                <w:rFonts w:eastAsia="Times New Roman"/>
                <w:lang w:val="es-ES"/>
              </w:rPr>
            </w:pPr>
            <w:r w:rsidRPr="00E60534">
              <w:rPr>
                <w:rFonts w:eastAsia="Times New Roman"/>
                <w:kern w:val="22"/>
                <w:lang w:val="es-ES"/>
              </w:rPr>
              <w:t>CBD/NP/MOP/DEC/4/7</w:t>
            </w:r>
          </w:p>
          <w:p w:rsidR="00FD6ACB" w:rsidRPr="00E60534" w:rsidRDefault="00FD6ACB">
            <w:pPr>
              <w:ind w:left="1215"/>
              <w:rPr>
                <w:rFonts w:eastAsia="Times New Roman"/>
                <w:lang w:val="es-ES"/>
              </w:rPr>
            </w:pPr>
            <w:r w:rsidRPr="00E60534">
              <w:rPr>
                <w:rFonts w:eastAsia="Times New Roman"/>
                <w:lang w:val="es-ES"/>
              </w:rPr>
              <w:t>19 de diciembre de 2022</w:t>
            </w:r>
          </w:p>
          <w:p w:rsidR="00FD6ACB" w:rsidRPr="00E60534" w:rsidRDefault="00FD6ACB">
            <w:pPr>
              <w:ind w:left="1215"/>
              <w:rPr>
                <w:rFonts w:eastAsia="Times New Roman"/>
                <w:lang w:val="es-ES"/>
              </w:rPr>
            </w:pPr>
          </w:p>
          <w:p w:rsidR="00FD6ACB" w:rsidRPr="00E60534" w:rsidRDefault="00FD6ACB">
            <w:pPr>
              <w:ind w:left="1215"/>
              <w:rPr>
                <w:rFonts w:eastAsia="Times New Roman"/>
                <w:lang w:val="es-ES"/>
              </w:rPr>
            </w:pPr>
            <w:r w:rsidRPr="00E60534">
              <w:rPr>
                <w:rFonts w:eastAsia="Times New Roman"/>
                <w:lang w:val="es-ES"/>
              </w:rPr>
              <w:t>ESPAÑOL</w:t>
            </w:r>
          </w:p>
          <w:p w:rsidR="00FD6ACB" w:rsidRPr="00E60534" w:rsidRDefault="00FD6ACB">
            <w:pPr>
              <w:ind w:left="1215"/>
              <w:rPr>
                <w:rFonts w:eastAsia="Times New Roman"/>
                <w:lang w:val="es-ES"/>
              </w:rPr>
            </w:pPr>
            <w:r w:rsidRPr="00E60534">
              <w:rPr>
                <w:rFonts w:eastAsia="Times New Roman"/>
                <w:lang w:val="es-ES"/>
              </w:rPr>
              <w:t>ORIGINAL: INGLÉS</w:t>
            </w:r>
          </w:p>
          <w:p w:rsidR="00FD6ACB" w:rsidRPr="00E60534" w:rsidRDefault="00FD6ACB">
            <w:pPr>
              <w:rPr>
                <w:rFonts w:eastAsia="Times New Roman"/>
                <w:lang w:val="es-ES"/>
              </w:rPr>
            </w:pPr>
          </w:p>
        </w:tc>
      </w:tr>
    </w:tbl>
    <w:p w:rsidR="00FD6ACB" w:rsidRPr="00E60534" w:rsidRDefault="00FD6ACB">
      <w:pPr>
        <w:pStyle w:val="Cornernotation"/>
        <w:kinsoku w:val="0"/>
        <w:overflowPunct w:val="0"/>
        <w:autoSpaceDE w:val="0"/>
        <w:autoSpaceDN w:val="0"/>
        <w:spacing w:before="60"/>
        <w:ind w:left="227" w:right="3792" w:hanging="227"/>
        <w:rPr>
          <w:rFonts w:eastAsia="Times New Roman"/>
          <w:kern w:val="22"/>
          <w:lang w:val="es-ES"/>
        </w:rPr>
      </w:pPr>
      <w:r w:rsidRPr="00E60534">
        <w:rPr>
          <w:rFonts w:eastAsia="Times New Roman"/>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FD6ACB" w:rsidRPr="00E60534" w:rsidRDefault="00FD6ACB">
      <w:pPr>
        <w:pStyle w:val="Cornernotation"/>
        <w:kinsoku w:val="0"/>
        <w:overflowPunct w:val="0"/>
        <w:autoSpaceDE w:val="0"/>
        <w:autoSpaceDN w:val="0"/>
        <w:ind w:left="0" w:right="3792" w:firstLine="0"/>
        <w:rPr>
          <w:rFonts w:eastAsia="Times New Roman"/>
          <w:kern w:val="22"/>
          <w:lang w:val="es-ES"/>
        </w:rPr>
      </w:pPr>
      <w:r w:rsidRPr="00E60534">
        <w:rPr>
          <w:rFonts w:eastAsia="Times New Roman"/>
          <w:kern w:val="22"/>
          <w:lang w:val="es-ES"/>
        </w:rPr>
        <w:t>Cuarta reunión – Parte II</w:t>
      </w:r>
    </w:p>
    <w:p w:rsidR="00FD6ACB" w:rsidRPr="00E60534" w:rsidRDefault="00FD6ACB">
      <w:pPr>
        <w:pStyle w:val="Cornernotation"/>
        <w:kinsoku w:val="0"/>
        <w:overflowPunct w:val="0"/>
        <w:autoSpaceDE w:val="0"/>
        <w:autoSpaceDN w:val="0"/>
        <w:ind w:left="227" w:right="3792" w:hanging="227"/>
        <w:rPr>
          <w:rFonts w:eastAsia="Times New Roman"/>
          <w:kern w:val="22"/>
          <w:lang w:val="es-ES"/>
        </w:rPr>
      </w:pPr>
      <w:r w:rsidRPr="00E60534">
        <w:rPr>
          <w:rFonts w:eastAsia="Times New Roman"/>
          <w:kern w:val="22"/>
          <w:lang w:val="es-ES"/>
        </w:rPr>
        <w:t>Montreal (Canadá), 7 a 19 de diciembre de 2022</w:t>
      </w:r>
    </w:p>
    <w:p w:rsidR="00FD6ACB" w:rsidRPr="00E60534" w:rsidRDefault="00FD6ACB">
      <w:pPr>
        <w:ind w:right="3792"/>
        <w:rPr>
          <w:rFonts w:eastAsia="Times New Roman"/>
          <w:kern w:val="22"/>
          <w:lang w:val="es-ES"/>
        </w:rPr>
      </w:pPr>
      <w:r w:rsidRPr="00E60534">
        <w:rPr>
          <w:rFonts w:eastAsia="Times New Roman"/>
          <w:kern w:val="22"/>
          <w:lang w:val="es-ES"/>
        </w:rPr>
        <w:t xml:space="preserve">Tema 8 del programa </w:t>
      </w:r>
    </w:p>
    <w:p w:rsidR="00FD6ACB" w:rsidRPr="00E60534" w:rsidRDefault="00FD6ACB">
      <w:pPr>
        <w:pStyle w:val="NormalWeb"/>
        <w:jc w:val="center"/>
        <w:rPr>
          <w:rFonts w:eastAsia="Times New Roman"/>
          <w:b/>
          <w:bCs/>
          <w:caps/>
          <w:sz w:val="22"/>
          <w:szCs w:val="22"/>
          <w:lang w:val="es-ES"/>
        </w:rPr>
      </w:pPr>
      <w:r w:rsidRPr="00E60534">
        <w:rPr>
          <w:rFonts w:eastAsia="Times New Roman"/>
          <w:b/>
          <w:bCs/>
          <w:caps/>
          <w:sz w:val="22"/>
          <w:szCs w:val="22"/>
          <w:lang w:val="es-ES"/>
        </w:rPr>
        <w:t>DECISIÓN ADOPTADA POR LAS PARTES EN EL Protocolo de Nagoya sobre</w:t>
      </w:r>
      <w:r w:rsidR="00031BEE" w:rsidRPr="00E60534">
        <w:rPr>
          <w:rFonts w:eastAsia="Times New Roman"/>
          <w:b/>
          <w:bCs/>
          <w:caps/>
          <w:sz w:val="22"/>
          <w:szCs w:val="22"/>
          <w:lang w:val="es-ES"/>
        </w:rPr>
        <w:t> </w:t>
      </w:r>
      <w:r w:rsidRPr="00E60534">
        <w:rPr>
          <w:rFonts w:eastAsia="Times New Roman"/>
          <w:b/>
          <w:bCs/>
          <w:caps/>
          <w:sz w:val="22"/>
          <w:szCs w:val="22"/>
          <w:lang w:val="es-ES"/>
        </w:rPr>
        <w:t>Acceso y Participación en los Beneficios</w:t>
      </w:r>
    </w:p>
    <w:p w:rsidR="00FD6ACB" w:rsidRPr="00E60534" w:rsidRDefault="00FD6ACB">
      <w:pPr>
        <w:keepNext/>
        <w:spacing w:before="240" w:after="240"/>
        <w:ind w:left="1872" w:hanging="1152"/>
        <w:jc w:val="left"/>
        <w:outlineLvl w:val="1"/>
        <w:rPr>
          <w:rFonts w:eastAsia="Times New Roman"/>
          <w:b/>
          <w:bCs/>
          <w:caps/>
          <w:lang w:val="es-ES"/>
        </w:rPr>
      </w:pPr>
      <w:r w:rsidRPr="00E60534">
        <w:rPr>
          <w:rFonts w:eastAsia="Times New Roman"/>
          <w:b/>
          <w:bCs/>
          <w:lang w:val="es-ES"/>
        </w:rPr>
        <w:t>NP-4/7.</w:t>
      </w:r>
      <w:r w:rsidRPr="00E60534">
        <w:rPr>
          <w:rFonts w:eastAsia="Times New Roman"/>
          <w:b/>
          <w:bCs/>
          <w:lang w:val="es-ES"/>
        </w:rPr>
        <w:tab/>
        <w:t>Medidas para brindar asistencia para la creación y el desarrollo de capacidad (artículo 22) y aumento de la concienciación (artículo 21)</w:t>
      </w:r>
    </w:p>
    <w:p w:rsidR="00FD6ACB" w:rsidRPr="00E60534" w:rsidRDefault="00FD6ACB">
      <w:pPr>
        <w:pStyle w:val="Para1"/>
        <w:keepNext/>
        <w:numPr>
          <w:ilvl w:val="0"/>
          <w:numId w:val="0"/>
        </w:numPr>
        <w:spacing w:before="240"/>
        <w:ind w:left="1556" w:right="144" w:hanging="850"/>
        <w:outlineLvl w:val="2"/>
        <w:rPr>
          <w:rFonts w:eastAsia="Times New Roman"/>
          <w:lang w:val="es-ES"/>
        </w:rPr>
      </w:pPr>
      <w:r w:rsidRPr="00E60534">
        <w:rPr>
          <w:rFonts w:eastAsia="Times New Roman"/>
          <w:b/>
          <w:bCs/>
          <w:kern w:val="22"/>
          <w:lang w:val="es-ES"/>
        </w:rPr>
        <w:t>A.</w:t>
      </w:r>
      <w:r w:rsidRPr="00E60534">
        <w:rPr>
          <w:rFonts w:eastAsia="Times New Roman"/>
          <w:b/>
          <w:bCs/>
          <w:kern w:val="22"/>
          <w:lang w:val="es-ES"/>
        </w:rPr>
        <w:tab/>
      </w:r>
      <w:r w:rsidRPr="00E60534">
        <w:rPr>
          <w:rFonts w:eastAsia="Times New Roman"/>
          <w:b/>
          <w:bCs/>
          <w:lang w:val="es-ES"/>
        </w:rPr>
        <w:t>Creación y desarrollo de capacidad en apoyo a la aplicación efectiva del Protocolo de Nagoya</w:t>
      </w:r>
    </w:p>
    <w:p w:rsidR="00FD6ACB" w:rsidRPr="00E60534" w:rsidRDefault="00FD6ACB">
      <w:pPr>
        <w:pStyle w:val="Para1"/>
        <w:numPr>
          <w:ilvl w:val="0"/>
          <w:numId w:val="0"/>
        </w:numPr>
        <w:ind w:firstLine="720"/>
        <w:rPr>
          <w:rFonts w:eastAsia="Times New Roman"/>
          <w:i/>
          <w:iCs/>
          <w:lang w:val="es-ES"/>
        </w:rPr>
      </w:pPr>
      <w:r w:rsidRPr="00E60534">
        <w:rPr>
          <w:rFonts w:eastAsia="Times New Roman"/>
          <w:i/>
          <w:iCs/>
          <w:lang w:val="es-ES"/>
        </w:rPr>
        <w:t>La Conferencia de las Partes que actúa como reunión de las Partes en el Protocolo de Nagoya</w:t>
      </w:r>
    </w:p>
    <w:p w:rsidR="00FD6ACB" w:rsidRPr="00E60534" w:rsidRDefault="00FD6ACB">
      <w:pPr>
        <w:pStyle w:val="Para1"/>
        <w:numPr>
          <w:ilvl w:val="0"/>
          <w:numId w:val="0"/>
        </w:numPr>
        <w:suppressLineNumbers/>
        <w:shd w:val="clear" w:color="auto" w:fill="FFFFFF"/>
        <w:suppressAutoHyphens/>
        <w:ind w:firstLine="720"/>
        <w:rPr>
          <w:rFonts w:eastAsia="Times New Roman"/>
          <w:kern w:val="22"/>
          <w:lang w:val="es-ES"/>
        </w:rPr>
      </w:pPr>
      <w:r w:rsidRPr="00E60534">
        <w:rPr>
          <w:rFonts w:eastAsia="Times New Roman"/>
          <w:kern w:val="22"/>
          <w:lang w:val="es-ES"/>
        </w:rPr>
        <w:t>1.</w:t>
      </w:r>
      <w:r w:rsidRPr="00E60534">
        <w:rPr>
          <w:rFonts w:eastAsia="Times New Roman"/>
          <w:kern w:val="22"/>
          <w:lang w:val="es-ES"/>
        </w:rPr>
        <w:tab/>
      </w:r>
      <w:r w:rsidRPr="00E60534">
        <w:rPr>
          <w:rFonts w:eastAsia="Times New Roman"/>
          <w:i/>
          <w:iCs/>
          <w:kern w:val="22"/>
          <w:lang w:val="es-ES"/>
        </w:rPr>
        <w:t xml:space="preserve">Toma nota </w:t>
      </w:r>
      <w:r w:rsidRPr="00E60534">
        <w:rPr>
          <w:rFonts w:eastAsia="Times New Roman"/>
          <w:kern w:val="22"/>
          <w:lang w:val="es-ES"/>
        </w:rPr>
        <w:t>de las conclusiones y recomendaciones de la evaluación del marco estratégico para la creación y el desarrollo de capacidad en apoyo a la aplicación efectiva del Protocolo de Nagoya</w:t>
      </w:r>
      <w:r w:rsidRPr="00E60534">
        <w:rPr>
          <w:rStyle w:val="FootnoteReference"/>
          <w:rFonts w:eastAsia="Times New Roman"/>
          <w:kern w:val="22"/>
          <w:lang w:val="es-ES"/>
        </w:rPr>
        <w:footnoteReference w:id="3"/>
      </w:r>
      <w:r w:rsidRPr="00E60534">
        <w:rPr>
          <w:rFonts w:eastAsia="Times New Roman"/>
          <w:kern w:val="22"/>
          <w:lang w:val="es-ES"/>
        </w:rPr>
        <w:t>, que incluye los aportes realizados por el Comité Asesor Oficioso sobre Creación de Capacidad para la Aplicación del Protocolo de Nagoya en su cuarta reunión;</w:t>
      </w:r>
    </w:p>
    <w:p w:rsidR="00FD6ACB" w:rsidRPr="00E60534" w:rsidRDefault="00FD6ACB">
      <w:pPr>
        <w:suppressLineNumbers/>
        <w:shd w:val="clear" w:color="auto" w:fill="FFFFFF"/>
        <w:suppressAutoHyphens/>
        <w:kinsoku w:val="0"/>
        <w:overflowPunct w:val="0"/>
        <w:autoSpaceDE w:val="0"/>
        <w:autoSpaceDN w:val="0"/>
        <w:adjustRightInd w:val="0"/>
        <w:snapToGrid w:val="0"/>
        <w:spacing w:before="120" w:after="120"/>
        <w:ind w:firstLine="709"/>
        <w:rPr>
          <w:rFonts w:eastAsia="Times New Roman"/>
          <w:kern w:val="22"/>
          <w:lang w:val="es-ES"/>
        </w:rPr>
      </w:pPr>
      <w:r w:rsidRPr="00E60534">
        <w:rPr>
          <w:rFonts w:eastAsia="Times New Roman"/>
          <w:kern w:val="22"/>
          <w:lang w:val="es-ES"/>
        </w:rPr>
        <w:t>2.</w:t>
      </w:r>
      <w:r w:rsidRPr="00E60534">
        <w:rPr>
          <w:rFonts w:eastAsia="Times New Roman"/>
          <w:i/>
          <w:iCs/>
          <w:kern w:val="22"/>
          <w:lang w:val="es-ES"/>
        </w:rPr>
        <w:tab/>
        <w:t xml:space="preserve">Hace suyo </w:t>
      </w:r>
      <w:r w:rsidRPr="00E60534">
        <w:rPr>
          <w:rFonts w:eastAsia="Times New Roman"/>
          <w:kern w:val="22"/>
          <w:lang w:val="es-ES"/>
        </w:rPr>
        <w:t>el marco estratégico a largo plazo para la creación y el desarrollo de capacidad</w:t>
      </w:r>
      <w:r w:rsidRPr="00E60534">
        <w:rPr>
          <w:rStyle w:val="FootnoteReference"/>
          <w:rFonts w:eastAsia="Times New Roman"/>
          <w:kern w:val="22"/>
          <w:lang w:val="es-ES"/>
        </w:rPr>
        <w:footnoteReference w:id="4"/>
      </w:r>
      <w:r w:rsidRPr="00E60534">
        <w:rPr>
          <w:rFonts w:eastAsia="Times New Roman"/>
          <w:kern w:val="22"/>
          <w:lang w:val="es-ES"/>
        </w:rPr>
        <w:t xml:space="preserve"> adoptado en el marco del Convenio para apoyar la implementación del Marco Mundial de Biodiversidad de Kunming-Montreal</w:t>
      </w:r>
      <w:r w:rsidRPr="00E60534">
        <w:rPr>
          <w:rStyle w:val="FootnoteReference"/>
          <w:rFonts w:eastAsia="Times New Roman"/>
          <w:kern w:val="22"/>
          <w:lang w:val="es-ES"/>
        </w:rPr>
        <w:footnoteReference w:id="5"/>
      </w:r>
      <w:r w:rsidRPr="00E60534">
        <w:rPr>
          <w:rFonts w:eastAsia="Times New Roman"/>
          <w:kern w:val="22"/>
          <w:lang w:val="es-ES"/>
        </w:rPr>
        <w:t>;</w:t>
      </w:r>
    </w:p>
    <w:p w:rsidR="00FD6ACB" w:rsidRPr="00E60534" w:rsidRDefault="00FD6ACB">
      <w:pPr>
        <w:pStyle w:val="Para1"/>
        <w:numPr>
          <w:ilvl w:val="0"/>
          <w:numId w:val="0"/>
        </w:numPr>
        <w:suppressLineNumbers/>
        <w:suppressAutoHyphens/>
        <w:ind w:firstLine="720"/>
        <w:rPr>
          <w:rFonts w:eastAsia="Times New Roman"/>
          <w:kern w:val="22"/>
          <w:lang w:val="es-ES"/>
        </w:rPr>
      </w:pPr>
      <w:r w:rsidRPr="00E60534">
        <w:rPr>
          <w:rFonts w:eastAsia="Times New Roman"/>
          <w:kern w:val="22"/>
          <w:lang w:val="es-ES"/>
        </w:rPr>
        <w:t>3.</w:t>
      </w:r>
      <w:r w:rsidRPr="00E60534">
        <w:rPr>
          <w:rFonts w:eastAsia="Times New Roman"/>
          <w:kern w:val="22"/>
          <w:lang w:val="es-ES"/>
        </w:rPr>
        <w:tab/>
      </w:r>
      <w:r w:rsidRPr="00E60534">
        <w:rPr>
          <w:rFonts w:eastAsia="Times New Roman"/>
          <w:i/>
          <w:iCs/>
          <w:kern w:val="22"/>
          <w:lang w:val="es-ES"/>
        </w:rPr>
        <w:t xml:space="preserve">Acoge con satisfacción </w:t>
      </w:r>
      <w:r w:rsidRPr="00E60534">
        <w:rPr>
          <w:rFonts w:eastAsia="Times New Roman"/>
          <w:kern w:val="22"/>
          <w:lang w:val="es-ES"/>
        </w:rPr>
        <w:t xml:space="preserve">las recomendaciones para la mejora del marco estratégico para la creación y el desarrollo de capacidad en apoyo a la aplicación efectiva del Protocolo de </w:t>
      </w:r>
      <w:r w:rsidRPr="00E60534">
        <w:rPr>
          <w:rFonts w:eastAsia="Times New Roman"/>
          <w:lang w:val="es-ES"/>
        </w:rPr>
        <w:t>Nagoya</w:t>
      </w:r>
      <w:r w:rsidRPr="00E60534">
        <w:rPr>
          <w:rFonts w:eastAsia="Times New Roman"/>
          <w:kern w:val="22"/>
          <w:lang w:val="es-ES"/>
        </w:rPr>
        <w:t xml:space="preserve"> y conviene en revisarlo para que esté en consonancia con el Marco Mundial de Biodiversidad de Kunming-Montreal, el marco estratégico a largo plazo para la creación y el desarrollo de capacidad en apoyo a la implementación del Marco Mundial de Biodiversidad de Kunming-Montreal y las conclusiones de la evaluación </w:t>
      </w:r>
      <w:r w:rsidR="00031BEE" w:rsidRPr="00E60534">
        <w:rPr>
          <w:rFonts w:eastAsia="Times New Roman"/>
          <w:kern w:val="22"/>
          <w:lang w:val="es-ES"/>
        </w:rPr>
        <w:t>a la que se hace referencia</w:t>
      </w:r>
      <w:r w:rsidRPr="00E60534">
        <w:rPr>
          <w:rFonts w:eastAsia="Times New Roman"/>
          <w:kern w:val="22"/>
          <w:lang w:val="es-ES"/>
        </w:rPr>
        <w:t xml:space="preserve"> en el párrafo 1 anterior;</w:t>
      </w:r>
    </w:p>
    <w:p w:rsidR="00FD6ACB" w:rsidRPr="00E60534" w:rsidRDefault="00FD6ACB">
      <w:pPr>
        <w:pStyle w:val="Para1"/>
        <w:numPr>
          <w:ilvl w:val="0"/>
          <w:numId w:val="0"/>
        </w:numPr>
        <w:suppressLineNumbers/>
        <w:suppressAutoHyphens/>
        <w:ind w:firstLine="720"/>
        <w:rPr>
          <w:rFonts w:eastAsia="Times New Roman"/>
          <w:kern w:val="22"/>
          <w:lang w:val="es-ES"/>
        </w:rPr>
      </w:pPr>
      <w:r w:rsidRPr="00E60534">
        <w:rPr>
          <w:rFonts w:eastAsia="Times New Roman"/>
          <w:kern w:val="22"/>
          <w:lang w:val="es-ES"/>
        </w:rPr>
        <w:lastRenderedPageBreak/>
        <w:t>4.</w:t>
      </w:r>
      <w:r w:rsidRPr="00E60534">
        <w:rPr>
          <w:rFonts w:eastAsia="Times New Roman"/>
          <w:kern w:val="22"/>
          <w:lang w:val="es-ES"/>
        </w:rPr>
        <w:tab/>
      </w:r>
      <w:r w:rsidRPr="00E60534">
        <w:rPr>
          <w:rFonts w:eastAsia="Times New Roman"/>
          <w:i/>
          <w:iCs/>
          <w:kern w:val="22"/>
          <w:lang w:val="es-ES"/>
        </w:rPr>
        <w:t>Toma nota</w:t>
      </w:r>
      <w:r w:rsidRPr="00E60534">
        <w:rPr>
          <w:rFonts w:eastAsia="Times New Roman"/>
          <w:kern w:val="22"/>
          <w:lang w:val="es-ES"/>
        </w:rPr>
        <w:t xml:space="preserve"> del informe de la cuarta reunión del Comité Asesor Oficioso sobre Creación de Capacidad para la Aplicación del Protocolo de Nagoya, </w:t>
      </w:r>
      <w:r w:rsidR="00031BEE" w:rsidRPr="00E60534">
        <w:rPr>
          <w:rFonts w:eastAsia="Times New Roman"/>
          <w:kern w:val="22"/>
          <w:lang w:val="es-ES"/>
        </w:rPr>
        <w:t xml:space="preserve">que se </w:t>
      </w:r>
      <w:r w:rsidRPr="00E60534">
        <w:rPr>
          <w:rFonts w:eastAsia="Times New Roman"/>
          <w:kern w:val="22"/>
          <w:lang w:val="es-ES"/>
        </w:rPr>
        <w:t>celebr</w:t>
      </w:r>
      <w:r w:rsidR="00031BEE" w:rsidRPr="00E60534">
        <w:rPr>
          <w:rFonts w:eastAsia="Times New Roman"/>
          <w:kern w:val="22"/>
          <w:lang w:val="es-ES"/>
        </w:rPr>
        <w:t>ó</w:t>
      </w:r>
      <w:r w:rsidRPr="00E60534">
        <w:rPr>
          <w:rFonts w:eastAsia="Times New Roman"/>
          <w:kern w:val="22"/>
          <w:lang w:val="es-ES"/>
        </w:rPr>
        <w:t xml:space="preserve"> entre períodos de sesiones</w:t>
      </w:r>
      <w:r w:rsidRPr="00E60534">
        <w:rPr>
          <w:rStyle w:val="FootnoteReference"/>
          <w:rFonts w:eastAsia="Times New Roman"/>
          <w:kern w:val="22"/>
          <w:lang w:val="es-ES"/>
        </w:rPr>
        <w:footnoteReference w:id="6"/>
      </w:r>
      <w:r w:rsidRPr="00E60534">
        <w:rPr>
          <w:rFonts w:eastAsia="Times New Roman"/>
          <w:kern w:val="22"/>
          <w:lang w:val="es-ES"/>
        </w:rPr>
        <w:t>;</w:t>
      </w:r>
    </w:p>
    <w:p w:rsidR="00FD6ACB" w:rsidRPr="00E60534" w:rsidRDefault="00FD6ACB">
      <w:pPr>
        <w:pStyle w:val="Para1"/>
        <w:numPr>
          <w:ilvl w:val="0"/>
          <w:numId w:val="0"/>
        </w:numPr>
        <w:suppressLineNumbers/>
        <w:suppressAutoHyphens/>
        <w:ind w:firstLine="720"/>
        <w:rPr>
          <w:rFonts w:eastAsia="Times New Roman"/>
          <w:i/>
          <w:iCs/>
          <w:kern w:val="22"/>
          <w:lang w:val="es-ES"/>
        </w:rPr>
      </w:pPr>
      <w:r w:rsidRPr="00E60534">
        <w:rPr>
          <w:rFonts w:eastAsia="Times New Roman"/>
          <w:kern w:val="22"/>
          <w:lang w:val="es-ES"/>
        </w:rPr>
        <w:t>5.</w:t>
      </w:r>
      <w:r w:rsidRPr="00E60534">
        <w:rPr>
          <w:rFonts w:eastAsia="Times New Roman"/>
          <w:kern w:val="22"/>
          <w:lang w:val="es-ES"/>
        </w:rPr>
        <w:tab/>
      </w:r>
      <w:r w:rsidRPr="00E60534">
        <w:rPr>
          <w:rFonts w:eastAsia="Times New Roman"/>
          <w:i/>
          <w:iCs/>
          <w:kern w:val="22"/>
          <w:lang w:val="es-ES"/>
        </w:rPr>
        <w:t>Decide</w:t>
      </w:r>
      <w:r w:rsidRPr="00E60534">
        <w:rPr>
          <w:rFonts w:eastAsia="Times New Roman"/>
          <w:kern w:val="22"/>
          <w:lang w:val="es-ES"/>
        </w:rPr>
        <w:t xml:space="preserve"> prorrogar el mandato del Comité Asesor Oficioso hasta la quinta reunión de la Conferencia de las Partes que actúa como reunión de las Partes en el Protocolo de Nagoya, actualizar sus términos de referencia de manera que incluyan prestar apoyo para la revisión y la actualización del marco estratégico para la creación y el desarrollo de capacidad en apoyo a la aplicación efectiva del Protocolo de Nagoya y ampliar la integración del Comité Asesor Oficioso con la incorporación de representantes del sector empresarial, la comunidad de investigación y la juventud;</w:t>
      </w:r>
    </w:p>
    <w:p w:rsidR="00FD6ACB" w:rsidRPr="00E60534" w:rsidRDefault="00FD6ACB">
      <w:pPr>
        <w:pStyle w:val="Para1"/>
        <w:numPr>
          <w:ilvl w:val="0"/>
          <w:numId w:val="0"/>
        </w:numPr>
        <w:suppressLineNumbers/>
        <w:suppressAutoHyphens/>
        <w:ind w:firstLine="720"/>
        <w:rPr>
          <w:rFonts w:eastAsia="Times New Roman"/>
          <w:kern w:val="22"/>
          <w:lang w:val="es-ES"/>
        </w:rPr>
      </w:pPr>
      <w:r w:rsidRPr="00E60534">
        <w:rPr>
          <w:rFonts w:eastAsia="Times New Roman"/>
          <w:kern w:val="22"/>
          <w:lang w:val="es-ES"/>
        </w:rPr>
        <w:t>6.</w:t>
      </w:r>
      <w:r w:rsidRPr="00E60534">
        <w:rPr>
          <w:rFonts w:eastAsia="Times New Roman"/>
          <w:kern w:val="22"/>
          <w:lang w:val="es-ES"/>
        </w:rPr>
        <w:tab/>
      </w:r>
      <w:r w:rsidRPr="00E60534">
        <w:rPr>
          <w:rFonts w:eastAsia="Times New Roman"/>
          <w:i/>
          <w:iCs/>
          <w:kern w:val="22"/>
          <w:lang w:val="es-ES"/>
        </w:rPr>
        <w:t xml:space="preserve">Decide también </w:t>
      </w:r>
      <w:r w:rsidRPr="00E60534">
        <w:rPr>
          <w:rFonts w:eastAsia="Times New Roman"/>
          <w:kern w:val="22"/>
          <w:lang w:val="es-ES"/>
        </w:rPr>
        <w:t>que el Comité Asesor Oficioso celebrará una reunión, además de consultas en línea, según sea necesario para apoyar la revisión y actualización del marco estratégico para la creación y el desarrollo de capacidad en apoyo a la aplicación efectiva del Protocolo de Nagoya;</w:t>
      </w:r>
    </w:p>
    <w:p w:rsidR="00FD6ACB" w:rsidRPr="00E60534" w:rsidRDefault="00FD6ACB">
      <w:pPr>
        <w:pStyle w:val="Para1"/>
        <w:numPr>
          <w:ilvl w:val="0"/>
          <w:numId w:val="0"/>
        </w:numPr>
        <w:suppressLineNumbers/>
        <w:suppressAutoHyphens/>
        <w:ind w:firstLine="720"/>
        <w:rPr>
          <w:rFonts w:eastAsia="Times New Roman"/>
          <w:kern w:val="22"/>
          <w:lang w:val="es-ES"/>
        </w:rPr>
      </w:pPr>
      <w:r w:rsidRPr="00E60534">
        <w:rPr>
          <w:rFonts w:eastAsia="Times New Roman"/>
          <w:kern w:val="22"/>
          <w:lang w:val="es-ES"/>
        </w:rPr>
        <w:t>7.</w:t>
      </w:r>
      <w:r w:rsidRPr="00E60534">
        <w:rPr>
          <w:rFonts w:eastAsia="Times New Roman"/>
          <w:kern w:val="22"/>
          <w:lang w:val="es-ES"/>
        </w:rPr>
        <w:tab/>
      </w:r>
      <w:r w:rsidRPr="00E60534">
        <w:rPr>
          <w:rFonts w:eastAsia="Times New Roman"/>
          <w:i/>
          <w:iCs/>
          <w:kern w:val="22"/>
          <w:lang w:val="es-ES"/>
        </w:rPr>
        <w:t xml:space="preserve">Insta </w:t>
      </w:r>
      <w:r w:rsidRPr="00E60534">
        <w:rPr>
          <w:rFonts w:eastAsia="Times New Roman"/>
          <w:kern w:val="22"/>
          <w:lang w:val="es-ES"/>
        </w:rPr>
        <w:t xml:space="preserve">a las Partes, y </w:t>
      </w:r>
      <w:r w:rsidRPr="00E60534">
        <w:rPr>
          <w:rFonts w:eastAsia="Times New Roman"/>
          <w:i/>
          <w:iCs/>
          <w:kern w:val="22"/>
          <w:lang w:val="es-ES"/>
        </w:rPr>
        <w:t>alienta</w:t>
      </w:r>
      <w:r w:rsidRPr="00E60534">
        <w:rPr>
          <w:rFonts w:eastAsia="Times New Roman"/>
          <w:kern w:val="22"/>
          <w:lang w:val="es-ES"/>
        </w:rPr>
        <w:t xml:space="preserve"> a otros Gobiernos y organizaciones pertinentes que estén en condiciones de hacerlo a que:</w:t>
      </w:r>
    </w:p>
    <w:p w:rsidR="00FD6ACB" w:rsidRPr="00E60534" w:rsidRDefault="00FD6ACB">
      <w:pPr>
        <w:pStyle w:val="Para1"/>
        <w:numPr>
          <w:ilvl w:val="0"/>
          <w:numId w:val="0"/>
        </w:numPr>
        <w:suppressLineNumbers/>
        <w:suppressAutoHyphens/>
        <w:ind w:firstLine="720"/>
        <w:rPr>
          <w:rFonts w:eastAsia="Times New Roman"/>
          <w:lang w:val="es-ES"/>
        </w:rPr>
      </w:pPr>
      <w:r w:rsidRPr="00E60534">
        <w:rPr>
          <w:rFonts w:eastAsia="Times New Roman"/>
          <w:kern w:val="22"/>
          <w:lang w:val="es-ES"/>
        </w:rPr>
        <w:t>a)</w:t>
      </w:r>
      <w:r w:rsidRPr="00E60534">
        <w:rPr>
          <w:rFonts w:eastAsia="Times New Roman"/>
          <w:kern w:val="22"/>
          <w:lang w:val="es-ES"/>
        </w:rPr>
        <w:tab/>
        <w:t xml:space="preserve">Redoblen sus esfuerzos para crear y desarrollar la capacidad </w:t>
      </w:r>
      <w:r w:rsidR="00031BEE" w:rsidRPr="00E60534">
        <w:rPr>
          <w:rFonts w:eastAsia="Times New Roman"/>
          <w:kern w:val="22"/>
          <w:lang w:val="es-ES"/>
        </w:rPr>
        <w:t xml:space="preserve">para la aplicación del Protocolo de Nagoya </w:t>
      </w:r>
      <w:r w:rsidRPr="00E60534">
        <w:rPr>
          <w:rFonts w:eastAsia="Times New Roman"/>
          <w:kern w:val="22"/>
          <w:lang w:val="es-ES"/>
        </w:rPr>
        <w:t>de las Partes que son países en desarrollo, en particular los países menos adelantados y los pequeños Estados insulares en desarrollo entre ellos, y las Partes con economía en transición, de conformidad con las disposiciones del Convenio y su Protocolo de Nagoya, teniendo en cuenta las áreas de prioridad definidas en el anexo de la presente decisión y en el Marco Mundial de Biodiversidad de Kunming-Montreal;</w:t>
      </w:r>
    </w:p>
    <w:p w:rsidR="00FD6ACB" w:rsidRPr="00E60534" w:rsidRDefault="00FD6ACB">
      <w:pPr>
        <w:pStyle w:val="Para1"/>
        <w:numPr>
          <w:ilvl w:val="0"/>
          <w:numId w:val="0"/>
        </w:numPr>
        <w:suppressLineNumbers/>
        <w:suppressAutoHyphens/>
        <w:ind w:firstLine="720"/>
        <w:rPr>
          <w:rFonts w:eastAsia="Times New Roman"/>
          <w:lang w:val="es-ES"/>
        </w:rPr>
      </w:pPr>
      <w:r w:rsidRPr="00E60534">
        <w:rPr>
          <w:rFonts w:eastAsia="Times New Roman"/>
          <w:kern w:val="22"/>
          <w:lang w:val="es-ES"/>
        </w:rPr>
        <w:t>b)</w:t>
      </w:r>
      <w:r w:rsidRPr="00E60534">
        <w:rPr>
          <w:rFonts w:eastAsia="Times New Roman"/>
          <w:kern w:val="22"/>
          <w:lang w:val="es-ES"/>
        </w:rPr>
        <w:tab/>
        <w:t xml:space="preserve">Sigan publicando en el Centro de Intercambio de Información sobre Acceso y Participación en los Beneficios información sobre necesidades, iniciativas y recursos de creación y desarrollo de capacidad y compartiendo </w:t>
      </w:r>
      <w:r w:rsidR="00E60534" w:rsidRPr="00E60534">
        <w:rPr>
          <w:rFonts w:eastAsia="Times New Roman"/>
          <w:kern w:val="22"/>
          <w:lang w:val="es-ES"/>
        </w:rPr>
        <w:t>a través de ese medio</w:t>
      </w:r>
      <w:r w:rsidRPr="00E60534">
        <w:rPr>
          <w:rFonts w:eastAsia="Times New Roman"/>
          <w:kern w:val="22"/>
          <w:lang w:val="es-ES"/>
        </w:rPr>
        <w:t xml:space="preserve"> mejores prácticas y lecciones aprendidas;</w:t>
      </w:r>
    </w:p>
    <w:p w:rsidR="00FD6ACB" w:rsidRPr="00E60534" w:rsidRDefault="00FD6ACB">
      <w:pPr>
        <w:pStyle w:val="Para1"/>
        <w:numPr>
          <w:ilvl w:val="0"/>
          <w:numId w:val="0"/>
        </w:numPr>
        <w:suppressLineNumbers/>
        <w:shd w:val="clear" w:color="auto" w:fill="FFFFFF"/>
        <w:suppressAutoHyphens/>
        <w:ind w:firstLine="720"/>
        <w:rPr>
          <w:rFonts w:eastAsia="Times New Roman"/>
          <w:i/>
          <w:iCs/>
          <w:kern w:val="22"/>
          <w:lang w:val="es-ES"/>
        </w:rPr>
      </w:pPr>
      <w:r w:rsidRPr="00E60534">
        <w:rPr>
          <w:rFonts w:eastAsia="Times New Roman"/>
          <w:kern w:val="22"/>
          <w:lang w:val="es-ES"/>
        </w:rPr>
        <w:t>8.</w:t>
      </w:r>
      <w:r w:rsidRPr="00E60534">
        <w:rPr>
          <w:rFonts w:eastAsia="Times New Roman"/>
          <w:kern w:val="22"/>
          <w:lang w:val="es-ES"/>
        </w:rPr>
        <w:tab/>
      </w:r>
      <w:r w:rsidRPr="00E60534">
        <w:rPr>
          <w:rFonts w:eastAsia="Times New Roman"/>
          <w:i/>
          <w:iCs/>
          <w:kern w:val="22"/>
          <w:lang w:val="es-ES"/>
        </w:rPr>
        <w:t xml:space="preserve">Pide </w:t>
      </w:r>
      <w:r w:rsidRPr="00E60534">
        <w:rPr>
          <w:rFonts w:eastAsia="Times New Roman"/>
          <w:kern w:val="22"/>
          <w:lang w:val="es-ES"/>
        </w:rPr>
        <w:t xml:space="preserve">a la Secretaria Ejecutiva que prepare, en consulta con las Partes, una versión revisada del marco estratégico para la creación y el desarrollo de capacidad en apoyo a la aplicación efectiva del Protocolo de Nagoya, que esté en consonancia con el Marco Mundial de Biodiversidad de Kunming-Montreal y el marco estratégico a largo plazo para la creación y el desarrollo de capacidad, teniendo en cuenta las conclusiones de la evaluación, para que sea considerada por el Órgano Subsidiario sobre la Aplicación en su cuarta reunión y para que la Conferencia de las Partes que actúa como reunión de las Partes en el Protocolo de Nagoya la apruebe en su quinta reunión; </w:t>
      </w:r>
    </w:p>
    <w:p w:rsidR="00FD6ACB" w:rsidRPr="00E60534" w:rsidRDefault="00FD6ACB">
      <w:pPr>
        <w:pStyle w:val="Para1"/>
        <w:keepNext/>
        <w:keepLines/>
        <w:numPr>
          <w:ilvl w:val="0"/>
          <w:numId w:val="0"/>
        </w:numPr>
        <w:shd w:val="clear" w:color="auto" w:fill="FFFFFF"/>
        <w:spacing w:before="240" w:after="240"/>
        <w:jc w:val="center"/>
        <w:outlineLvl w:val="2"/>
        <w:rPr>
          <w:rFonts w:eastAsia="Times New Roman"/>
          <w:lang w:val="es-ES"/>
        </w:rPr>
      </w:pPr>
      <w:r w:rsidRPr="00E60534">
        <w:rPr>
          <w:rFonts w:eastAsia="Times New Roman"/>
          <w:b/>
          <w:bCs/>
          <w:lang w:val="es-ES"/>
        </w:rPr>
        <w:t>B.</w:t>
      </w:r>
      <w:r w:rsidRPr="00E60534">
        <w:rPr>
          <w:rFonts w:eastAsia="Times New Roman"/>
          <w:b/>
          <w:bCs/>
          <w:lang w:val="es-ES"/>
        </w:rPr>
        <w:tab/>
        <w:t>Aumento de la concienciación</w:t>
      </w:r>
    </w:p>
    <w:p w:rsidR="00FD6ACB" w:rsidRPr="00E60534" w:rsidRDefault="00FD6ACB">
      <w:pPr>
        <w:keepNext/>
        <w:keepLines/>
        <w:suppressLineNumbers/>
        <w:shd w:val="clear" w:color="auto" w:fill="FFFFFF"/>
        <w:suppressAutoHyphens/>
        <w:kinsoku w:val="0"/>
        <w:overflowPunct w:val="0"/>
        <w:autoSpaceDE w:val="0"/>
        <w:autoSpaceDN w:val="0"/>
        <w:adjustRightInd w:val="0"/>
        <w:snapToGrid w:val="0"/>
        <w:spacing w:before="240" w:after="120"/>
        <w:ind w:firstLine="709"/>
        <w:rPr>
          <w:rFonts w:eastAsia="Times New Roman"/>
          <w:i/>
          <w:iCs/>
          <w:kern w:val="22"/>
          <w:lang w:val="es-ES"/>
        </w:rPr>
      </w:pPr>
      <w:r w:rsidRPr="00E60534">
        <w:rPr>
          <w:rFonts w:eastAsia="Times New Roman"/>
          <w:i/>
          <w:iCs/>
          <w:kern w:val="22"/>
          <w:lang w:val="es-ES"/>
        </w:rPr>
        <w:t>La Conferencia de las Partes que actúa como reunión de las Partes en el Protocolo de Nagoya</w:t>
      </w:r>
    </w:p>
    <w:p w:rsidR="00FD6ACB" w:rsidRPr="00E60534" w:rsidRDefault="00FD6ACB">
      <w:pPr>
        <w:suppressLineNumbers/>
        <w:shd w:val="clear" w:color="auto" w:fill="FFFFFF"/>
        <w:tabs>
          <w:tab w:val="left" w:pos="360"/>
        </w:tabs>
        <w:suppressAutoHyphens/>
        <w:snapToGrid w:val="0"/>
        <w:spacing w:before="120" w:after="120"/>
        <w:ind w:firstLine="720"/>
        <w:rPr>
          <w:rFonts w:eastAsia="Times New Roman"/>
          <w:kern w:val="22"/>
          <w:lang w:val="es-ES"/>
        </w:rPr>
      </w:pPr>
      <w:r w:rsidRPr="00E60534">
        <w:rPr>
          <w:rFonts w:eastAsia="Times New Roman"/>
          <w:kern w:val="22"/>
          <w:lang w:val="es-ES"/>
        </w:rPr>
        <w:t>1.</w:t>
      </w:r>
      <w:r w:rsidRPr="00E60534">
        <w:rPr>
          <w:rFonts w:eastAsia="Times New Roman"/>
          <w:kern w:val="22"/>
          <w:lang w:val="es-ES"/>
        </w:rPr>
        <w:tab/>
      </w:r>
      <w:r w:rsidRPr="00E60534">
        <w:rPr>
          <w:rFonts w:eastAsia="Times New Roman"/>
          <w:i/>
          <w:iCs/>
          <w:kern w:val="22"/>
          <w:lang w:val="es-ES"/>
        </w:rPr>
        <w:t xml:space="preserve">Acoge con satisfacción </w:t>
      </w:r>
      <w:r w:rsidRPr="00E60534">
        <w:rPr>
          <w:rFonts w:eastAsia="Times New Roman"/>
          <w:kern w:val="22"/>
          <w:lang w:val="es-ES"/>
        </w:rPr>
        <w:t>l</w:t>
      </w:r>
      <w:r w:rsidR="00E60534" w:rsidRPr="00E60534">
        <w:rPr>
          <w:rFonts w:eastAsia="Times New Roman"/>
          <w:kern w:val="22"/>
          <w:lang w:val="es-ES"/>
        </w:rPr>
        <w:t>os</w:t>
      </w:r>
      <w:r w:rsidRPr="00E60534">
        <w:rPr>
          <w:rFonts w:eastAsia="Times New Roman"/>
          <w:i/>
          <w:iCs/>
          <w:kern w:val="22"/>
          <w:lang w:val="es-ES"/>
        </w:rPr>
        <w:t xml:space="preserve"> </w:t>
      </w:r>
      <w:r w:rsidRPr="00E60534">
        <w:rPr>
          <w:rFonts w:eastAsia="Times New Roman"/>
          <w:kern w:val="22"/>
          <w:lang w:val="es-ES"/>
        </w:rPr>
        <w:t>progreso</w:t>
      </w:r>
      <w:r w:rsidR="00E60534" w:rsidRPr="00E60534">
        <w:rPr>
          <w:rFonts w:eastAsia="Times New Roman"/>
          <w:kern w:val="22"/>
          <w:lang w:val="es-ES"/>
        </w:rPr>
        <w:t>s</w:t>
      </w:r>
      <w:r w:rsidRPr="00E60534">
        <w:rPr>
          <w:rFonts w:eastAsia="Times New Roman"/>
          <w:kern w:val="22"/>
          <w:lang w:val="es-ES"/>
        </w:rPr>
        <w:t xml:space="preserve"> </w:t>
      </w:r>
      <w:r w:rsidR="00E60534" w:rsidRPr="00E60534">
        <w:rPr>
          <w:rFonts w:eastAsia="Times New Roman"/>
          <w:kern w:val="22"/>
          <w:lang w:val="es-ES"/>
        </w:rPr>
        <w:t>logr</w:t>
      </w:r>
      <w:r w:rsidRPr="00E60534">
        <w:rPr>
          <w:rFonts w:eastAsia="Times New Roman"/>
          <w:kern w:val="22"/>
          <w:lang w:val="es-ES"/>
        </w:rPr>
        <w:t>ado</w:t>
      </w:r>
      <w:r w:rsidR="00E60534" w:rsidRPr="00E60534">
        <w:rPr>
          <w:rFonts w:eastAsia="Times New Roman"/>
          <w:kern w:val="22"/>
          <w:lang w:val="es-ES"/>
        </w:rPr>
        <w:t>s</w:t>
      </w:r>
      <w:r w:rsidRPr="00E60534">
        <w:rPr>
          <w:rFonts w:eastAsia="Times New Roman"/>
          <w:kern w:val="22"/>
          <w:lang w:val="es-ES"/>
        </w:rPr>
        <w:t xml:space="preserve"> en la implementación de la estrategia de aumento de la concienciación</w:t>
      </w:r>
      <w:r w:rsidRPr="00E60534">
        <w:rPr>
          <w:rFonts w:eastAsia="Times New Roman"/>
          <w:kern w:val="22"/>
          <w:vertAlign w:val="superscript"/>
          <w:lang w:val="es-ES"/>
        </w:rPr>
        <w:footnoteReference w:id="7"/>
      </w:r>
      <w:r w:rsidRPr="00E60534">
        <w:rPr>
          <w:rFonts w:eastAsia="Times New Roman"/>
          <w:kern w:val="22"/>
          <w:lang w:val="es-ES"/>
        </w:rPr>
        <w:t xml:space="preserve"> para el Protocolo de Nagoya;</w:t>
      </w:r>
    </w:p>
    <w:p w:rsidR="00FD6ACB" w:rsidRPr="00E60534" w:rsidRDefault="00FD6ACB">
      <w:pPr>
        <w:suppressLineNumbers/>
        <w:shd w:val="clear" w:color="auto" w:fill="FFFFFF"/>
        <w:tabs>
          <w:tab w:val="left" w:pos="360"/>
        </w:tabs>
        <w:suppressAutoHyphens/>
        <w:snapToGrid w:val="0"/>
        <w:spacing w:before="120" w:after="120"/>
        <w:ind w:firstLine="720"/>
        <w:rPr>
          <w:rFonts w:eastAsia="Times New Roman"/>
          <w:kern w:val="22"/>
          <w:lang w:val="es-ES"/>
        </w:rPr>
      </w:pPr>
      <w:r w:rsidRPr="00E60534">
        <w:rPr>
          <w:rFonts w:eastAsia="Times New Roman"/>
          <w:lang w:val="es-ES"/>
        </w:rPr>
        <w:t>2.</w:t>
      </w:r>
      <w:r w:rsidRPr="00E60534">
        <w:rPr>
          <w:rFonts w:eastAsia="Times New Roman"/>
          <w:lang w:val="es-ES"/>
        </w:rPr>
        <w:tab/>
      </w:r>
      <w:r w:rsidRPr="00E60534">
        <w:rPr>
          <w:rFonts w:eastAsia="Times New Roman"/>
          <w:i/>
          <w:iCs/>
          <w:kern w:val="22"/>
          <w:lang w:val="es-ES"/>
        </w:rPr>
        <w:t xml:space="preserve">Toma nota </w:t>
      </w:r>
      <w:r w:rsidRPr="00E60534">
        <w:rPr>
          <w:rFonts w:eastAsia="Times New Roman"/>
          <w:kern w:val="22"/>
          <w:lang w:val="es-ES"/>
        </w:rPr>
        <w:t xml:space="preserve">de los comentarios de las Partes, otros Gobiernos y otros interesados pertinentes sobre la </w:t>
      </w:r>
      <w:r w:rsidRPr="00E60534">
        <w:rPr>
          <w:rFonts w:eastAsia="Times New Roman"/>
          <w:i/>
          <w:iCs/>
          <w:kern w:val="22"/>
          <w:lang w:val="es-ES"/>
        </w:rPr>
        <w:t>Guía práctica de comunicación, educación y sensibilización del público, incluyendo consideraciones para acceso y participación en los beneficios</w:t>
      </w:r>
      <w:r w:rsidRPr="00E60534">
        <w:rPr>
          <w:rFonts w:eastAsia="Times New Roman"/>
          <w:kern w:val="22"/>
          <w:vertAlign w:val="superscript"/>
          <w:lang w:val="es-ES"/>
        </w:rPr>
        <w:footnoteReference w:id="8"/>
      </w:r>
      <w:r w:rsidRPr="00E60534">
        <w:rPr>
          <w:rFonts w:eastAsia="Times New Roman"/>
          <w:kern w:val="22"/>
          <w:lang w:val="es-ES"/>
        </w:rPr>
        <w:t>, y alienta a las Partes, otros Gobiernos, organizaciones pertinentes y otros interesados a seguir utilizando la guía práctica como parte de sus actividades de aumento de la concienciación y creación de capacidad;</w:t>
      </w:r>
    </w:p>
    <w:p w:rsidR="00FD6ACB" w:rsidRPr="00E60534" w:rsidRDefault="00FD6ACB">
      <w:pPr>
        <w:suppressLineNumbers/>
        <w:shd w:val="clear" w:color="auto" w:fill="FFFFFF"/>
        <w:tabs>
          <w:tab w:val="left" w:pos="360"/>
        </w:tabs>
        <w:suppressAutoHyphens/>
        <w:snapToGrid w:val="0"/>
        <w:spacing w:before="120" w:after="120"/>
        <w:ind w:firstLine="720"/>
        <w:rPr>
          <w:rFonts w:eastAsia="Times New Roman"/>
          <w:lang w:val="es-ES"/>
        </w:rPr>
      </w:pPr>
      <w:r w:rsidRPr="00E60534">
        <w:rPr>
          <w:rFonts w:eastAsia="Times New Roman"/>
          <w:lang w:val="es-ES"/>
        </w:rPr>
        <w:lastRenderedPageBreak/>
        <w:t>3.</w:t>
      </w:r>
      <w:r w:rsidRPr="00E60534">
        <w:rPr>
          <w:rFonts w:eastAsia="Times New Roman"/>
          <w:lang w:val="es-ES"/>
        </w:rPr>
        <w:tab/>
      </w:r>
      <w:r w:rsidRPr="00E60534">
        <w:rPr>
          <w:rFonts w:eastAsia="Times New Roman"/>
          <w:i/>
          <w:iCs/>
          <w:lang w:val="es-ES"/>
        </w:rPr>
        <w:t xml:space="preserve">Acoge con satisfacción </w:t>
      </w:r>
      <w:r w:rsidRPr="00E60534">
        <w:rPr>
          <w:rFonts w:eastAsia="Times New Roman"/>
          <w:lang w:val="es-ES"/>
        </w:rPr>
        <w:t>la estrategia de comunicaciones en apoyo al Marco Mundial de</w:t>
      </w:r>
      <w:r w:rsidRPr="00E60534">
        <w:rPr>
          <w:rFonts w:eastAsia="Times New Roman"/>
          <w:kern w:val="22"/>
          <w:lang w:val="es-ES"/>
        </w:rPr>
        <w:t xml:space="preserve"> Biodiversidad </w:t>
      </w:r>
      <w:r w:rsidRPr="00E60534">
        <w:rPr>
          <w:rFonts w:eastAsia="Times New Roman"/>
          <w:lang w:val="es-ES"/>
        </w:rPr>
        <w:t xml:space="preserve">de </w:t>
      </w:r>
      <w:r w:rsidRPr="00E60534">
        <w:rPr>
          <w:rFonts w:eastAsia="Times New Roman"/>
          <w:kern w:val="22"/>
          <w:lang w:val="es-ES"/>
        </w:rPr>
        <w:t>Kunming-Montreal</w:t>
      </w:r>
      <w:r w:rsidRPr="00E60534">
        <w:rPr>
          <w:rStyle w:val="FootnoteReference"/>
          <w:rFonts w:eastAsia="Times New Roman"/>
          <w:kern w:val="22"/>
          <w:lang w:val="es-ES"/>
        </w:rPr>
        <w:footnoteReference w:id="9"/>
      </w:r>
      <w:r w:rsidRPr="00E60534">
        <w:rPr>
          <w:rFonts w:eastAsia="Times New Roman"/>
          <w:lang w:val="es-ES"/>
        </w:rPr>
        <w:t xml:space="preserve"> como un elemento importante para aumentar también la concienciación sobre el acceso y la participación en los beneficios y el objetivo y meta relacionados del Marco Mundial de</w:t>
      </w:r>
      <w:r w:rsidRPr="00E60534">
        <w:rPr>
          <w:rFonts w:eastAsia="Times New Roman"/>
          <w:kern w:val="22"/>
          <w:lang w:val="es-ES"/>
        </w:rPr>
        <w:t xml:space="preserve"> Biodiversidad </w:t>
      </w:r>
      <w:r w:rsidRPr="00E60534">
        <w:rPr>
          <w:rFonts w:eastAsia="Times New Roman"/>
          <w:lang w:val="es-ES"/>
        </w:rPr>
        <w:t xml:space="preserve">de </w:t>
      </w:r>
      <w:r w:rsidRPr="00E60534">
        <w:rPr>
          <w:rFonts w:eastAsia="Times New Roman"/>
          <w:kern w:val="22"/>
          <w:lang w:val="es-ES"/>
        </w:rPr>
        <w:t>Kunming-Montreal</w:t>
      </w:r>
      <w:r w:rsidRPr="00E60534">
        <w:rPr>
          <w:rFonts w:eastAsia="Times New Roman"/>
          <w:lang w:val="es-ES"/>
        </w:rPr>
        <w:t>;</w:t>
      </w:r>
    </w:p>
    <w:p w:rsidR="00FD6ACB" w:rsidRPr="00E60534" w:rsidRDefault="00FD6ACB">
      <w:pPr>
        <w:suppressLineNumbers/>
        <w:shd w:val="clear" w:color="auto" w:fill="FFFFFF"/>
        <w:tabs>
          <w:tab w:val="left" w:pos="360"/>
        </w:tabs>
        <w:suppressAutoHyphens/>
        <w:snapToGrid w:val="0"/>
        <w:spacing w:before="120" w:after="120"/>
        <w:ind w:firstLine="720"/>
        <w:rPr>
          <w:rFonts w:eastAsia="Times New Roman"/>
          <w:kern w:val="22"/>
          <w:lang w:val="es-ES"/>
        </w:rPr>
      </w:pPr>
      <w:bookmarkStart w:id="0" w:name="_Hlk126059721"/>
      <w:r w:rsidRPr="00E60534">
        <w:rPr>
          <w:rFonts w:eastAsia="Times New Roman"/>
          <w:kern w:val="22"/>
          <w:lang w:val="es-ES"/>
        </w:rPr>
        <w:t>4.</w:t>
      </w:r>
      <w:r w:rsidRPr="00E60534">
        <w:rPr>
          <w:rFonts w:eastAsia="Times New Roman"/>
          <w:kern w:val="22"/>
          <w:lang w:val="es-ES"/>
        </w:rPr>
        <w:tab/>
      </w:r>
      <w:r w:rsidRPr="00E60534">
        <w:rPr>
          <w:rFonts w:eastAsia="Times New Roman"/>
          <w:i/>
          <w:iCs/>
          <w:kern w:val="22"/>
          <w:lang w:val="es-ES"/>
        </w:rPr>
        <w:t>Alienta</w:t>
      </w:r>
      <w:r w:rsidRPr="00E60534">
        <w:rPr>
          <w:rFonts w:eastAsia="Times New Roman"/>
          <w:kern w:val="22"/>
          <w:lang w:val="es-ES"/>
        </w:rPr>
        <w:t xml:space="preserve"> a las Partes, otros Gobiernos, organizaciones pertinentes y otros interesados a continuar realizando actividades de aumento de la concienciación y publicando información sobre herramientas y recursos de concienciación en el Centro de Intercambio de Información sobre Acceso y Participación en los Beneficios;</w:t>
      </w:r>
    </w:p>
    <w:bookmarkEnd w:id="0"/>
    <w:p w:rsidR="00FD6ACB" w:rsidRPr="00E60534" w:rsidRDefault="00FD6ACB">
      <w:pPr>
        <w:suppressLineNumbers/>
        <w:shd w:val="clear" w:color="auto" w:fill="FFFFFF"/>
        <w:tabs>
          <w:tab w:val="left" w:pos="360"/>
        </w:tabs>
        <w:suppressAutoHyphens/>
        <w:snapToGrid w:val="0"/>
        <w:spacing w:before="120" w:after="120"/>
        <w:ind w:firstLine="720"/>
        <w:rPr>
          <w:rFonts w:eastAsia="Times New Roman"/>
          <w:kern w:val="22"/>
          <w:lang w:val="es-ES"/>
        </w:rPr>
      </w:pPr>
      <w:r w:rsidRPr="00E60534">
        <w:rPr>
          <w:rFonts w:eastAsia="Times New Roman"/>
          <w:kern w:val="22"/>
          <w:lang w:val="es-ES"/>
        </w:rPr>
        <w:t>5.</w:t>
      </w:r>
      <w:r w:rsidRPr="00E60534">
        <w:rPr>
          <w:rFonts w:eastAsia="Times New Roman"/>
          <w:kern w:val="22"/>
          <w:lang w:val="es-ES"/>
        </w:rPr>
        <w:tab/>
      </w:r>
      <w:r w:rsidRPr="00E60534">
        <w:rPr>
          <w:rFonts w:eastAsia="Times New Roman"/>
          <w:i/>
          <w:iCs/>
          <w:kern w:val="22"/>
          <w:lang w:val="es-ES"/>
        </w:rPr>
        <w:t xml:space="preserve">Pide </w:t>
      </w:r>
      <w:r w:rsidRPr="00E60534">
        <w:rPr>
          <w:rFonts w:eastAsia="Times New Roman"/>
          <w:kern w:val="22"/>
          <w:lang w:val="es-ES"/>
        </w:rPr>
        <w:t xml:space="preserve">a la Secretaria Ejecutiva que continúe facilitando la implementación de la estrategia de aumento de la concienciación a través de sus actividades de creación y desarrollo de capacidad y </w:t>
      </w:r>
      <w:r w:rsidR="00E60534" w:rsidRPr="00E60534">
        <w:rPr>
          <w:rFonts w:eastAsia="Times New Roman"/>
          <w:kern w:val="22"/>
          <w:lang w:val="es-ES"/>
        </w:rPr>
        <w:t xml:space="preserve">que siga </w:t>
      </w:r>
      <w:r w:rsidRPr="00E60534">
        <w:rPr>
          <w:rFonts w:eastAsia="Times New Roman"/>
          <w:kern w:val="22"/>
          <w:lang w:val="es-ES"/>
        </w:rPr>
        <w:t>alentando el uso de</w:t>
      </w:r>
      <w:r w:rsidR="00E60534" w:rsidRPr="00E60534">
        <w:rPr>
          <w:rFonts w:eastAsia="Times New Roman"/>
          <w:kern w:val="22"/>
          <w:lang w:val="es-ES"/>
        </w:rPr>
        <w:t xml:space="preserve"> </w:t>
      </w:r>
      <w:r w:rsidRPr="00E60534">
        <w:rPr>
          <w:rFonts w:eastAsia="Times New Roman"/>
          <w:kern w:val="22"/>
          <w:lang w:val="es-ES"/>
        </w:rPr>
        <w:t>l</w:t>
      </w:r>
      <w:r w:rsidR="00E60534" w:rsidRPr="00E60534">
        <w:rPr>
          <w:rFonts w:eastAsia="Times New Roman"/>
          <w:kern w:val="22"/>
          <w:lang w:val="es-ES"/>
        </w:rPr>
        <w:t>a</w:t>
      </w:r>
      <w:r w:rsidRPr="00E60534">
        <w:rPr>
          <w:rFonts w:eastAsia="Times New Roman"/>
          <w:kern w:val="22"/>
          <w:lang w:val="es-ES"/>
        </w:rPr>
        <w:t xml:space="preserve"> </w:t>
      </w:r>
      <w:r w:rsidR="00E60534" w:rsidRPr="00E60534">
        <w:rPr>
          <w:rFonts w:eastAsia="Times New Roman"/>
          <w:kern w:val="22"/>
          <w:lang w:val="es-ES"/>
        </w:rPr>
        <w:t>guía práctica</w:t>
      </w:r>
      <w:r w:rsidRPr="00E60534">
        <w:rPr>
          <w:rFonts w:eastAsia="Times New Roman"/>
          <w:kern w:val="22"/>
          <w:lang w:val="es-ES"/>
        </w:rPr>
        <w:t xml:space="preserve"> </w:t>
      </w:r>
      <w:r w:rsidR="00E60534" w:rsidRPr="00E60534">
        <w:rPr>
          <w:rFonts w:eastAsia="Times New Roman"/>
          <w:kern w:val="22"/>
          <w:lang w:val="es-ES"/>
        </w:rPr>
        <w:t>de</w:t>
      </w:r>
      <w:r w:rsidRPr="00E60534">
        <w:rPr>
          <w:rFonts w:eastAsia="Times New Roman"/>
          <w:kern w:val="22"/>
          <w:lang w:val="es-ES"/>
        </w:rPr>
        <w:t xml:space="preserve"> </w:t>
      </w:r>
      <w:r w:rsidR="00E60534" w:rsidRPr="00E60534">
        <w:rPr>
          <w:rFonts w:eastAsia="Times New Roman"/>
          <w:kern w:val="22"/>
          <w:lang w:val="es-ES"/>
        </w:rPr>
        <w:t>s</w:t>
      </w:r>
      <w:r w:rsidRPr="00E60534">
        <w:rPr>
          <w:rFonts w:eastAsia="Times New Roman"/>
          <w:kern w:val="22"/>
          <w:lang w:val="es-ES"/>
        </w:rPr>
        <w:t>e</w:t>
      </w:r>
      <w:r w:rsidR="00E60534" w:rsidRPr="00E60534">
        <w:rPr>
          <w:rFonts w:eastAsia="Times New Roman"/>
          <w:kern w:val="22"/>
          <w:lang w:val="es-ES"/>
        </w:rPr>
        <w:t>nsibiliz</w:t>
      </w:r>
      <w:r w:rsidRPr="00E60534">
        <w:rPr>
          <w:rFonts w:eastAsia="Times New Roman"/>
          <w:kern w:val="22"/>
          <w:lang w:val="es-ES"/>
        </w:rPr>
        <w:t>ación sobre acceso y participación en los beneficios en proyectos relacionados de creación y desarrollo de capacidad y aumento de la concienciación ejecutados por las Partes, otros Gobiernos y organizaciones pertinentes;</w:t>
      </w:r>
    </w:p>
    <w:p w:rsidR="00FD6ACB" w:rsidRPr="00E60534" w:rsidRDefault="00FD6ACB">
      <w:pPr>
        <w:suppressLineNumbers/>
        <w:shd w:val="clear" w:color="auto" w:fill="FFFFFF"/>
        <w:tabs>
          <w:tab w:val="left" w:pos="360"/>
        </w:tabs>
        <w:suppressAutoHyphens/>
        <w:snapToGrid w:val="0"/>
        <w:spacing w:before="120" w:after="120"/>
        <w:ind w:firstLine="720"/>
        <w:rPr>
          <w:rFonts w:eastAsia="Times New Roman"/>
          <w:kern w:val="22"/>
          <w:lang w:val="es-ES"/>
        </w:rPr>
      </w:pPr>
      <w:r w:rsidRPr="00E60534">
        <w:rPr>
          <w:rFonts w:eastAsia="Times New Roman"/>
          <w:kern w:val="22"/>
          <w:lang w:val="es-ES"/>
        </w:rPr>
        <w:t>6.</w:t>
      </w:r>
      <w:r w:rsidRPr="00E60534">
        <w:rPr>
          <w:rFonts w:eastAsia="Times New Roman"/>
          <w:kern w:val="22"/>
          <w:lang w:val="es-ES"/>
        </w:rPr>
        <w:tab/>
      </w:r>
      <w:r w:rsidRPr="00E60534">
        <w:rPr>
          <w:rFonts w:eastAsia="Times New Roman"/>
          <w:i/>
          <w:iCs/>
          <w:kern w:val="22"/>
          <w:lang w:val="es-ES"/>
        </w:rPr>
        <w:t>Pide también</w:t>
      </w:r>
      <w:r w:rsidRPr="00E60534">
        <w:rPr>
          <w:rFonts w:eastAsia="Times New Roman"/>
          <w:kern w:val="22"/>
          <w:lang w:val="es-ES"/>
        </w:rPr>
        <w:t xml:space="preserve"> a la Secretaria Ejecutiva que considere incorporar elementos de la estrategia de aumento de la concienciación al revisar el marco estratégico para la creación y el desarrollo de capacidades en apoyo a la aplicación efectiva del Protocolo de Nagoya, para consideración del Órgano Subsidiario sobre la Aplicación en su cuarta reunión y para su aprobación por la Conferencia de las Partes que actúa como reunión de las Partes en el Protocolo de Nagoya en su quinta reunión.</w:t>
      </w:r>
    </w:p>
    <w:p w:rsidR="00FD6ACB" w:rsidRPr="00E60534" w:rsidRDefault="00FD6ACB">
      <w:pPr>
        <w:jc w:val="left"/>
        <w:rPr>
          <w:rFonts w:eastAsia="Times New Roman"/>
          <w:kern w:val="22"/>
          <w:lang w:val="es-ES"/>
        </w:rPr>
      </w:pPr>
      <w:r w:rsidRPr="00E60534">
        <w:rPr>
          <w:rFonts w:eastAsia="Times New Roman"/>
          <w:kern w:val="22"/>
          <w:lang w:val="es-ES"/>
        </w:rPr>
        <w:br w:type="page"/>
      </w:r>
    </w:p>
    <w:p w:rsidR="00FD6ACB" w:rsidRPr="00E60534" w:rsidRDefault="00FD6ACB">
      <w:pPr>
        <w:pStyle w:val="ListParagraph"/>
        <w:keepNext/>
        <w:suppressAutoHyphens/>
        <w:spacing w:before="240" w:after="120"/>
        <w:ind w:left="0"/>
        <w:jc w:val="center"/>
        <w:outlineLvl w:val="2"/>
        <w:rPr>
          <w:rFonts w:eastAsia="Times New Roman"/>
          <w:i/>
          <w:iCs/>
          <w:kern w:val="22"/>
          <w:lang w:val="es-ES"/>
        </w:rPr>
      </w:pPr>
      <w:r w:rsidRPr="00E60534">
        <w:rPr>
          <w:rFonts w:eastAsia="Times New Roman"/>
          <w:i/>
          <w:iCs/>
          <w:kern w:val="22"/>
          <w:lang w:val="es-ES"/>
        </w:rPr>
        <w:lastRenderedPageBreak/>
        <w:t>Anexo</w:t>
      </w:r>
    </w:p>
    <w:p w:rsidR="00FD6ACB" w:rsidRPr="00E60534" w:rsidRDefault="00FD6ACB">
      <w:pPr>
        <w:pStyle w:val="HEADINGNOTFORTOC"/>
        <w:outlineLvl w:val="9"/>
        <w:rPr>
          <w:rFonts w:eastAsia="Times New Roman"/>
          <w:lang w:val="es-ES"/>
        </w:rPr>
      </w:pPr>
      <w:r w:rsidRPr="00E60534">
        <w:rPr>
          <w:rFonts w:eastAsia="Times New Roman"/>
          <w:lang w:val="es-ES"/>
        </w:rPr>
        <w:t>PRIORIDADES ESPECÍFICAS DE CREACIÓN Y DESARROLLO CONTINUOS DE CAPACIDAD EN APOYO A LA APLICACIÓN DEL PROTOCOLO DE NAGOYA</w:t>
      </w:r>
    </w:p>
    <w:p w:rsidR="00FD6ACB" w:rsidRPr="00E60534" w:rsidRDefault="00FD6ACB">
      <w:pPr>
        <w:pStyle w:val="ListParagraph"/>
        <w:suppressLineNumbers/>
        <w:suppressAutoHyphens/>
        <w:spacing w:before="120" w:after="120"/>
        <w:ind w:left="0" w:firstLine="720"/>
        <w:rPr>
          <w:rFonts w:eastAsia="Times New Roman"/>
          <w:kern w:val="22"/>
          <w:lang w:val="es-ES"/>
        </w:rPr>
      </w:pPr>
      <w:r w:rsidRPr="00E60534">
        <w:rPr>
          <w:rFonts w:eastAsia="Times New Roman"/>
          <w:kern w:val="22"/>
          <w:lang w:val="es-ES"/>
        </w:rPr>
        <w:t xml:space="preserve">Las prioridades específicas para la creación y el desarrollo continuos de capacidad que se definieron en la evaluación y revisión del Protocolo de Nagoya </w:t>
      </w:r>
      <w:r w:rsidR="00E60534" w:rsidRPr="00E60534">
        <w:rPr>
          <w:rFonts w:eastAsia="Times New Roman"/>
          <w:kern w:val="22"/>
          <w:lang w:val="es-ES"/>
        </w:rPr>
        <w:t>comprenden</w:t>
      </w:r>
      <w:r w:rsidRPr="00E60534">
        <w:rPr>
          <w:rStyle w:val="FootnoteReference"/>
          <w:rFonts w:eastAsia="Times New Roman"/>
          <w:kern w:val="22"/>
          <w:lang w:val="es-ES"/>
        </w:rPr>
        <w:footnoteReference w:id="10"/>
      </w:r>
      <w:r w:rsidRPr="00E60534">
        <w:rPr>
          <w:rFonts w:eastAsia="Times New Roman"/>
          <w:kern w:val="22"/>
          <w:lang w:val="es-ES"/>
        </w:rPr>
        <w:t>:</w:t>
      </w:r>
    </w:p>
    <w:p w:rsidR="00FD6ACB" w:rsidRPr="00E60534" w:rsidRDefault="00FD6ACB">
      <w:pPr>
        <w:pStyle w:val="Para1"/>
        <w:numPr>
          <w:ilvl w:val="0"/>
          <w:numId w:val="0"/>
        </w:numPr>
        <w:suppressLineNumbers/>
        <w:suppressAutoHyphens/>
        <w:kinsoku w:val="0"/>
        <w:overflowPunct w:val="0"/>
        <w:autoSpaceDE w:val="0"/>
        <w:autoSpaceDN w:val="0"/>
        <w:spacing w:before="0"/>
        <w:ind w:firstLine="720"/>
        <w:rPr>
          <w:rFonts w:eastAsia="Times New Roman"/>
          <w:kern w:val="22"/>
          <w:lang w:val="es-ES"/>
        </w:rPr>
      </w:pPr>
      <w:r w:rsidRPr="00E60534">
        <w:rPr>
          <w:rFonts w:eastAsia="Times New Roman"/>
          <w:color w:val="000000"/>
          <w:lang w:val="es-ES"/>
        </w:rPr>
        <w:t>a)</w:t>
      </w:r>
      <w:r w:rsidRPr="00E60534">
        <w:rPr>
          <w:rFonts w:eastAsia="Times New Roman"/>
          <w:color w:val="000000"/>
          <w:lang w:val="es-ES"/>
        </w:rPr>
        <w:tab/>
      </w:r>
      <w:r w:rsidRPr="00E60534">
        <w:rPr>
          <w:rFonts w:eastAsia="Times New Roman"/>
          <w:kern w:val="22"/>
          <w:lang w:val="es-ES"/>
        </w:rPr>
        <w:t>Elaborar legislación o requisitos reglamentarios sobre acceso y participación en los beneficios tomando en cuenta el artículo 8 del Protocolo y la necesidad de asegurar que el Protocolo y otros instrumentos internacionales pertinentes se apliquen de manera que se apoyen mutuamente;</w:t>
      </w:r>
    </w:p>
    <w:p w:rsidR="00FD6ACB" w:rsidRPr="00E60534" w:rsidRDefault="00FD6ACB">
      <w:pPr>
        <w:pStyle w:val="Para1"/>
        <w:numPr>
          <w:ilvl w:val="0"/>
          <w:numId w:val="0"/>
        </w:numPr>
        <w:suppressLineNumbers/>
        <w:suppressAutoHyphens/>
        <w:kinsoku w:val="0"/>
        <w:overflowPunct w:val="0"/>
        <w:autoSpaceDE w:val="0"/>
        <w:autoSpaceDN w:val="0"/>
        <w:spacing w:before="0"/>
        <w:ind w:firstLine="720"/>
        <w:rPr>
          <w:rFonts w:eastAsia="Times New Roman"/>
          <w:kern w:val="22"/>
          <w:lang w:val="es-ES"/>
        </w:rPr>
      </w:pPr>
      <w:r w:rsidRPr="00E60534">
        <w:rPr>
          <w:rFonts w:eastAsia="Times New Roman"/>
          <w:color w:val="000000"/>
          <w:lang w:val="es-ES"/>
        </w:rPr>
        <w:t>b)</w:t>
      </w:r>
      <w:r w:rsidRPr="00E60534">
        <w:rPr>
          <w:rFonts w:eastAsia="Times New Roman"/>
          <w:color w:val="000000"/>
          <w:lang w:val="es-ES"/>
        </w:rPr>
        <w:tab/>
      </w:r>
      <w:r w:rsidRPr="00E60534">
        <w:rPr>
          <w:rFonts w:eastAsia="Times New Roman"/>
          <w:kern w:val="22"/>
          <w:lang w:val="es-ES"/>
        </w:rPr>
        <w:t>Promover la aplicación de las disposiciones referidas al cumplimiento de la legislación y los requisitos reglamentarios nacionales sobre acceso y participación en los beneficios y la vigilancia de la utilización de los recursos genéticos, incluida la designación de puntos de verificación, así como las disposiciones relacionadas con los pueblos indígenas y las comunidades locales;</w:t>
      </w:r>
    </w:p>
    <w:p w:rsidR="00FD6ACB" w:rsidRPr="00E60534" w:rsidRDefault="00FD6ACB">
      <w:pPr>
        <w:pStyle w:val="Para1"/>
        <w:numPr>
          <w:ilvl w:val="0"/>
          <w:numId w:val="0"/>
        </w:numPr>
        <w:suppressLineNumbers/>
        <w:suppressAutoHyphens/>
        <w:kinsoku w:val="0"/>
        <w:overflowPunct w:val="0"/>
        <w:autoSpaceDE w:val="0"/>
        <w:autoSpaceDN w:val="0"/>
        <w:spacing w:before="0"/>
        <w:ind w:firstLine="720"/>
        <w:rPr>
          <w:rFonts w:eastAsia="Times New Roman"/>
          <w:kern w:val="22"/>
          <w:lang w:val="es-ES"/>
        </w:rPr>
      </w:pPr>
      <w:r w:rsidRPr="00E60534">
        <w:rPr>
          <w:rFonts w:eastAsia="Times New Roman"/>
          <w:color w:val="000000"/>
          <w:lang w:val="es-ES"/>
        </w:rPr>
        <w:t>c)</w:t>
      </w:r>
      <w:r w:rsidRPr="00E60534">
        <w:rPr>
          <w:rFonts w:eastAsia="Times New Roman"/>
          <w:color w:val="000000"/>
          <w:lang w:val="es-ES"/>
        </w:rPr>
        <w:tab/>
      </w:r>
      <w:r w:rsidRPr="00E60534">
        <w:rPr>
          <w:rFonts w:eastAsia="Times New Roman"/>
          <w:kern w:val="22"/>
          <w:lang w:val="es-ES"/>
        </w:rPr>
        <w:t xml:space="preserve">Apoyar la participación de los pueblos indígenas y las comunidades locales en la aplicación del Protocolo, entre otras cosas, prestando apoyo a los pueblos indígenas y las comunidades locales en la elaboración de protocolos y procedimientos comunitarios, </w:t>
      </w:r>
      <w:r w:rsidRPr="00E60534">
        <w:rPr>
          <w:rFonts w:eastAsia="Times New Roman"/>
          <w:kern w:val="22"/>
          <w:u w:color="000000"/>
          <w:lang w:val="es-ES"/>
        </w:rPr>
        <w:t>requisitos mínimos para las condiciones mutuamente acordadas y cláusulas contractuales modelo para la participación en los beneficios derivados de la utilización de los conocimientos tradicionales asociados a recursos genéticos</w:t>
      </w:r>
      <w:r w:rsidRPr="00E60534">
        <w:rPr>
          <w:rFonts w:eastAsia="Times New Roman"/>
          <w:kern w:val="22"/>
          <w:lang w:val="es-ES"/>
        </w:rPr>
        <w:t>, teniendo en cuenta sus leyes consuetudinarias;</w:t>
      </w:r>
    </w:p>
    <w:p w:rsidR="00FD6ACB" w:rsidRPr="00E60534" w:rsidRDefault="00FD6ACB">
      <w:pPr>
        <w:pStyle w:val="Para1"/>
        <w:numPr>
          <w:ilvl w:val="0"/>
          <w:numId w:val="0"/>
        </w:numPr>
        <w:suppressLineNumbers/>
        <w:suppressAutoHyphens/>
        <w:kinsoku w:val="0"/>
        <w:overflowPunct w:val="0"/>
        <w:autoSpaceDE w:val="0"/>
        <w:autoSpaceDN w:val="0"/>
        <w:spacing w:before="0"/>
        <w:ind w:firstLine="720"/>
        <w:rPr>
          <w:rFonts w:eastAsia="Times New Roman"/>
          <w:kern w:val="22"/>
          <w:lang w:val="es-ES"/>
        </w:rPr>
      </w:pPr>
      <w:r w:rsidRPr="00E60534">
        <w:rPr>
          <w:rFonts w:eastAsia="Times New Roman"/>
          <w:color w:val="000000"/>
          <w:lang w:val="es-ES"/>
        </w:rPr>
        <w:t>d)</w:t>
      </w:r>
      <w:r w:rsidRPr="00E60534">
        <w:rPr>
          <w:rFonts w:eastAsia="Times New Roman"/>
          <w:color w:val="000000"/>
          <w:lang w:val="es-ES"/>
        </w:rPr>
        <w:tab/>
      </w:r>
      <w:r w:rsidRPr="00E60534">
        <w:rPr>
          <w:rFonts w:eastAsia="Times New Roman"/>
          <w:kern w:val="22"/>
          <w:lang w:val="es-ES"/>
        </w:rPr>
        <w:t>Generar conciencia entre interesados pertinentes y alentar su participación en la aplicación del Protocolo;</w:t>
      </w:r>
    </w:p>
    <w:p w:rsidR="00FD6ACB" w:rsidRPr="00E60534" w:rsidRDefault="00FD6ACB">
      <w:pPr>
        <w:pStyle w:val="Para1"/>
        <w:numPr>
          <w:ilvl w:val="0"/>
          <w:numId w:val="0"/>
        </w:numPr>
        <w:suppressLineNumbers/>
        <w:suppressAutoHyphens/>
        <w:kinsoku w:val="0"/>
        <w:overflowPunct w:val="0"/>
        <w:autoSpaceDE w:val="0"/>
        <w:autoSpaceDN w:val="0"/>
        <w:spacing w:before="0"/>
        <w:ind w:firstLine="720"/>
        <w:rPr>
          <w:rFonts w:eastAsia="Times New Roman"/>
          <w:kern w:val="22"/>
          <w:lang w:val="es-ES"/>
        </w:rPr>
      </w:pPr>
      <w:r w:rsidRPr="00E60534">
        <w:rPr>
          <w:rFonts w:eastAsia="Times New Roman"/>
          <w:color w:val="000000"/>
          <w:lang w:val="es-ES"/>
        </w:rPr>
        <w:t>e)</w:t>
      </w:r>
      <w:r w:rsidRPr="00E60534">
        <w:rPr>
          <w:rFonts w:eastAsia="Times New Roman"/>
          <w:color w:val="000000"/>
          <w:lang w:val="es-ES"/>
        </w:rPr>
        <w:tab/>
      </w:r>
      <w:r w:rsidRPr="00E60534">
        <w:rPr>
          <w:rFonts w:eastAsia="Times New Roman"/>
          <w:kern w:val="22"/>
          <w:lang w:val="es-ES"/>
        </w:rPr>
        <w:t>Necesidades de creación y desarrollo de capacidad relacionadas con la medición y notificación de beneficios tanto monetarios como no monetarios que se deriven de la utilización de recursos genéticos y conocimientos tradicionales asociados con los recursos genéticos;</w:t>
      </w:r>
    </w:p>
    <w:p w:rsidR="00FD6ACB" w:rsidRPr="00E60534" w:rsidRDefault="00FD6ACB">
      <w:pPr>
        <w:pStyle w:val="Para1"/>
        <w:numPr>
          <w:ilvl w:val="0"/>
          <w:numId w:val="0"/>
        </w:numPr>
        <w:suppressLineNumbers/>
        <w:suppressAutoHyphens/>
        <w:kinsoku w:val="0"/>
        <w:overflowPunct w:val="0"/>
        <w:autoSpaceDE w:val="0"/>
        <w:autoSpaceDN w:val="0"/>
        <w:spacing w:before="0"/>
        <w:ind w:firstLine="720"/>
        <w:rPr>
          <w:rFonts w:eastAsia="Times New Roman"/>
          <w:kern w:val="22"/>
          <w:lang w:val="es-ES"/>
        </w:rPr>
      </w:pPr>
      <w:r w:rsidRPr="00E60534">
        <w:rPr>
          <w:rFonts w:eastAsia="Times New Roman"/>
          <w:color w:val="000000"/>
          <w:lang w:val="es-ES"/>
        </w:rPr>
        <w:t>f)</w:t>
      </w:r>
      <w:r w:rsidRPr="00E60534">
        <w:rPr>
          <w:rFonts w:eastAsia="Times New Roman"/>
          <w:color w:val="000000"/>
          <w:lang w:val="es-ES"/>
        </w:rPr>
        <w:tab/>
      </w:r>
      <w:r w:rsidRPr="00E60534">
        <w:rPr>
          <w:rFonts w:eastAsia="Times New Roman"/>
          <w:kern w:val="22"/>
          <w:lang w:val="es-ES"/>
        </w:rPr>
        <w:t>Comunicación estratégica a nivel mundial, regional y nacional sobre acceso y participación en los beneficios como un área de creación y desarrollo de capacidad;</w:t>
      </w:r>
    </w:p>
    <w:p w:rsidR="00FD6ACB" w:rsidRPr="00E60534" w:rsidRDefault="00FD6ACB">
      <w:pPr>
        <w:pStyle w:val="Para1"/>
        <w:numPr>
          <w:ilvl w:val="0"/>
          <w:numId w:val="0"/>
        </w:numPr>
        <w:suppressLineNumbers/>
        <w:suppressAutoHyphens/>
        <w:kinsoku w:val="0"/>
        <w:overflowPunct w:val="0"/>
        <w:autoSpaceDE w:val="0"/>
        <w:autoSpaceDN w:val="0"/>
        <w:spacing w:before="0"/>
        <w:ind w:firstLine="720"/>
        <w:rPr>
          <w:rFonts w:eastAsia="Times New Roman"/>
          <w:lang w:val="es-ES"/>
        </w:rPr>
      </w:pPr>
      <w:bookmarkStart w:id="1" w:name="_Hlk126060062"/>
      <w:r w:rsidRPr="00E60534">
        <w:rPr>
          <w:rFonts w:eastAsia="Times New Roman"/>
          <w:kern w:val="22"/>
          <w:lang w:val="es-ES"/>
        </w:rPr>
        <w:t>g)</w:t>
      </w:r>
      <w:r w:rsidRPr="00E60534">
        <w:rPr>
          <w:rFonts w:eastAsia="Times New Roman"/>
          <w:kern w:val="22"/>
          <w:lang w:val="es-ES"/>
        </w:rPr>
        <w:tab/>
        <w:t>Elaboración de herramientas y listas de verificación para ayudar a incorporar consideraciones de género en las distintas áreas de competencia que deben abordar las iniciativas y actividades de creación de capacidad, incluida la integración de la receptividad a las cuestiones de género en las políticas y medidas de acceso y participación en los beneficios.</w:t>
      </w:r>
    </w:p>
    <w:bookmarkEnd w:id="1"/>
    <w:p w:rsidR="00FD6ACB" w:rsidRPr="00E60534" w:rsidRDefault="00FD6ACB">
      <w:pPr>
        <w:spacing w:before="120"/>
        <w:jc w:val="center"/>
        <w:rPr>
          <w:rFonts w:eastAsia="Times New Roman"/>
          <w:lang w:val="es-ES"/>
        </w:rPr>
      </w:pPr>
      <w:r w:rsidRPr="00E60534">
        <w:rPr>
          <w:rFonts w:eastAsia="Times New Roman"/>
          <w:lang w:val="es-ES"/>
        </w:rPr>
        <w:t>__________</w:t>
      </w:r>
    </w:p>
    <w:sectPr w:rsidR="00FD6ACB" w:rsidRPr="00E60534">
      <w:headerReference w:type="even" r:id="rId10"/>
      <w:headerReference w:type="default" r:id="rId11"/>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5F5" w:rsidRDefault="00B955F5">
      <w:pPr>
        <w:rPr>
          <w:rFonts w:eastAsia="Times New Roman"/>
        </w:rPr>
      </w:pPr>
      <w:r>
        <w:rPr>
          <w:rFonts w:eastAsia="Times New Roman"/>
        </w:rPr>
        <w:separator/>
      </w:r>
    </w:p>
  </w:endnote>
  <w:endnote w:type="continuationSeparator" w:id="1">
    <w:p w:rsidR="00B955F5" w:rsidRDefault="00B955F5">
      <w:pPr>
        <w:rPr>
          <w:rFonts w:eastAsia="Times New Roman"/>
        </w:rPr>
      </w:pPr>
      <w:r>
        <w:rPr>
          <w:rFonts w:eastAsia="Times New Roman"/>
        </w:rPr>
        <w:continuationSeparator/>
      </w:r>
    </w:p>
  </w:endnote>
  <w:endnote w:type="continuationNotice" w:id="2">
    <w:p w:rsidR="00B955F5" w:rsidRDefault="00B955F5">
      <w:pPr>
        <w:rPr>
          <w:rFonts w:eastAsia="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5F5" w:rsidRDefault="00B955F5">
      <w:pPr>
        <w:rPr>
          <w:rFonts w:eastAsia="Times New Roman"/>
        </w:rPr>
      </w:pPr>
      <w:r>
        <w:rPr>
          <w:rFonts w:eastAsia="Times New Roman"/>
        </w:rPr>
        <w:separator/>
      </w:r>
    </w:p>
  </w:footnote>
  <w:footnote w:type="continuationSeparator" w:id="1">
    <w:p w:rsidR="00B955F5" w:rsidRDefault="00B955F5">
      <w:pPr>
        <w:rPr>
          <w:rFonts w:eastAsia="Times New Roman"/>
        </w:rPr>
      </w:pPr>
      <w:r>
        <w:rPr>
          <w:rFonts w:eastAsia="Times New Roman"/>
        </w:rPr>
        <w:continuationSeparator/>
      </w:r>
    </w:p>
  </w:footnote>
  <w:footnote w:type="continuationNotice" w:id="2">
    <w:p w:rsidR="00B955F5" w:rsidRDefault="00B955F5">
      <w:pPr>
        <w:rPr>
          <w:rFonts w:eastAsia="Times New Roman"/>
        </w:rPr>
      </w:pPr>
    </w:p>
  </w:footnote>
  <w:footnote w:id="3">
    <w:p w:rsidR="00FD6ACB" w:rsidRPr="00E60534" w:rsidRDefault="00FD6ACB">
      <w:pPr>
        <w:pStyle w:val="FootnoteText"/>
        <w:ind w:firstLine="0"/>
        <w:rPr>
          <w:rFonts w:eastAsia="Times New Roman"/>
          <w:lang w:val="es-ES"/>
        </w:rPr>
      </w:pPr>
      <w:r w:rsidRPr="00E60534">
        <w:rPr>
          <w:rStyle w:val="FootnoteReference"/>
          <w:rFonts w:eastAsia="Times New Roman"/>
          <w:lang w:val="es-ES"/>
        </w:rPr>
        <w:footnoteRef/>
      </w:r>
      <w:r w:rsidRPr="00E60534">
        <w:rPr>
          <w:rFonts w:eastAsia="Times New Roman"/>
          <w:lang w:val="es-ES"/>
        </w:rPr>
        <w:t xml:space="preserve"> El marco estratégico para la creación y el desarrollo de capacidad en apoyo a la aplicación efectiva del Protocolo de Nagoya fue adoptado por decisión NP-1/8. </w:t>
      </w:r>
      <w:r w:rsidRPr="00E60534">
        <w:rPr>
          <w:rFonts w:eastAsia="Times New Roman"/>
          <w:kern w:val="22"/>
          <w:lang w:val="es-ES"/>
        </w:rPr>
        <w:t xml:space="preserve">La evaluación del marco estratégico figura en el documento </w:t>
      </w:r>
      <w:r w:rsidRPr="00E60534">
        <w:rPr>
          <w:rFonts w:eastAsia="Times New Roman"/>
          <w:kern w:val="18"/>
          <w:lang w:val="es-ES"/>
        </w:rPr>
        <w:t>CBD/SBI/3/INF/1.</w:t>
      </w:r>
    </w:p>
  </w:footnote>
  <w:footnote w:id="4">
    <w:p w:rsidR="00FD6ACB" w:rsidRPr="00E60534" w:rsidRDefault="00FD6ACB">
      <w:pPr>
        <w:pStyle w:val="FootnoteText"/>
        <w:ind w:firstLine="0"/>
        <w:rPr>
          <w:rFonts w:eastAsia="Times New Roman"/>
          <w:lang w:val="es-ES"/>
        </w:rPr>
      </w:pPr>
      <w:r w:rsidRPr="00E60534">
        <w:rPr>
          <w:rStyle w:val="FootnoteReference"/>
          <w:rFonts w:eastAsia="Times New Roman"/>
          <w:lang w:val="es-ES"/>
        </w:rPr>
        <w:footnoteRef/>
      </w:r>
      <w:r w:rsidRPr="00E60534">
        <w:rPr>
          <w:rFonts w:eastAsia="Times New Roman"/>
          <w:lang w:val="es-ES"/>
        </w:rPr>
        <w:t xml:space="preserve"> </w:t>
      </w:r>
      <w:r w:rsidRPr="00E60534">
        <w:rPr>
          <w:rFonts w:eastAsia="Times New Roman"/>
          <w:kern w:val="22"/>
          <w:lang w:val="es-ES"/>
        </w:rPr>
        <w:t>Decisión 15/8, anexo I.</w:t>
      </w:r>
    </w:p>
  </w:footnote>
  <w:footnote w:id="5">
    <w:p w:rsidR="00FD6ACB" w:rsidRPr="00E60534" w:rsidRDefault="00FD6ACB">
      <w:pPr>
        <w:pStyle w:val="FootnoteText"/>
        <w:ind w:firstLine="0"/>
        <w:rPr>
          <w:rFonts w:eastAsia="Times New Roman"/>
          <w:lang w:val="es-ES"/>
        </w:rPr>
      </w:pPr>
      <w:r w:rsidRPr="00E60534">
        <w:rPr>
          <w:rStyle w:val="FootnoteReference"/>
          <w:rFonts w:eastAsia="Times New Roman"/>
          <w:lang w:val="es-ES"/>
        </w:rPr>
        <w:footnoteRef/>
      </w:r>
      <w:r w:rsidRPr="00E60534">
        <w:rPr>
          <w:rFonts w:eastAsia="Times New Roman"/>
          <w:lang w:val="es-ES"/>
        </w:rPr>
        <w:t xml:space="preserve"> Decisión 15/4, anexo.</w:t>
      </w:r>
    </w:p>
  </w:footnote>
  <w:footnote w:id="6">
    <w:p w:rsidR="00FD6ACB" w:rsidRPr="00E60534" w:rsidRDefault="00FD6ACB">
      <w:pPr>
        <w:pStyle w:val="FootnoteText"/>
        <w:suppressLineNumbers/>
        <w:suppressAutoHyphens/>
        <w:ind w:firstLine="0"/>
        <w:jc w:val="left"/>
        <w:rPr>
          <w:rFonts w:eastAsia="Times New Roman"/>
          <w:lang w:val="es-ES"/>
        </w:rPr>
      </w:pPr>
      <w:r w:rsidRPr="00E60534">
        <w:rPr>
          <w:rStyle w:val="FootnoteReference"/>
          <w:rFonts w:eastAsia="Times New Roman"/>
          <w:kern w:val="18"/>
          <w:lang w:val="es-ES"/>
        </w:rPr>
        <w:footnoteRef/>
      </w:r>
      <w:r w:rsidRPr="00E60534">
        <w:rPr>
          <w:rFonts w:eastAsia="Times New Roman"/>
          <w:kern w:val="18"/>
          <w:lang w:val="es-ES"/>
        </w:rPr>
        <w:t xml:space="preserve"> CBD/NP/CB-IAC/2019/1/4.</w:t>
      </w:r>
    </w:p>
  </w:footnote>
  <w:footnote w:id="7">
    <w:p w:rsidR="00FD6ACB" w:rsidRPr="00E60534" w:rsidRDefault="00FD6ACB">
      <w:pPr>
        <w:pStyle w:val="FootnoteText"/>
        <w:ind w:firstLine="0"/>
        <w:jc w:val="left"/>
        <w:rPr>
          <w:rFonts w:eastAsia="Times New Roman"/>
          <w:lang w:val="es-ES"/>
        </w:rPr>
      </w:pPr>
      <w:r w:rsidRPr="00E60534">
        <w:rPr>
          <w:rStyle w:val="FootnoteReference"/>
          <w:rFonts w:eastAsia="Times New Roman"/>
          <w:kern w:val="18"/>
          <w:lang w:val="es-ES"/>
        </w:rPr>
        <w:footnoteRef/>
      </w:r>
      <w:r w:rsidRPr="00E60534">
        <w:rPr>
          <w:rFonts w:eastAsia="Times New Roman"/>
          <w:kern w:val="18"/>
          <w:lang w:val="es-ES"/>
        </w:rPr>
        <w:t xml:space="preserve"> Establecida en la decisión NP-1/9.</w:t>
      </w:r>
    </w:p>
  </w:footnote>
  <w:footnote w:id="8">
    <w:p w:rsidR="00FD6ACB" w:rsidRPr="00E60534" w:rsidRDefault="00FD6ACB">
      <w:pPr>
        <w:pStyle w:val="FootnoteText"/>
        <w:ind w:firstLine="0"/>
        <w:jc w:val="left"/>
        <w:rPr>
          <w:rFonts w:eastAsia="Times New Roman"/>
          <w:lang w:val="es-ES"/>
        </w:rPr>
      </w:pPr>
      <w:r w:rsidRPr="00E60534">
        <w:rPr>
          <w:rStyle w:val="FootnoteReference"/>
          <w:rFonts w:eastAsia="Times New Roman"/>
          <w:lang w:val="es-ES"/>
        </w:rPr>
        <w:footnoteRef/>
      </w:r>
      <w:r w:rsidRPr="00E60534">
        <w:rPr>
          <w:rFonts w:eastAsia="Times New Roman"/>
          <w:lang w:val="es-ES"/>
        </w:rPr>
        <w:t xml:space="preserve"> </w:t>
      </w:r>
      <w:hyperlink r:id="rId1" w:history="1">
        <w:r w:rsidRPr="00E60534">
          <w:rPr>
            <w:rStyle w:val="Hyperlink"/>
            <w:rFonts w:eastAsia="Times New Roman"/>
            <w:lang w:val="es-ES"/>
          </w:rPr>
          <w:t>https://www.cbd.int/abs/doc/cepa-toolkit-es.pdf</w:t>
        </w:r>
      </w:hyperlink>
      <w:r w:rsidRPr="00E60534">
        <w:rPr>
          <w:rFonts w:eastAsia="Times New Roman"/>
          <w:lang w:val="es-ES"/>
        </w:rPr>
        <w:t>.</w:t>
      </w:r>
    </w:p>
  </w:footnote>
  <w:footnote w:id="9">
    <w:p w:rsidR="00FD6ACB" w:rsidRPr="00E60534" w:rsidRDefault="00FD6ACB">
      <w:pPr>
        <w:pStyle w:val="FootnoteText"/>
        <w:ind w:firstLine="0"/>
        <w:rPr>
          <w:rFonts w:eastAsia="Times New Roman"/>
          <w:lang w:val="es-ES"/>
        </w:rPr>
      </w:pPr>
      <w:r w:rsidRPr="00E60534">
        <w:rPr>
          <w:rStyle w:val="FootnoteReference"/>
          <w:rFonts w:eastAsia="Times New Roman"/>
          <w:lang w:val="es-ES"/>
        </w:rPr>
        <w:footnoteRef/>
      </w:r>
      <w:r w:rsidRPr="00E60534">
        <w:rPr>
          <w:rFonts w:eastAsia="Times New Roman"/>
          <w:lang w:val="es-ES"/>
        </w:rPr>
        <w:t xml:space="preserve"> Decisión 15/14, anexo.</w:t>
      </w:r>
    </w:p>
  </w:footnote>
  <w:footnote w:id="10">
    <w:p w:rsidR="00FD6ACB" w:rsidRPr="00E60534" w:rsidRDefault="00FD6ACB">
      <w:pPr>
        <w:pStyle w:val="FootnoteText"/>
        <w:ind w:firstLine="0"/>
        <w:jc w:val="left"/>
        <w:rPr>
          <w:rFonts w:eastAsia="Times New Roman"/>
          <w:lang w:val="es-ES"/>
        </w:rPr>
      </w:pPr>
      <w:r w:rsidRPr="00E60534">
        <w:rPr>
          <w:rStyle w:val="FootnoteReference"/>
          <w:rFonts w:eastAsia="Times New Roman"/>
          <w:lang w:val="es-ES"/>
        </w:rPr>
        <w:footnoteRef/>
      </w:r>
      <w:r w:rsidRPr="00E60534">
        <w:rPr>
          <w:rFonts w:eastAsia="Times New Roman"/>
          <w:lang w:val="es-ES"/>
        </w:rPr>
        <w:t xml:space="preserve"> El elemento g) se agregó durante la adopción de la presente decisión y no fue definido durante la primera evaluación y revisión (NP-3/1).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CB" w:rsidRPr="00E60534" w:rsidRDefault="00FD6ACB">
    <w:pPr>
      <w:pStyle w:val="Header"/>
      <w:rPr>
        <w:rFonts w:eastAsia="Times New Roman"/>
        <w:lang w:val="es-ES"/>
      </w:rPr>
    </w:pPr>
    <w:r w:rsidRPr="00E60534">
      <w:rPr>
        <w:rFonts w:eastAsia="Times New Roman"/>
        <w:lang w:val="es-ES"/>
      </w:rPr>
      <w:t>CBD/NP/MOP/DEC/4/7</w:t>
    </w:r>
  </w:p>
  <w:p w:rsidR="00FD6ACB" w:rsidRPr="00E60534" w:rsidRDefault="00FD6ACB">
    <w:pPr>
      <w:pStyle w:val="Header"/>
      <w:rPr>
        <w:rFonts w:eastAsia="Times New Roman"/>
        <w:lang w:val="es-ES"/>
      </w:rPr>
    </w:pPr>
    <w:r w:rsidRPr="00E60534">
      <w:rPr>
        <w:rFonts w:eastAsia="Times New Roman"/>
        <w:lang w:val="es-ES"/>
      </w:rPr>
      <w:t xml:space="preserve">Página </w:t>
    </w:r>
    <w:r w:rsidRPr="00E60534">
      <w:rPr>
        <w:rFonts w:eastAsia="Times New Roman"/>
        <w:lang w:val="es-ES"/>
      </w:rPr>
      <w:fldChar w:fldCharType="begin"/>
    </w:r>
    <w:r w:rsidRPr="00E60534">
      <w:rPr>
        <w:rFonts w:eastAsia="Times New Roman"/>
        <w:lang w:val="es-ES"/>
      </w:rPr>
      <w:instrText xml:space="preserve"> PAGE   \* MERGEFORMAT </w:instrText>
    </w:r>
    <w:r w:rsidRPr="00E60534">
      <w:rPr>
        <w:rFonts w:eastAsia="Times New Roman"/>
        <w:lang w:val="es-ES"/>
      </w:rPr>
      <w:fldChar w:fldCharType="separate"/>
    </w:r>
    <w:r w:rsidR="00E82943">
      <w:rPr>
        <w:rFonts w:eastAsia="Times New Roman"/>
        <w:noProof/>
        <w:lang w:val="es-ES"/>
      </w:rPr>
      <w:t>2</w:t>
    </w:r>
    <w:r w:rsidRPr="00E60534">
      <w:rPr>
        <w:rFonts w:eastAsia="Times New Roman"/>
        <w:lang w:val="es-ES"/>
      </w:rPr>
      <w:fldChar w:fldCharType="end"/>
    </w:r>
  </w:p>
  <w:p w:rsidR="00FD6ACB" w:rsidRPr="00E60534" w:rsidRDefault="00FD6ACB">
    <w:pPr>
      <w:pStyle w:val="Header"/>
      <w:rPr>
        <w:rFonts w:eastAsia="Times New Roman"/>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CB" w:rsidRPr="00E60534" w:rsidRDefault="00FD6ACB">
    <w:pPr>
      <w:pStyle w:val="Header"/>
      <w:jc w:val="right"/>
      <w:rPr>
        <w:rFonts w:eastAsia="Times New Roman"/>
        <w:lang w:val="es-ES"/>
      </w:rPr>
    </w:pPr>
    <w:r w:rsidRPr="00E60534">
      <w:rPr>
        <w:rFonts w:eastAsia="Times New Roman"/>
        <w:lang w:val="es-ES"/>
      </w:rPr>
      <w:t>CBD/NP/MOP/DEC/4/7</w:t>
    </w:r>
  </w:p>
  <w:p w:rsidR="00FD6ACB" w:rsidRPr="00E60534" w:rsidRDefault="00FD6ACB">
    <w:pPr>
      <w:pStyle w:val="Header"/>
      <w:jc w:val="right"/>
      <w:rPr>
        <w:rFonts w:eastAsia="Times New Roman"/>
        <w:lang w:val="es-ES"/>
      </w:rPr>
    </w:pPr>
    <w:r w:rsidRPr="00E60534">
      <w:rPr>
        <w:rFonts w:eastAsia="Times New Roman"/>
        <w:lang w:val="es-ES"/>
      </w:rPr>
      <w:t xml:space="preserve">Página </w:t>
    </w:r>
    <w:r w:rsidRPr="00E60534">
      <w:rPr>
        <w:rFonts w:eastAsia="Times New Roman"/>
        <w:lang w:val="es-ES"/>
      </w:rPr>
      <w:fldChar w:fldCharType="begin"/>
    </w:r>
    <w:r w:rsidRPr="00E60534">
      <w:rPr>
        <w:rFonts w:eastAsia="Times New Roman"/>
        <w:lang w:val="es-ES"/>
      </w:rPr>
      <w:instrText xml:space="preserve"> PAGE   \* MERGEFORMAT </w:instrText>
    </w:r>
    <w:r w:rsidRPr="00E60534">
      <w:rPr>
        <w:rFonts w:eastAsia="Times New Roman"/>
        <w:lang w:val="es-ES"/>
      </w:rPr>
      <w:fldChar w:fldCharType="separate"/>
    </w:r>
    <w:r w:rsidR="00E82943">
      <w:rPr>
        <w:rFonts w:eastAsia="Times New Roman"/>
        <w:noProof/>
        <w:lang w:val="es-ES"/>
      </w:rPr>
      <w:t>3</w:t>
    </w:r>
    <w:r w:rsidRPr="00E60534">
      <w:rPr>
        <w:rFonts w:eastAsia="Times New Roman"/>
        <w:lang w:val="es-ES"/>
      </w:rPr>
      <w:fldChar w:fldCharType="end"/>
    </w:r>
  </w:p>
  <w:p w:rsidR="00FD6ACB" w:rsidRPr="00E60534" w:rsidRDefault="00FD6ACB">
    <w:pPr>
      <w:pStyle w:val="Header"/>
      <w:jc w:val="right"/>
      <w:rPr>
        <w:rFonts w:eastAsia="Times New Roman"/>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pPr>
      <w:rPr>
        <w:rFonts w:hint="default"/>
      </w:rPr>
    </w:lvl>
    <w:lvl w:ilvl="1" w:tplc="561613B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4">
    <w:nsid w:val="3CD46432"/>
    <w:multiLevelType w:val="hybridMultilevel"/>
    <w:tmpl w:val="A6C213B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evenAndOddHeaders/>
  <w:characterSpacingControl w:val="doNotCompress"/>
  <w:doNotValidateAgainstSchema/>
  <w:doNotDemarcateInvalidXml/>
  <w:footnotePr>
    <w:footnote w:id="0"/>
    <w:footnote w:id="1"/>
    <w:footnote w:id="2"/>
  </w:footnotePr>
  <w:endnotePr>
    <w:endnote w:id="0"/>
    <w:endnote w:id="1"/>
    <w:endnote w:id="2"/>
  </w:endnotePr>
  <w:compat/>
  <w:rsids>
    <w:rsidRoot w:val="00C9161D"/>
    <w:rsid w:val="000006E6"/>
    <w:rsid w:val="00005DA7"/>
    <w:rsid w:val="00020A25"/>
    <w:rsid w:val="000217D5"/>
    <w:rsid w:val="00031BEE"/>
    <w:rsid w:val="000343C7"/>
    <w:rsid w:val="00035996"/>
    <w:rsid w:val="0004040A"/>
    <w:rsid w:val="00043D6C"/>
    <w:rsid w:val="00045F1F"/>
    <w:rsid w:val="00067B5D"/>
    <w:rsid w:val="00070D64"/>
    <w:rsid w:val="0007171B"/>
    <w:rsid w:val="00076F6C"/>
    <w:rsid w:val="00084A99"/>
    <w:rsid w:val="0008596C"/>
    <w:rsid w:val="000959FC"/>
    <w:rsid w:val="000A29F6"/>
    <w:rsid w:val="000B41A6"/>
    <w:rsid w:val="000B6861"/>
    <w:rsid w:val="000B6A81"/>
    <w:rsid w:val="000C5CC5"/>
    <w:rsid w:val="000C64C2"/>
    <w:rsid w:val="000C65EE"/>
    <w:rsid w:val="000C691F"/>
    <w:rsid w:val="000C696F"/>
    <w:rsid w:val="000D398A"/>
    <w:rsid w:val="000D63E9"/>
    <w:rsid w:val="000E2720"/>
    <w:rsid w:val="000E2FF9"/>
    <w:rsid w:val="000E673A"/>
    <w:rsid w:val="000F1F5B"/>
    <w:rsid w:val="000F4415"/>
    <w:rsid w:val="000F74F5"/>
    <w:rsid w:val="00100E9C"/>
    <w:rsid w:val="00101853"/>
    <w:rsid w:val="0010393F"/>
    <w:rsid w:val="001047E6"/>
    <w:rsid w:val="00105372"/>
    <w:rsid w:val="001230B7"/>
    <w:rsid w:val="00125018"/>
    <w:rsid w:val="00127429"/>
    <w:rsid w:val="001312AD"/>
    <w:rsid w:val="00131E7A"/>
    <w:rsid w:val="00134846"/>
    <w:rsid w:val="00134ECC"/>
    <w:rsid w:val="00136852"/>
    <w:rsid w:val="0013785B"/>
    <w:rsid w:val="00137B16"/>
    <w:rsid w:val="00156DC9"/>
    <w:rsid w:val="001606F2"/>
    <w:rsid w:val="0016472A"/>
    <w:rsid w:val="00166085"/>
    <w:rsid w:val="00172AF6"/>
    <w:rsid w:val="00176CEE"/>
    <w:rsid w:val="001770A1"/>
    <w:rsid w:val="00186DD8"/>
    <w:rsid w:val="001A7A49"/>
    <w:rsid w:val="001B13FE"/>
    <w:rsid w:val="001B3E1E"/>
    <w:rsid w:val="001B5839"/>
    <w:rsid w:val="001C3534"/>
    <w:rsid w:val="001D1500"/>
    <w:rsid w:val="001E7703"/>
    <w:rsid w:val="0020345A"/>
    <w:rsid w:val="00211B07"/>
    <w:rsid w:val="00212F31"/>
    <w:rsid w:val="00225869"/>
    <w:rsid w:val="00233357"/>
    <w:rsid w:val="00235EB5"/>
    <w:rsid w:val="00243B5B"/>
    <w:rsid w:val="00262DE2"/>
    <w:rsid w:val="00264BE5"/>
    <w:rsid w:val="0026506E"/>
    <w:rsid w:val="00275E11"/>
    <w:rsid w:val="00275FD4"/>
    <w:rsid w:val="002868D8"/>
    <w:rsid w:val="002A6B1D"/>
    <w:rsid w:val="002B3930"/>
    <w:rsid w:val="002C3EEA"/>
    <w:rsid w:val="002C3FF8"/>
    <w:rsid w:val="002C47D2"/>
    <w:rsid w:val="002C4A37"/>
    <w:rsid w:val="002C5C93"/>
    <w:rsid w:val="002D2D7E"/>
    <w:rsid w:val="0030169D"/>
    <w:rsid w:val="003060EB"/>
    <w:rsid w:val="00313116"/>
    <w:rsid w:val="003153EB"/>
    <w:rsid w:val="00317B51"/>
    <w:rsid w:val="00321985"/>
    <w:rsid w:val="00327BBD"/>
    <w:rsid w:val="00330962"/>
    <w:rsid w:val="003349C8"/>
    <w:rsid w:val="003425FD"/>
    <w:rsid w:val="00344EC8"/>
    <w:rsid w:val="00350080"/>
    <w:rsid w:val="00351205"/>
    <w:rsid w:val="00351308"/>
    <w:rsid w:val="00354C8B"/>
    <w:rsid w:val="00360F89"/>
    <w:rsid w:val="00361348"/>
    <w:rsid w:val="00366D09"/>
    <w:rsid w:val="00372F74"/>
    <w:rsid w:val="00375EB6"/>
    <w:rsid w:val="00380AA6"/>
    <w:rsid w:val="00381D61"/>
    <w:rsid w:val="0038320D"/>
    <w:rsid w:val="00386DD9"/>
    <w:rsid w:val="003A031F"/>
    <w:rsid w:val="003A7D7B"/>
    <w:rsid w:val="003B7BB2"/>
    <w:rsid w:val="003C0FCA"/>
    <w:rsid w:val="003C1505"/>
    <w:rsid w:val="003C7266"/>
    <w:rsid w:val="003D7599"/>
    <w:rsid w:val="003F00BB"/>
    <w:rsid w:val="003F0C0E"/>
    <w:rsid w:val="003F35E3"/>
    <w:rsid w:val="003F3B4A"/>
    <w:rsid w:val="003F523C"/>
    <w:rsid w:val="003F7224"/>
    <w:rsid w:val="00400589"/>
    <w:rsid w:val="004041FB"/>
    <w:rsid w:val="004112F4"/>
    <w:rsid w:val="004122B8"/>
    <w:rsid w:val="00414CBC"/>
    <w:rsid w:val="00415E4B"/>
    <w:rsid w:val="00421CFC"/>
    <w:rsid w:val="00421F62"/>
    <w:rsid w:val="00423865"/>
    <w:rsid w:val="00427D21"/>
    <w:rsid w:val="00437535"/>
    <w:rsid w:val="00444041"/>
    <w:rsid w:val="0045027D"/>
    <w:rsid w:val="004516F8"/>
    <w:rsid w:val="0046113C"/>
    <w:rsid w:val="0046422E"/>
    <w:rsid w:val="004644C2"/>
    <w:rsid w:val="00467F9C"/>
    <w:rsid w:val="00467FC7"/>
    <w:rsid w:val="00470E6A"/>
    <w:rsid w:val="0047238C"/>
    <w:rsid w:val="00474AA0"/>
    <w:rsid w:val="00474F5A"/>
    <w:rsid w:val="00482982"/>
    <w:rsid w:val="00484159"/>
    <w:rsid w:val="00494667"/>
    <w:rsid w:val="0049727D"/>
    <w:rsid w:val="004A3B6F"/>
    <w:rsid w:val="004A5B23"/>
    <w:rsid w:val="004B2F21"/>
    <w:rsid w:val="004B2F39"/>
    <w:rsid w:val="004B44DE"/>
    <w:rsid w:val="004C1436"/>
    <w:rsid w:val="004E4435"/>
    <w:rsid w:val="004E65B0"/>
    <w:rsid w:val="004E6D4E"/>
    <w:rsid w:val="004F6129"/>
    <w:rsid w:val="004F70A2"/>
    <w:rsid w:val="005006A1"/>
    <w:rsid w:val="005019DD"/>
    <w:rsid w:val="00501CF5"/>
    <w:rsid w:val="00507BF6"/>
    <w:rsid w:val="00513A08"/>
    <w:rsid w:val="00527333"/>
    <w:rsid w:val="00534681"/>
    <w:rsid w:val="00534D07"/>
    <w:rsid w:val="005414AF"/>
    <w:rsid w:val="005451CD"/>
    <w:rsid w:val="00556878"/>
    <w:rsid w:val="00563442"/>
    <w:rsid w:val="00565B42"/>
    <w:rsid w:val="005754DE"/>
    <w:rsid w:val="00580215"/>
    <w:rsid w:val="005802E8"/>
    <w:rsid w:val="005909AE"/>
    <w:rsid w:val="005921BC"/>
    <w:rsid w:val="00594244"/>
    <w:rsid w:val="00594A57"/>
    <w:rsid w:val="005A04BD"/>
    <w:rsid w:val="005A5B78"/>
    <w:rsid w:val="005A67A7"/>
    <w:rsid w:val="005B23C3"/>
    <w:rsid w:val="005B474A"/>
    <w:rsid w:val="005B4ADC"/>
    <w:rsid w:val="005C4CE6"/>
    <w:rsid w:val="005C532F"/>
    <w:rsid w:val="005C696E"/>
    <w:rsid w:val="005D2749"/>
    <w:rsid w:val="005D502C"/>
    <w:rsid w:val="005D7623"/>
    <w:rsid w:val="005E0ED3"/>
    <w:rsid w:val="005F7951"/>
    <w:rsid w:val="0060447D"/>
    <w:rsid w:val="006122BA"/>
    <w:rsid w:val="006123FD"/>
    <w:rsid w:val="00615DF9"/>
    <w:rsid w:val="00622008"/>
    <w:rsid w:val="006507C7"/>
    <w:rsid w:val="006602ED"/>
    <w:rsid w:val="006605D1"/>
    <w:rsid w:val="00660CB5"/>
    <w:rsid w:val="00672D67"/>
    <w:rsid w:val="006810F3"/>
    <w:rsid w:val="00687DDD"/>
    <w:rsid w:val="006A5753"/>
    <w:rsid w:val="006A6AEE"/>
    <w:rsid w:val="006B07E7"/>
    <w:rsid w:val="006B0C01"/>
    <w:rsid w:val="006B2290"/>
    <w:rsid w:val="006B3A0E"/>
    <w:rsid w:val="006C2002"/>
    <w:rsid w:val="006C3455"/>
    <w:rsid w:val="006E03F0"/>
    <w:rsid w:val="006E1E76"/>
    <w:rsid w:val="006E309F"/>
    <w:rsid w:val="00704380"/>
    <w:rsid w:val="00713143"/>
    <w:rsid w:val="007148B5"/>
    <w:rsid w:val="00717D6D"/>
    <w:rsid w:val="00717D88"/>
    <w:rsid w:val="00720EB1"/>
    <w:rsid w:val="007212FA"/>
    <w:rsid w:val="00721C6E"/>
    <w:rsid w:val="00737F35"/>
    <w:rsid w:val="00741E29"/>
    <w:rsid w:val="00745434"/>
    <w:rsid w:val="0075031B"/>
    <w:rsid w:val="0075557D"/>
    <w:rsid w:val="00756E5B"/>
    <w:rsid w:val="00757C15"/>
    <w:rsid w:val="00761F73"/>
    <w:rsid w:val="0077196D"/>
    <w:rsid w:val="00772B5F"/>
    <w:rsid w:val="0077309C"/>
    <w:rsid w:val="00780012"/>
    <w:rsid w:val="00780078"/>
    <w:rsid w:val="00786056"/>
    <w:rsid w:val="007942D3"/>
    <w:rsid w:val="007A08B3"/>
    <w:rsid w:val="007A0E3B"/>
    <w:rsid w:val="007A2CC4"/>
    <w:rsid w:val="007B0C1D"/>
    <w:rsid w:val="007B2099"/>
    <w:rsid w:val="007B2374"/>
    <w:rsid w:val="007B6C09"/>
    <w:rsid w:val="007B7741"/>
    <w:rsid w:val="007C3807"/>
    <w:rsid w:val="007C5F58"/>
    <w:rsid w:val="007E09DA"/>
    <w:rsid w:val="007E0ECD"/>
    <w:rsid w:val="007E3766"/>
    <w:rsid w:val="007E7DC7"/>
    <w:rsid w:val="007F3309"/>
    <w:rsid w:val="007F723B"/>
    <w:rsid w:val="00800A24"/>
    <w:rsid w:val="00803C44"/>
    <w:rsid w:val="0080793F"/>
    <w:rsid w:val="008103FF"/>
    <w:rsid w:val="008105C9"/>
    <w:rsid w:val="0081316B"/>
    <w:rsid w:val="008178B6"/>
    <w:rsid w:val="00822B76"/>
    <w:rsid w:val="00824099"/>
    <w:rsid w:val="0083009D"/>
    <w:rsid w:val="00857966"/>
    <w:rsid w:val="00857A2C"/>
    <w:rsid w:val="00863E98"/>
    <w:rsid w:val="008655A4"/>
    <w:rsid w:val="00865B74"/>
    <w:rsid w:val="00865BFA"/>
    <w:rsid w:val="00875D0D"/>
    <w:rsid w:val="00876774"/>
    <w:rsid w:val="00876AB9"/>
    <w:rsid w:val="00884A1A"/>
    <w:rsid w:val="008909AA"/>
    <w:rsid w:val="00890FCF"/>
    <w:rsid w:val="008974F0"/>
    <w:rsid w:val="008B012A"/>
    <w:rsid w:val="008B3D44"/>
    <w:rsid w:val="008B779F"/>
    <w:rsid w:val="008C28E2"/>
    <w:rsid w:val="008C36D7"/>
    <w:rsid w:val="008C5745"/>
    <w:rsid w:val="008D0666"/>
    <w:rsid w:val="008D1C86"/>
    <w:rsid w:val="008D3375"/>
    <w:rsid w:val="008D65E0"/>
    <w:rsid w:val="008F0B6A"/>
    <w:rsid w:val="008F1D81"/>
    <w:rsid w:val="008F525B"/>
    <w:rsid w:val="00906E17"/>
    <w:rsid w:val="00910961"/>
    <w:rsid w:val="00912D9F"/>
    <w:rsid w:val="0092334F"/>
    <w:rsid w:val="00930BA1"/>
    <w:rsid w:val="00931173"/>
    <w:rsid w:val="0093169E"/>
    <w:rsid w:val="00937130"/>
    <w:rsid w:val="009438FE"/>
    <w:rsid w:val="00947D47"/>
    <w:rsid w:val="009505C9"/>
    <w:rsid w:val="00950752"/>
    <w:rsid w:val="0095729D"/>
    <w:rsid w:val="00963332"/>
    <w:rsid w:val="0096343C"/>
    <w:rsid w:val="00963CE2"/>
    <w:rsid w:val="00966424"/>
    <w:rsid w:val="00976C30"/>
    <w:rsid w:val="0098743D"/>
    <w:rsid w:val="009A53A2"/>
    <w:rsid w:val="009B1DE5"/>
    <w:rsid w:val="009B592A"/>
    <w:rsid w:val="009B605B"/>
    <w:rsid w:val="009C2DE6"/>
    <w:rsid w:val="009C37A0"/>
    <w:rsid w:val="009F25B4"/>
    <w:rsid w:val="009F38B4"/>
    <w:rsid w:val="009F65E6"/>
    <w:rsid w:val="009F6C12"/>
    <w:rsid w:val="00A03AA0"/>
    <w:rsid w:val="00A1252A"/>
    <w:rsid w:val="00A12EB6"/>
    <w:rsid w:val="00A22223"/>
    <w:rsid w:val="00A268D5"/>
    <w:rsid w:val="00A26B70"/>
    <w:rsid w:val="00A32701"/>
    <w:rsid w:val="00A376B6"/>
    <w:rsid w:val="00A40835"/>
    <w:rsid w:val="00A43233"/>
    <w:rsid w:val="00A4356A"/>
    <w:rsid w:val="00A505FE"/>
    <w:rsid w:val="00A60688"/>
    <w:rsid w:val="00A67EFD"/>
    <w:rsid w:val="00A712A0"/>
    <w:rsid w:val="00A80FA6"/>
    <w:rsid w:val="00A86275"/>
    <w:rsid w:val="00A867EB"/>
    <w:rsid w:val="00A86C72"/>
    <w:rsid w:val="00A877EF"/>
    <w:rsid w:val="00AA0FE0"/>
    <w:rsid w:val="00AA40ED"/>
    <w:rsid w:val="00AA6A7C"/>
    <w:rsid w:val="00AA6F92"/>
    <w:rsid w:val="00AB6934"/>
    <w:rsid w:val="00AC3EE6"/>
    <w:rsid w:val="00AD225E"/>
    <w:rsid w:val="00AD45BD"/>
    <w:rsid w:val="00AD7FFC"/>
    <w:rsid w:val="00AF42DE"/>
    <w:rsid w:val="00AF61D2"/>
    <w:rsid w:val="00B12129"/>
    <w:rsid w:val="00B166CB"/>
    <w:rsid w:val="00B207A2"/>
    <w:rsid w:val="00B2364E"/>
    <w:rsid w:val="00B26ACD"/>
    <w:rsid w:val="00B27340"/>
    <w:rsid w:val="00B31A00"/>
    <w:rsid w:val="00B31B73"/>
    <w:rsid w:val="00B3369F"/>
    <w:rsid w:val="00B360CB"/>
    <w:rsid w:val="00B54F2C"/>
    <w:rsid w:val="00B60755"/>
    <w:rsid w:val="00B63BFB"/>
    <w:rsid w:val="00B7458A"/>
    <w:rsid w:val="00B75694"/>
    <w:rsid w:val="00B81C85"/>
    <w:rsid w:val="00B87D4F"/>
    <w:rsid w:val="00B93352"/>
    <w:rsid w:val="00B94E6C"/>
    <w:rsid w:val="00B955F5"/>
    <w:rsid w:val="00B96B6F"/>
    <w:rsid w:val="00BA1869"/>
    <w:rsid w:val="00BA33A0"/>
    <w:rsid w:val="00BB4606"/>
    <w:rsid w:val="00BB4AEC"/>
    <w:rsid w:val="00BB5CAF"/>
    <w:rsid w:val="00BC5F98"/>
    <w:rsid w:val="00BD3D2B"/>
    <w:rsid w:val="00BD44D5"/>
    <w:rsid w:val="00BE46B2"/>
    <w:rsid w:val="00BE53BC"/>
    <w:rsid w:val="00BE68E6"/>
    <w:rsid w:val="00BF0850"/>
    <w:rsid w:val="00BF11F9"/>
    <w:rsid w:val="00BF147E"/>
    <w:rsid w:val="00C15ED2"/>
    <w:rsid w:val="00C2259D"/>
    <w:rsid w:val="00C23476"/>
    <w:rsid w:val="00C23D2F"/>
    <w:rsid w:val="00C24ACE"/>
    <w:rsid w:val="00C32C1A"/>
    <w:rsid w:val="00C36EC6"/>
    <w:rsid w:val="00C3759C"/>
    <w:rsid w:val="00C443BD"/>
    <w:rsid w:val="00C451C5"/>
    <w:rsid w:val="00C53A05"/>
    <w:rsid w:val="00C575DC"/>
    <w:rsid w:val="00C6465F"/>
    <w:rsid w:val="00C67EED"/>
    <w:rsid w:val="00C7599F"/>
    <w:rsid w:val="00C80BD0"/>
    <w:rsid w:val="00C83F05"/>
    <w:rsid w:val="00C8468A"/>
    <w:rsid w:val="00C86BD8"/>
    <w:rsid w:val="00C9161D"/>
    <w:rsid w:val="00C91750"/>
    <w:rsid w:val="00C926F7"/>
    <w:rsid w:val="00CA0C1D"/>
    <w:rsid w:val="00CC535F"/>
    <w:rsid w:val="00CC7134"/>
    <w:rsid w:val="00CD353B"/>
    <w:rsid w:val="00CE04F5"/>
    <w:rsid w:val="00CE2D2A"/>
    <w:rsid w:val="00CE6A26"/>
    <w:rsid w:val="00CF07F3"/>
    <w:rsid w:val="00CF1848"/>
    <w:rsid w:val="00CF4564"/>
    <w:rsid w:val="00CF7C6C"/>
    <w:rsid w:val="00D12044"/>
    <w:rsid w:val="00D13233"/>
    <w:rsid w:val="00D30264"/>
    <w:rsid w:val="00D32451"/>
    <w:rsid w:val="00D33EFC"/>
    <w:rsid w:val="00D40B25"/>
    <w:rsid w:val="00D40B5A"/>
    <w:rsid w:val="00D40DBC"/>
    <w:rsid w:val="00D44D16"/>
    <w:rsid w:val="00D47D8C"/>
    <w:rsid w:val="00D513A6"/>
    <w:rsid w:val="00D6252A"/>
    <w:rsid w:val="00D76A18"/>
    <w:rsid w:val="00D76B6E"/>
    <w:rsid w:val="00D77B3F"/>
    <w:rsid w:val="00D77EC4"/>
    <w:rsid w:val="00D80849"/>
    <w:rsid w:val="00D82E8F"/>
    <w:rsid w:val="00D8511B"/>
    <w:rsid w:val="00D868AC"/>
    <w:rsid w:val="00D909B7"/>
    <w:rsid w:val="00DA1556"/>
    <w:rsid w:val="00DA41FC"/>
    <w:rsid w:val="00DB205B"/>
    <w:rsid w:val="00DB5FCF"/>
    <w:rsid w:val="00DC2C45"/>
    <w:rsid w:val="00DC5E1D"/>
    <w:rsid w:val="00DD118C"/>
    <w:rsid w:val="00DF1053"/>
    <w:rsid w:val="00DF24F1"/>
    <w:rsid w:val="00DF5204"/>
    <w:rsid w:val="00E059A7"/>
    <w:rsid w:val="00E10FDE"/>
    <w:rsid w:val="00E12E23"/>
    <w:rsid w:val="00E205F7"/>
    <w:rsid w:val="00E2351A"/>
    <w:rsid w:val="00E25661"/>
    <w:rsid w:val="00E302FF"/>
    <w:rsid w:val="00E30E59"/>
    <w:rsid w:val="00E348E3"/>
    <w:rsid w:val="00E3787C"/>
    <w:rsid w:val="00E414A9"/>
    <w:rsid w:val="00E42905"/>
    <w:rsid w:val="00E51103"/>
    <w:rsid w:val="00E52444"/>
    <w:rsid w:val="00E55490"/>
    <w:rsid w:val="00E60534"/>
    <w:rsid w:val="00E61DA5"/>
    <w:rsid w:val="00E62276"/>
    <w:rsid w:val="00E66235"/>
    <w:rsid w:val="00E67E3E"/>
    <w:rsid w:val="00E72004"/>
    <w:rsid w:val="00E80475"/>
    <w:rsid w:val="00E82943"/>
    <w:rsid w:val="00E83C24"/>
    <w:rsid w:val="00E9318D"/>
    <w:rsid w:val="00EA58C8"/>
    <w:rsid w:val="00EB2F96"/>
    <w:rsid w:val="00EB4C79"/>
    <w:rsid w:val="00EC0AA3"/>
    <w:rsid w:val="00EC1F46"/>
    <w:rsid w:val="00EC2BA9"/>
    <w:rsid w:val="00EC3CB1"/>
    <w:rsid w:val="00EC47E4"/>
    <w:rsid w:val="00EC5D57"/>
    <w:rsid w:val="00ED1A4A"/>
    <w:rsid w:val="00EE0B29"/>
    <w:rsid w:val="00EE3E20"/>
    <w:rsid w:val="00EF4181"/>
    <w:rsid w:val="00EF5A32"/>
    <w:rsid w:val="00F06450"/>
    <w:rsid w:val="00F10532"/>
    <w:rsid w:val="00F108D3"/>
    <w:rsid w:val="00F120C3"/>
    <w:rsid w:val="00F134BD"/>
    <w:rsid w:val="00F179DD"/>
    <w:rsid w:val="00F233A5"/>
    <w:rsid w:val="00F23D77"/>
    <w:rsid w:val="00F340E6"/>
    <w:rsid w:val="00F42AC4"/>
    <w:rsid w:val="00F44CF9"/>
    <w:rsid w:val="00F469C1"/>
    <w:rsid w:val="00F47E07"/>
    <w:rsid w:val="00F53193"/>
    <w:rsid w:val="00F5357E"/>
    <w:rsid w:val="00F6586C"/>
    <w:rsid w:val="00F730BE"/>
    <w:rsid w:val="00F80754"/>
    <w:rsid w:val="00F94774"/>
    <w:rsid w:val="00FA0E9A"/>
    <w:rsid w:val="00FA36CA"/>
    <w:rsid w:val="00FA663B"/>
    <w:rsid w:val="00FB0E47"/>
    <w:rsid w:val="00FB1B79"/>
    <w:rsid w:val="00FB20E8"/>
    <w:rsid w:val="00FB78F8"/>
    <w:rsid w:val="00FC25F8"/>
    <w:rsid w:val="00FC53DB"/>
    <w:rsid w:val="00FC6282"/>
    <w:rsid w:val="00FC75C4"/>
    <w:rsid w:val="00FD6ACB"/>
    <w:rsid w:val="00FE094E"/>
    <w:rsid w:val="00FE2131"/>
    <w:rsid w:val="00FF0E35"/>
    <w:rsid w:val="00FF5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footer" w:locked="1"/>
    <w:lsdException w:name="caption" w:locked="1" w:qFormat="1"/>
    <w:lsdException w:name="footnote reference" w:locked="1"/>
    <w:lsdException w:name="annotation reference" w:locked="1"/>
    <w:lsdException w:name="page number" w:locked="1"/>
    <w:lsdException w:name="endnote reference" w:locked="1"/>
    <w:lsdException w:name="endnote text" w:locked="1"/>
    <w:lsdException w:name="toa heading" w:locked="1"/>
    <w:lsdException w:name="Title" w:locked="1" w:qFormat="1"/>
    <w:lsdException w:name="Default Paragraph Font" w:locked="1"/>
    <w:lsdException w:name="Body Text" w:locked="1"/>
    <w:lsdException w:name="Body Text Indent" w:locked="1"/>
    <w:lsdException w:name="Subtitle" w:locked="1" w:qFormat="1"/>
    <w:lsdException w:name="Followed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8Char"/>
    <w:qFormat/>
    <w:pPr>
      <w:jc w:val="both"/>
    </w:pPr>
    <w:rPr>
      <w:rFonts w:eastAsia="MS Mincho" w:cs="Times New Roman"/>
      <w:snapToGrid w:val="0"/>
      <w:sz w:val="22"/>
      <w:szCs w:val="22"/>
      <w:lang w:val="en-GB" w:eastAsia="ko-KR"/>
    </w:rPr>
  </w:style>
  <w:style w:type="paragraph" w:styleId="Heading1">
    <w:name w:val="heading 1"/>
    <w:basedOn w:val="Normal"/>
    <w:next w:val="Heading2"/>
    <w:qFormat/>
    <w:pPr>
      <w:keepNext/>
      <w:tabs>
        <w:tab w:val="left" w:pos="720"/>
      </w:tabs>
      <w:spacing w:before="240" w:after="120"/>
      <w:jc w:val="center"/>
      <w:outlineLvl w:val="0"/>
    </w:pPr>
    <w:rPr>
      <w:b/>
      <w:bCs/>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Times New Roman"/>
      <w:b/>
      <w:bCs/>
      <w:i/>
      <w:iCs/>
    </w:rPr>
  </w:style>
  <w:style w:type="paragraph" w:styleId="Heading5">
    <w:name w:val="heading 5"/>
    <w:basedOn w:val="Normal"/>
    <w:next w:val="Normal"/>
    <w:qFormat/>
    <w:pPr>
      <w:keepNext/>
      <w:numPr>
        <w:ilvl w:val="4"/>
        <w:numId w:val="1"/>
      </w:numPr>
      <w:spacing w:before="120" w:after="120"/>
      <w:jc w:val="left"/>
      <w:outlineLvl w:val="4"/>
    </w:pPr>
    <w:rPr>
      <w:i/>
      <w:iCs/>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bCs/>
      <w:sz w:val="28"/>
      <w:szCs w:val="28"/>
    </w:rPr>
  </w:style>
  <w:style w:type="paragraph" w:styleId="Heading8">
    <w:name w:val="heading 8"/>
    <w:basedOn w:val="Normal"/>
    <w:next w:val="Normal"/>
    <w:qFormat/>
    <w:pPr>
      <w:keepNext/>
      <w:jc w:val="right"/>
      <w:outlineLvl w:val="7"/>
    </w:pPr>
    <w:rPr>
      <w:b/>
      <w:bCs/>
      <w:sz w:val="32"/>
      <w:szCs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rFonts w:eastAsia="MS Mincho" w:cs="Times New Roman"/>
      <w:snapToGrid w:val="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semiHidden/>
    <w:rPr>
      <w:sz w:val="18"/>
      <w:szCs w:val="18"/>
    </w:rPr>
  </w:style>
  <w:style w:type="character" w:customStyle="1" w:styleId="BalloonTextChar">
    <w:name w:val="Balloon Text Char"/>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1"/>
    <w:basedOn w:val="DefaultParagraphFont"/>
    <w:link w:val="Heading2"/>
    <w:semiHidden/>
    <w:rPr>
      <w:color w:val="808080"/>
    </w:rPr>
  </w:style>
  <w:style w:type="paragraph" w:styleId="Header">
    <w:name w:val="header"/>
    <w:basedOn w:val="Normal"/>
    <w:pPr>
      <w:tabs>
        <w:tab w:val="center" w:pos="4320"/>
        <w:tab w:val="right" w:pos="8640"/>
      </w:tabs>
    </w:pPr>
  </w:style>
  <w:style w:type="character" w:customStyle="1" w:styleId="HeaderChar">
    <w:name w:val="Header Char"/>
    <w:basedOn w:val="DefaultParagraphFont"/>
    <w:locked/>
    <w:rPr>
      <w:rFonts w:ascii="Times New Roman" w:hAnsi="Times New Roman" w:cs="Times New Roman"/>
      <w:sz w:val="22"/>
      <w:szCs w:val="22"/>
      <w:lang w:val="en-GB"/>
    </w:rPr>
  </w:style>
  <w:style w:type="paragraph" w:styleId="Footer">
    <w:name w:val="footer"/>
    <w:basedOn w:val="Normal"/>
    <w:pPr>
      <w:tabs>
        <w:tab w:val="center" w:pos="4320"/>
        <w:tab w:val="right" w:pos="8640"/>
      </w:tabs>
      <w:ind w:firstLine="720"/>
      <w:jc w:val="right"/>
    </w:pPr>
  </w:style>
  <w:style w:type="character" w:customStyle="1" w:styleId="FooterChar">
    <w:name w:val="Footer Char"/>
    <w:basedOn w:val="DefaultParagraphFont"/>
    <w:locked/>
    <w:rPr>
      <w:rFonts w:ascii="Times New Roman" w:hAnsi="Times New Roman" w:cs="Times New Roman"/>
      <w:sz w:val="22"/>
      <w:szCs w:val="22"/>
      <w:lang w:val="en-GB"/>
    </w:rPr>
  </w:style>
  <w:style w:type="paragraph" w:customStyle="1" w:styleId="meetingname">
    <w:name w:val="meeting name"/>
    <w:basedOn w:val="Normal"/>
    <w:pPr>
      <w:ind w:left="142" w:right="4218" w:hanging="142"/>
    </w:pPr>
    <w:rPr>
      <w:caps/>
    </w:rPr>
  </w:style>
  <w:style w:type="paragraph" w:styleId="Title">
    <w:name w:val="Title"/>
    <w:basedOn w:val="Normal"/>
    <w:next w:val="Normal"/>
    <w:qFormat/>
    <w:pPr>
      <w:pBdr>
        <w:bottom w:val="single" w:sz="8" w:space="4" w:color="4F81BD"/>
      </w:pBdr>
      <w:spacing w:after="300"/>
    </w:pPr>
    <w:rPr>
      <w:rFonts w:ascii="Calibri" w:eastAsia="Times New Roman" w:hAnsi="Calibri" w:cs="Calibri"/>
      <w:color w:val="17365D"/>
      <w:spacing w:val="5"/>
      <w:kern w:val="28"/>
      <w:sz w:val="52"/>
      <w:szCs w:val="52"/>
    </w:rPr>
  </w:style>
  <w:style w:type="character" w:customStyle="1" w:styleId="TitleChar">
    <w:name w:val="Title Char"/>
    <w:basedOn w:val="DefaultParagraphFont"/>
    <w:locked/>
    <w:rPr>
      <w:rFonts w:ascii="Calibri" w:eastAsia="Times New Roman" w:hAnsi="Calibri" w:cs="Calibri"/>
      <w:color w:val="17365D"/>
      <w:spacing w:val="5"/>
      <w:kern w:val="28"/>
      <w:sz w:val="52"/>
      <w:szCs w:val="52"/>
      <w:lang w:val="en-US"/>
    </w:rPr>
  </w:style>
  <w:style w:type="paragraph" w:styleId="Subtitle">
    <w:name w:val="Subtitle"/>
    <w:basedOn w:val="Normal"/>
    <w:next w:val="Normal"/>
    <w:qFormat/>
    <w:pPr>
      <w:numPr>
        <w:ilvl w:val="1"/>
      </w:numPr>
    </w:pPr>
    <w:rPr>
      <w:rFonts w:ascii="Calibri" w:eastAsia="Times New Roman" w:hAnsi="Calibri" w:cs="Calibri"/>
      <w:i/>
      <w:iCs/>
      <w:color w:val="4F81BD"/>
      <w:spacing w:val="15"/>
      <w:sz w:val="24"/>
      <w:szCs w:val="24"/>
    </w:rPr>
  </w:style>
  <w:style w:type="character" w:customStyle="1" w:styleId="SubtitleChar">
    <w:name w:val="Subtitle Char"/>
    <w:basedOn w:val="DefaultParagraphFont"/>
    <w:locked/>
    <w:rPr>
      <w:rFonts w:ascii="Calibri" w:eastAsia="Times New Roman" w:hAnsi="Calibri" w:cs="Calibri"/>
      <w:i/>
      <w:iCs/>
      <w:color w:val="4F81BD"/>
      <w:spacing w:val="15"/>
      <w:lang w:val="en-US"/>
    </w:rPr>
  </w:style>
  <w:style w:type="character" w:customStyle="1" w:styleId="Heading1Char">
    <w:name w:val="Heading 1 Char"/>
    <w:basedOn w:val="DefaultParagraphFont"/>
    <w:locked/>
    <w:rPr>
      <w:rFonts w:ascii="Times New Roman" w:hAnsi="Times New Roman" w:cs="Times New Roman"/>
      <w:b/>
      <w:bCs/>
      <w:caps/>
      <w:sz w:val="22"/>
      <w:szCs w:val="22"/>
      <w:lang w:val="en-GB"/>
    </w:rPr>
  </w:style>
  <w:style w:type="paragraph" w:styleId="BodyText">
    <w:name w:val="Body Text"/>
    <w:basedOn w:val="Normal"/>
    <w:pPr>
      <w:spacing w:before="120" w:after="120"/>
      <w:ind w:firstLine="720"/>
    </w:pPr>
  </w:style>
  <w:style w:type="character" w:customStyle="1" w:styleId="BalloonTextChar1">
    <w:name w:val="Balloon Text Char1"/>
    <w:basedOn w:val="DefaultParagraphFont"/>
    <w:link w:val="BalloonText"/>
    <w:locked/>
    <w:rPr>
      <w:rFonts w:ascii="Times New Roman" w:hAnsi="Times New Roman" w:cs="Times New Roman"/>
      <w:sz w:val="22"/>
      <w:szCs w:val="22"/>
      <w:lang w:val="en-GB"/>
    </w:rPr>
  </w:style>
  <w:style w:type="paragraph" w:styleId="BodyTextIndent">
    <w:name w:val="Body Text Indent"/>
    <w:basedOn w:val="Normal"/>
    <w:pPr>
      <w:spacing w:before="120" w:after="120"/>
      <w:ind w:left="1440" w:hanging="720"/>
      <w:jc w:val="left"/>
    </w:pPr>
  </w:style>
  <w:style w:type="character" w:customStyle="1" w:styleId="BodyTextIndentChar">
    <w:name w:val="Body Text Indent Char"/>
    <w:basedOn w:val="DefaultParagraphFont"/>
    <w:locked/>
    <w:rPr>
      <w:rFonts w:ascii="Times New Roman" w:hAnsi="Times New Roman" w:cs="Times New Roman"/>
      <w:sz w:val="22"/>
      <w:szCs w:val="22"/>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spacing w:after="120" w:line="240" w:lineRule="exact"/>
    </w:pPr>
  </w:style>
  <w:style w:type="character" w:customStyle="1" w:styleId="CommentTextChar">
    <w:name w:val="Comment Text Char"/>
    <w:basedOn w:val="DefaultParagraphFont"/>
    <w:semiHidden/>
    <w:locked/>
    <w:rPr>
      <w:rFonts w:ascii="Times New Roman" w:hAnsi="Times New Roman" w:cs="Times New Roman"/>
      <w:sz w:val="22"/>
      <w:szCs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semiHidden/>
    <w:locked/>
    <w:rPr>
      <w:rFonts w:ascii="Courier New" w:hAnsi="Courier New" w:cs="Courier New"/>
      <w:sz w:val="22"/>
      <w:szCs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semiHidden/>
    <w:locked/>
    <w:rPr>
      <w:sz w:val="22"/>
      <w:szCs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semiHidden/>
    <w:pPr>
      <w:keepLines/>
      <w:spacing w:after="60"/>
      <w:ind w:firstLine="720"/>
    </w:pPr>
    <w:rPr>
      <w:sz w:val="18"/>
      <w:szCs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ocked/>
    <w:rPr>
      <w:rFonts w:ascii="Times New Roman" w:hAnsi="Times New Roman" w:cs="Times New Roman"/>
      <w:sz w:val="18"/>
      <w:szCs w:val="18"/>
      <w:lang w:val="en-GB"/>
    </w:rPr>
  </w:style>
  <w:style w:type="paragraph" w:customStyle="1" w:styleId="HEADING">
    <w:name w:val="HEADING"/>
    <w:basedOn w:val="Normal"/>
    <w:pPr>
      <w:keepNext/>
      <w:spacing w:before="240" w:after="120"/>
      <w:jc w:val="center"/>
    </w:pPr>
    <w:rPr>
      <w:b/>
      <w:bCs/>
      <w:caps/>
    </w:rPr>
  </w:style>
  <w:style w:type="character" w:customStyle="1" w:styleId="Heading2Char">
    <w:name w:val="Heading 2 Char"/>
    <w:basedOn w:val="DefaultParagraphFont"/>
    <w:locked/>
    <w:rPr>
      <w:rFonts w:ascii="Times New Roman" w:hAnsi="Times New Roman" w:cs="Times New Roman"/>
      <w:b/>
      <w:bCs/>
      <w:sz w:val="22"/>
      <w:szCs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Heading3Char">
    <w:name w:val="Heading 3 Char"/>
    <w:basedOn w:val="DefaultParagraphFont"/>
    <w:locked/>
    <w:rPr>
      <w:rFonts w:ascii="Times New Roman" w:hAnsi="Times New Roman" w:cs="Times New Roman"/>
      <w:i/>
      <w:iCs/>
      <w:sz w:val="22"/>
      <w:szCs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Heading4Char">
    <w:name w:val="Heading 4 Char"/>
    <w:basedOn w:val="DefaultParagraphFont"/>
    <w:locked/>
    <w:rPr>
      <w:rFonts w:ascii="Times New Roman" w:eastAsia="Times New Roman" w:hAnsi="Times New Roman" w:cs="Times New Roman"/>
      <w:b/>
      <w:bCs/>
      <w:i/>
      <w:iCs/>
      <w:sz w:val="22"/>
      <w:szCs w:val="22"/>
      <w:lang w:val="en-GB"/>
    </w:rPr>
  </w:style>
  <w:style w:type="paragraph" w:customStyle="1" w:styleId="Heading4indent">
    <w:name w:val="Heading 4 indent"/>
    <w:basedOn w:val="Heading4"/>
    <w:pPr>
      <w:ind w:left="720"/>
      <w:outlineLvl w:val="9"/>
    </w:pPr>
  </w:style>
  <w:style w:type="character" w:customStyle="1" w:styleId="Heading5Char">
    <w:name w:val="Heading 5 Char"/>
    <w:basedOn w:val="DefaultParagraphFont"/>
    <w:locked/>
    <w:rPr>
      <w:rFonts w:ascii="Times New Roman" w:hAnsi="Times New Roman" w:cs="Times New Roman"/>
      <w:i/>
      <w:iCs/>
      <w:sz w:val="26"/>
      <w:szCs w:val="26"/>
      <w:lang w:val="en-CA"/>
    </w:rPr>
  </w:style>
  <w:style w:type="character" w:customStyle="1" w:styleId="Heading6Char">
    <w:name w:val="Heading 6 Char"/>
    <w:basedOn w:val="DefaultParagraphFont"/>
    <w:locked/>
    <w:rPr>
      <w:rFonts w:ascii="Times New Roman" w:hAnsi="Times New Roman" w:cs="Times New Roman"/>
      <w:sz w:val="22"/>
      <w:szCs w:val="22"/>
      <w:u w:val="single"/>
      <w:lang w:val="en-GB"/>
    </w:rPr>
  </w:style>
  <w:style w:type="character" w:customStyle="1" w:styleId="Heading7Char">
    <w:name w:val="Heading 7 Char"/>
    <w:basedOn w:val="DefaultParagraphFont"/>
    <w:locked/>
    <w:rPr>
      <w:rFonts w:ascii="Times New Roman" w:hAnsi="Times New Roman" w:cs="Times New Roman"/>
      <w:b/>
      <w:bCs/>
      <w:sz w:val="28"/>
      <w:szCs w:val="28"/>
      <w:lang w:val="en-GB"/>
    </w:rPr>
  </w:style>
  <w:style w:type="character" w:customStyle="1" w:styleId="Heading8Char">
    <w:name w:val="Heading 8 Char"/>
    <w:basedOn w:val="DefaultParagraphFont"/>
    <w:locked/>
    <w:rPr>
      <w:rFonts w:ascii="Times New Roman" w:hAnsi="Times New Roman" w:cs="Times New Roman"/>
      <w:b/>
      <w:bCs/>
      <w:sz w:val="32"/>
      <w:szCs w:val="32"/>
      <w:lang w:val="en-GB"/>
    </w:rPr>
  </w:style>
  <w:style w:type="character" w:customStyle="1" w:styleId="Heading9Char">
    <w:name w:val="Heading 9 Char"/>
    <w:basedOn w:val="DefaultParagraphFont"/>
    <w:locked/>
    <w:rPr>
      <w:rFonts w:ascii="Times New Roman" w:hAnsi="Times New Roman" w:cs="Times New Roman"/>
      <w:i/>
      <w:iCs/>
      <w:sz w:val="22"/>
      <w:szCs w:val="22"/>
      <w:lang w:val="en-GB"/>
    </w:rPr>
  </w:style>
  <w:style w:type="character" w:styleId="PageNumber">
    <w:name w:val="page number"/>
    <w:basedOn w:val="DefaultParagraphFont"/>
    <w:rPr>
      <w:rFonts w:ascii="Times New Roman" w:hAnsi="Times New Roman" w:cs="Times New Roman"/>
      <w:sz w:val="22"/>
      <w:szCs w:val="22"/>
    </w:rPr>
  </w:style>
  <w:style w:type="paragraph" w:customStyle="1" w:styleId="Para1">
    <w:name w:val="Para1"/>
    <w:basedOn w:val="Normal"/>
    <w:pPr>
      <w:numPr>
        <w:numId w:val="4"/>
      </w:numPr>
      <w:tabs>
        <w:tab w:val="clear" w:pos="360"/>
      </w:tabs>
      <w:spacing w:before="120" w:after="120"/>
    </w:p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iCs w:val="0"/>
      <w:sz w:val="18"/>
      <w:szCs w:val="18"/>
    </w:rPr>
  </w:style>
  <w:style w:type="character" w:customStyle="1" w:styleId="StyleFootnoteReferenceNounderline">
    <w:name w:val="Style Footnote Reference + No underline"/>
    <w:rPr>
      <w:sz w:val="18"/>
      <w:szCs w:val="18"/>
      <w:u w:val="none"/>
      <w:vertAlign w:val="baseline"/>
    </w:rPr>
  </w:style>
  <w:style w:type="paragraph" w:customStyle="1" w:styleId="tabletitle">
    <w:name w:val="table title"/>
    <w:basedOn w:val="Heading2"/>
    <w:pPr>
      <w:jc w:val="left"/>
      <w:outlineLvl w:val="9"/>
    </w:pPr>
    <w:rPr>
      <w:i/>
      <w:iCs/>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lang w:val="en-U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szCs w:val="18"/>
      <w:u w:val="single"/>
    </w:rPr>
  </w:style>
  <w:style w:type="character" w:customStyle="1" w:styleId="Para1Char">
    <w:name w:val="Para1 Char"/>
    <w:locked/>
    <w:rPr>
      <w:rFonts w:ascii="Times New Roman" w:hAnsi="Times New Roman" w:cs="Times New Roman"/>
      <w:snapToGrid w:val="0"/>
      <w:sz w:val="18"/>
      <w:szCs w:val="18"/>
      <w:lang w:val="en-GB"/>
    </w:rPr>
  </w:style>
  <w:style w:type="paragraph" w:customStyle="1" w:styleId="CBD-Doc-Type">
    <w:name w:val="CBD-Doc-Type"/>
    <w:basedOn w:val="Normal"/>
    <w:pPr>
      <w:keepLines/>
      <w:spacing w:before="240" w:after="120"/>
    </w:pPr>
    <w:rPr>
      <w:b/>
      <w:bCs/>
      <w:i/>
      <w:iCs/>
      <w:sz w:val="24"/>
      <w:szCs w:val="24"/>
    </w:rPr>
  </w:style>
  <w:style w:type="paragraph" w:customStyle="1" w:styleId="CBD-Doc">
    <w:name w:val="CBD-Doc"/>
    <w:basedOn w:val="Normal"/>
    <w:pPr>
      <w:keepLines/>
      <w:numPr>
        <w:numId w:val="9"/>
      </w:numPr>
      <w:spacing w:after="120"/>
    </w:pPr>
  </w:style>
  <w:style w:type="paragraph" w:customStyle="1"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pPr>
      <w:ind w:left="720"/>
    </w:pPr>
  </w:style>
  <w:style w:type="paragraph" w:styleId="Caption">
    <w:name w:val="caption"/>
    <w:basedOn w:val="Normal"/>
    <w:next w:val="Normal"/>
    <w:qFormat/>
    <w:pPr>
      <w:keepNext/>
      <w:keepLines/>
      <w:spacing w:after="200"/>
    </w:pPr>
    <w:rPr>
      <w:b/>
      <w:bCs/>
    </w:rPr>
  </w:style>
  <w:style w:type="paragraph" w:customStyle="1" w:styleId="Style1">
    <w:name w:val="Style1"/>
    <w:basedOn w:val="Heading2"/>
    <w:rPr>
      <w:i/>
      <w:iC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pPr>
      <w:spacing w:after="160" w:line="240" w:lineRule="exact"/>
      <w:jc w:val="left"/>
    </w:pPr>
    <w:rPr>
      <w:vertAlign w:val="superscript"/>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ocked/>
    <w:rPr>
      <w:rFonts w:ascii="Times New Roman" w:hAnsi="Times New Roman" w:cs="Times New Roman"/>
      <w:sz w:val="22"/>
      <w:szCs w:val="22"/>
      <w:lang w:val="en-GB"/>
    </w:rPr>
  </w:style>
  <w:style w:type="paragraph" w:styleId="Revision">
    <w:name w:val="Revision"/>
    <w:hidden/>
    <w:semiHidden/>
    <w:rPr>
      <w:rFonts w:eastAsia="MS Mincho" w:cs="Times New Roman"/>
      <w:snapToGrid w:val="0"/>
      <w:sz w:val="22"/>
      <w:szCs w:val="22"/>
      <w:lang w:val="en-GB" w:eastAsia="ko-KR"/>
    </w:rPr>
  </w:style>
  <w:style w:type="paragraph" w:styleId="CommentSubject">
    <w:name w:val="annotation subject"/>
    <w:basedOn w:val="CommentText"/>
    <w:next w:val="CommentText"/>
    <w:semiHidden/>
    <w:pPr>
      <w:spacing w:after="0" w:line="240" w:lineRule="auto"/>
    </w:pPr>
    <w:rPr>
      <w:b/>
      <w:bCs/>
      <w:sz w:val="20"/>
      <w:szCs w:val="20"/>
    </w:rPr>
  </w:style>
  <w:style w:type="character" w:customStyle="1" w:styleId="CommentSubjectChar">
    <w:name w:val="Comment Subject Char"/>
    <w:basedOn w:val="CommentTextChar"/>
    <w:semiHidden/>
    <w:locked/>
    <w:rPr>
      <w:b/>
      <w:bCs/>
      <w:sz w:val="20"/>
      <w:szCs w:val="20"/>
    </w:rPr>
  </w:style>
  <w:style w:type="character" w:customStyle="1" w:styleId="UnresolvedMention">
    <w:name w:val="Unresolved Mention"/>
    <w:basedOn w:val="DefaultParagraphFont"/>
    <w:semiHidden/>
    <w:rPr>
      <w:color w:val="auto"/>
      <w:shd w:val="clear" w:color="auto" w:fill="auto"/>
    </w:rPr>
  </w:style>
  <w:style w:type="paragraph" w:styleId="NormalWeb">
    <w:name w:val="Normal (Web)"/>
    <w:basedOn w:val="Normal"/>
    <w:pPr>
      <w:spacing w:before="100" w:beforeAutospacing="1" w:after="100" w:afterAutospacing="1"/>
      <w:jc w:val="left"/>
    </w:pPr>
    <w:rPr>
      <w:sz w:val="24"/>
      <w:szCs w:val="24"/>
      <w:lang w:val="en-US"/>
    </w:rPr>
  </w:style>
  <w:style w:type="character" w:customStyle="1" w:styleId="cf01">
    <w:name w:val="cf01"/>
    <w:basedOn w:val="DefaultParagraphFont"/>
    <w:rPr>
      <w:rFonts w:ascii="Times New Roman" w:hAnsi="Times New Roman" w:cs="Times New Roman"/>
      <w:sz w:val="18"/>
      <w:szCs w:val="18"/>
      <w:shd w:val="clear" w:color="auto" w:fill="FFFF00"/>
    </w:rPr>
  </w:style>
  <w:style w:type="character" w:customStyle="1" w:styleId="cf21">
    <w:name w:val="cf21"/>
    <w:basedOn w:val="DefaultParagraphFont"/>
    <w:rPr>
      <w:rFonts w:ascii="Times New Roman" w:hAnsi="Times New Roman" w:cs="Times New Roman"/>
      <w:color w:val="0000FF"/>
      <w:sz w:val="18"/>
      <w:szCs w:val="18"/>
      <w:u w:val="single"/>
      <w:shd w:val="clear" w:color="auto" w:fill="FFFF00"/>
    </w:rPr>
  </w:style>
  <w:style w:type="character" w:customStyle="1" w:styleId="cf31">
    <w:name w:val="cf31"/>
    <w:basedOn w:val="DefaultParagraphFont"/>
    <w:rPr>
      <w:rFonts w:ascii="Times New Roman" w:hAnsi="Times New Roman" w:cs="Times New Roman"/>
      <w:sz w:val="18"/>
      <w:szCs w:val="18"/>
      <w:shd w:val="clear" w:color="auto" w:fill="FFFF00"/>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abs/doc/cepa-toolki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1464</Words>
  <Characters>7965</Characters>
  <Application>Microsoft Office Word</Application>
  <DocSecurity>0</DocSecurity>
  <Lines>130</Lines>
  <Paragraphs>53</Paragraphs>
  <ScaleCrop>false</ScaleCrop>
  <HeadingPairs>
    <vt:vector size="2" baseType="variant">
      <vt:variant>
        <vt:lpstr>Title</vt:lpstr>
      </vt:variant>
      <vt:variant>
        <vt:i4>1</vt:i4>
      </vt:variant>
    </vt:vector>
  </HeadingPairs>
  <TitlesOfParts>
    <vt:vector size="1" baseType="lpstr">
      <vt:lpstr>NP-4/7.	Measures to assist in capacity-building and development (Article 22) and awareness-raising (Article 21)</vt:lpstr>
    </vt:vector>
  </TitlesOfParts>
  <Company>SCBD</Company>
  <LinksUpToDate>false</LinksUpToDate>
  <CharactersWithSpaces>9376</CharactersWithSpaces>
  <SharedDoc>false</SharedDoc>
  <HLinks>
    <vt:vector size="6" baseType="variant">
      <vt:variant>
        <vt:i4>6750261</vt:i4>
      </vt:variant>
      <vt:variant>
        <vt:i4>0</vt:i4>
      </vt:variant>
      <vt:variant>
        <vt:i4>0</vt:i4>
      </vt:variant>
      <vt:variant>
        <vt:i4>5</vt:i4>
      </vt:variant>
      <vt:variant>
        <vt:lpwstr>https://www.cbd.int/abs/doc/cepa-toolkit-es.pdf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NP-4/7.	Measures to assist in capacity-building and development (Article 22) and awareness-raising (Article 21)</dc:title>
  <dc:subject>CBD/NP/MOP/DEC/4/7</dc:subject>
  <dc:creator>SCBD</dc:creator>
  <cp:keywords>Decision adopted by the Parties to the Nagoya Protocol on Access and Benefit-sharing</cp:keywords>
  <cp:lastModifiedBy>Laura Perez</cp:lastModifiedBy>
  <cp:revision>3</cp:revision>
  <cp:lastPrinted>2023-02-10T00:43:00Z</cp:lastPrinted>
  <dcterms:created xsi:type="dcterms:W3CDTF">2023-02-10T14:24:00Z</dcterms:created>
  <dcterms:modified xsi:type="dcterms:W3CDTF">2023-02-10T14:45:00Z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SharedWithUsers">
    <vt:lpwstr>14;#Kristina Taboulchanas;#427;#Regina Kipper</vt:lpwstr>
  </property>
</Properties>
</file>