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309593D1" w:rsidR="008E5D2E" w:rsidRPr="008E5D2E" w:rsidRDefault="00B80DC2"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465B5639" w:rsidR="008E5D2E" w:rsidRPr="008E5D2E" w:rsidRDefault="00000000"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Content>
                <w:r w:rsidR="00A15A12">
                  <w:rPr>
                    <w:sz w:val="22"/>
                  </w:rPr>
                  <w:t>CBD/NP/MOP/</w:t>
                </w:r>
                <w:r w:rsidR="00B80DC2">
                  <w:rPr>
                    <w:sz w:val="22"/>
                  </w:rPr>
                  <w:t>DEC</w:t>
                </w:r>
                <w:r w:rsidR="00A15A12">
                  <w:rPr>
                    <w:sz w:val="22"/>
                  </w:rPr>
                  <w:t>/</w:t>
                </w:r>
                <w:r w:rsidR="00B80DC2">
                  <w:rPr>
                    <w:sz w:val="22"/>
                  </w:rPr>
                  <w:t>4/6</w:t>
                </w:r>
              </w:sdtContent>
            </w:sdt>
          </w:p>
          <w:p w14:paraId="031AAF7B" w14:textId="290A5051" w:rsidR="008E5D2E" w:rsidRPr="008E5D2E" w:rsidRDefault="00A15A12" w:rsidP="008E5D2E">
            <w:pPr>
              <w:bidi w:val="0"/>
              <w:spacing w:line="240" w:lineRule="auto"/>
              <w:jc w:val="left"/>
              <w:rPr>
                <w:sz w:val="22"/>
              </w:rPr>
            </w:pPr>
            <w:r>
              <w:rPr>
                <w:sz w:val="22"/>
              </w:rPr>
              <w:t>19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3BB2B630" w14:textId="77777777" w:rsidR="009A11D0" w:rsidRPr="004761A2" w:rsidRDefault="009A11D0" w:rsidP="009A11D0">
      <w:pPr>
        <w:ind w:firstLine="180"/>
        <w:rPr>
          <w:b/>
          <w:bCs/>
          <w:rtl/>
        </w:rPr>
      </w:pPr>
      <w:r w:rsidRPr="004761A2">
        <w:rPr>
          <w:b/>
          <w:bCs/>
          <w:rtl/>
        </w:rPr>
        <w:t xml:space="preserve">مؤتمر الأطراف في الاتفاقية المتعلقة بالتنوع البيولوجي </w:t>
      </w:r>
    </w:p>
    <w:p w14:paraId="52041F89" w14:textId="77777777" w:rsidR="009A11D0" w:rsidRPr="004761A2" w:rsidRDefault="009A11D0" w:rsidP="009A11D0">
      <w:pPr>
        <w:ind w:firstLine="180"/>
        <w:rPr>
          <w:b/>
          <w:bCs/>
          <w:rtl/>
        </w:rPr>
      </w:pPr>
      <w:r w:rsidRPr="004761A2">
        <w:rPr>
          <w:b/>
          <w:bCs/>
          <w:rtl/>
        </w:rPr>
        <w:t xml:space="preserve">العامل كاجتماع للأطراف في بروتوكول ناغويا بشأن </w:t>
      </w:r>
    </w:p>
    <w:p w14:paraId="033AAB48" w14:textId="77777777" w:rsidR="009A11D0" w:rsidRPr="004761A2" w:rsidRDefault="009A11D0" w:rsidP="009A11D0">
      <w:pPr>
        <w:ind w:firstLine="180"/>
        <w:rPr>
          <w:b/>
          <w:bCs/>
          <w:rtl/>
        </w:rPr>
      </w:pPr>
      <w:r w:rsidRPr="004761A2">
        <w:rPr>
          <w:b/>
          <w:bCs/>
          <w:rtl/>
        </w:rPr>
        <w:t xml:space="preserve">الحصول على الموارد الجينية والتقاسم العادل </w:t>
      </w:r>
    </w:p>
    <w:p w14:paraId="7CC99AD5" w14:textId="77777777" w:rsidR="009A11D0" w:rsidRPr="004761A2" w:rsidRDefault="009A11D0" w:rsidP="009A11D0">
      <w:pPr>
        <w:ind w:firstLine="180"/>
        <w:rPr>
          <w:rtl/>
        </w:rPr>
      </w:pPr>
      <w:r w:rsidRPr="004761A2">
        <w:rPr>
          <w:b/>
          <w:bCs/>
          <w:rtl/>
        </w:rPr>
        <w:t>والمنصف للمنافع الناشئة عن استخدامها</w:t>
      </w:r>
    </w:p>
    <w:p w14:paraId="5D45C7A1" w14:textId="77777777" w:rsidR="009A11D0" w:rsidRPr="004761A2" w:rsidRDefault="009A11D0" w:rsidP="009A11D0">
      <w:pPr>
        <w:rPr>
          <w:rtl/>
        </w:rPr>
      </w:pPr>
      <w:r w:rsidRPr="004761A2">
        <w:rPr>
          <w:rFonts w:hint="cs"/>
          <w:rtl/>
        </w:rPr>
        <w:t xml:space="preserve">الاجتماع الرابع </w:t>
      </w:r>
      <w:r w:rsidRPr="004761A2">
        <w:rPr>
          <w:rtl/>
        </w:rPr>
        <w:t>–</w:t>
      </w:r>
      <w:r w:rsidRPr="004761A2">
        <w:rPr>
          <w:rFonts w:hint="cs"/>
          <w:rtl/>
        </w:rPr>
        <w:t xml:space="preserve"> الجزء الثاني</w:t>
      </w:r>
    </w:p>
    <w:p w14:paraId="59084BC5" w14:textId="77777777" w:rsidR="009A11D0" w:rsidRPr="004761A2" w:rsidRDefault="009A11D0" w:rsidP="009A11D0">
      <w:pPr>
        <w:rPr>
          <w:rtl/>
        </w:rPr>
      </w:pPr>
      <w:r w:rsidRPr="004761A2">
        <w:rPr>
          <w:rFonts w:hint="cs"/>
          <w:rtl/>
        </w:rPr>
        <w:t>مونتريال،</w:t>
      </w:r>
      <w:r w:rsidRPr="004761A2">
        <w:rPr>
          <w:rFonts w:hint="cs"/>
          <w:rtl/>
          <w:lang w:bidi="ar-EG"/>
        </w:rPr>
        <w:t xml:space="preserve"> كندا،</w:t>
      </w:r>
      <w:r w:rsidRPr="004761A2">
        <w:rPr>
          <w:rFonts w:hint="cs"/>
          <w:rtl/>
        </w:rPr>
        <w:t xml:space="preserve"> 7-19 ديسمبر/كانون الأول 2022</w:t>
      </w:r>
    </w:p>
    <w:p w14:paraId="41D5926D" w14:textId="33285ADC" w:rsidR="009A11D0" w:rsidRPr="004761A2" w:rsidRDefault="009A11D0" w:rsidP="009A11D0">
      <w:pPr>
        <w:rPr>
          <w:rtl/>
        </w:rPr>
      </w:pPr>
      <w:r w:rsidRPr="004761A2">
        <w:rPr>
          <w:rFonts w:hint="cs"/>
          <w:rtl/>
        </w:rPr>
        <w:t xml:space="preserve">البند </w:t>
      </w:r>
      <w:r w:rsidR="00A15A12">
        <w:rPr>
          <w:rFonts w:hint="cs"/>
          <w:rtl/>
        </w:rPr>
        <w:t>14</w:t>
      </w:r>
      <w:r w:rsidRPr="004761A2">
        <w:rPr>
          <w:rFonts w:hint="cs"/>
          <w:rtl/>
        </w:rPr>
        <w:t xml:space="preserve"> من جدول الأعمال</w:t>
      </w:r>
    </w:p>
    <w:p w14:paraId="1C847FC1" w14:textId="77777777" w:rsidR="009C0041" w:rsidRDefault="009C0041" w:rsidP="009C0041">
      <w:pPr>
        <w:spacing w:after="120"/>
        <w:jc w:val="center"/>
        <w:rPr>
          <w:b/>
          <w:bCs/>
          <w:rtl/>
          <w:lang w:val="en-GB"/>
        </w:rPr>
      </w:pPr>
    </w:p>
    <w:p w14:paraId="17C299D2" w14:textId="16D4C637" w:rsidR="00B80DC2" w:rsidRDefault="00B80DC2" w:rsidP="00A15A12">
      <w:pPr>
        <w:spacing w:before="120" w:after="120"/>
        <w:jc w:val="center"/>
        <w:rPr>
          <w:rFonts w:hint="cs"/>
          <w:b/>
          <w:bCs/>
          <w:sz w:val="28"/>
          <w:szCs w:val="28"/>
        </w:rPr>
      </w:pPr>
      <w:r>
        <w:rPr>
          <w:rFonts w:hint="cs"/>
          <w:b/>
          <w:bCs/>
          <w:sz w:val="28"/>
          <w:szCs w:val="28"/>
          <w:rtl/>
        </w:rPr>
        <w:t xml:space="preserve">مقرر اعتمدته الأطراف في بروتوكول </w:t>
      </w:r>
      <w:proofErr w:type="spellStart"/>
      <w:r>
        <w:rPr>
          <w:rFonts w:hint="cs"/>
          <w:b/>
          <w:bCs/>
          <w:sz w:val="28"/>
          <w:szCs w:val="28"/>
          <w:rtl/>
        </w:rPr>
        <w:t>ناغويا</w:t>
      </w:r>
      <w:proofErr w:type="spellEnd"/>
      <w:r>
        <w:rPr>
          <w:rFonts w:hint="cs"/>
          <w:b/>
          <w:bCs/>
          <w:sz w:val="28"/>
          <w:szCs w:val="28"/>
          <w:rtl/>
        </w:rPr>
        <w:t xml:space="preserve"> بشأن الحصول وتقاسم المنافع</w:t>
      </w:r>
    </w:p>
    <w:p w14:paraId="410F3E2A" w14:textId="126BD958" w:rsidR="00A15A12" w:rsidRPr="00B80DC2" w:rsidRDefault="00B80DC2" w:rsidP="00A15A12">
      <w:pPr>
        <w:spacing w:before="120" w:after="120"/>
        <w:jc w:val="center"/>
        <w:rPr>
          <w:b/>
          <w:bCs/>
          <w:rtl/>
          <w:lang w:bidi="ar-EG"/>
        </w:rPr>
      </w:pPr>
      <w:r w:rsidRPr="00B80DC2">
        <w:rPr>
          <w:b/>
          <w:bCs/>
          <w:lang w:bidi="ar-EG"/>
        </w:rPr>
        <w:t>NP-4/6</w:t>
      </w:r>
      <w:r w:rsidRPr="00B80DC2">
        <w:rPr>
          <w:b/>
          <w:bCs/>
          <w:rtl/>
          <w:lang w:bidi="ar-EG"/>
        </w:rPr>
        <w:tab/>
      </w:r>
      <w:r w:rsidR="00A15A12" w:rsidRPr="00B80DC2">
        <w:rPr>
          <w:b/>
          <w:bCs/>
          <w:rtl/>
          <w:lang w:bidi="ar-EG"/>
        </w:rPr>
        <w:t>معلومات التسلسل الرقمي بشأن الموارد الجينية</w:t>
      </w:r>
    </w:p>
    <w:p w14:paraId="6085ACA6" w14:textId="77777777" w:rsidR="00A15A12" w:rsidRPr="001038D1" w:rsidRDefault="00A15A12" w:rsidP="00A15A12">
      <w:pPr>
        <w:suppressLineNumbers/>
        <w:suppressAutoHyphens/>
        <w:kinsoku w:val="0"/>
        <w:overflowPunct w:val="0"/>
        <w:autoSpaceDE w:val="0"/>
        <w:autoSpaceDN w:val="0"/>
        <w:adjustRightInd w:val="0"/>
        <w:snapToGrid w:val="0"/>
        <w:spacing w:after="120"/>
        <w:ind w:left="713" w:firstLine="720"/>
        <w:rPr>
          <w:i/>
          <w:iCs/>
          <w:snapToGrid w:val="0"/>
          <w:kern w:val="22"/>
          <w:lang w:val="en-CA"/>
        </w:rPr>
      </w:pPr>
      <w:r w:rsidRPr="00CD5E34">
        <w:rPr>
          <w:rFonts w:hint="cs"/>
          <w:i/>
          <w:iCs/>
          <w:snapToGrid w:val="0"/>
          <w:kern w:val="22"/>
          <w:rtl/>
        </w:rPr>
        <w:t>إن مؤتمر الأطراف العامل كاجتماع للأطراف في بروتوكول ناغويا</w:t>
      </w:r>
      <w:r>
        <w:rPr>
          <w:rFonts w:hint="cs"/>
          <w:i/>
          <w:iCs/>
          <w:snapToGrid w:val="0"/>
          <w:kern w:val="22"/>
          <w:rtl/>
        </w:rPr>
        <w:t>،</w:t>
      </w:r>
    </w:p>
    <w:p w14:paraId="033D45E2" w14:textId="77777777" w:rsidR="00A15A12" w:rsidRPr="00C23FA5" w:rsidRDefault="00A15A12" w:rsidP="00A15A12">
      <w:pPr>
        <w:spacing w:after="120"/>
        <w:ind w:firstLine="720"/>
        <w:jc w:val="both"/>
        <w:rPr>
          <w:rtl/>
        </w:rPr>
      </w:pPr>
      <w:r w:rsidRPr="00C23FA5">
        <w:rPr>
          <w:i/>
          <w:iCs/>
          <w:rtl/>
        </w:rPr>
        <w:t>إذ يشير</w:t>
      </w:r>
      <w:r w:rsidRPr="00C23FA5">
        <w:rPr>
          <w:rtl/>
        </w:rPr>
        <w:t xml:space="preserve"> إلى المقرر </w:t>
      </w:r>
      <w:r w:rsidRPr="00A15A12">
        <w:rPr>
          <w:sz w:val="22"/>
          <w:szCs w:val="28"/>
        </w:rPr>
        <w:t>NP-3/12</w:t>
      </w:r>
      <w:r>
        <w:rPr>
          <w:rFonts w:hint="cs"/>
          <w:rtl/>
        </w:rPr>
        <w:t>،</w:t>
      </w:r>
    </w:p>
    <w:p w14:paraId="60AEAB6B" w14:textId="5BC1AD77" w:rsidR="00A15A12" w:rsidRPr="00C23FA5" w:rsidRDefault="00A15A12" w:rsidP="00A15A12">
      <w:pPr>
        <w:numPr>
          <w:ilvl w:val="0"/>
          <w:numId w:val="38"/>
        </w:numPr>
        <w:spacing w:after="120"/>
        <w:ind w:left="0" w:firstLine="720"/>
        <w:jc w:val="both"/>
        <w:rPr>
          <w:rtl/>
        </w:rPr>
      </w:pPr>
      <w:r w:rsidRPr="00C23FA5">
        <w:rPr>
          <w:i/>
          <w:iCs/>
          <w:rtl/>
        </w:rPr>
        <w:t>يرحب</w:t>
      </w:r>
      <w:r w:rsidRPr="00C23FA5">
        <w:rPr>
          <w:rtl/>
        </w:rPr>
        <w:t xml:space="preserve"> بنتائج مداولات الفريق العامل المفتوح العضوية المعني بالإطار العالمي للتنوع البيولوجي لما بعد عام</w:t>
      </w:r>
      <w:r w:rsidR="00FC4990">
        <w:rPr>
          <w:rFonts w:hint="cs"/>
          <w:rtl/>
        </w:rPr>
        <w:t> </w:t>
      </w:r>
      <w:r w:rsidRPr="00C23FA5">
        <w:rPr>
          <w:rtl/>
        </w:rPr>
        <w:t xml:space="preserve">2020 </w:t>
      </w:r>
      <w:r>
        <w:rPr>
          <w:rFonts w:hint="cs"/>
          <w:rtl/>
        </w:rPr>
        <w:t>المتعلقة ب</w:t>
      </w:r>
      <w:r w:rsidRPr="00C23FA5">
        <w:rPr>
          <w:rtl/>
        </w:rPr>
        <w:t>معلومات التسلسل الرقمي بشأن الموارد الجينية</w:t>
      </w:r>
      <w:r>
        <w:rPr>
          <w:rtl/>
        </w:rPr>
        <w:t>؛</w:t>
      </w:r>
    </w:p>
    <w:p w14:paraId="27F30A2E" w14:textId="30288945" w:rsidR="00A15A12" w:rsidRPr="00C23FA5" w:rsidRDefault="00A15A12" w:rsidP="00A15A12">
      <w:pPr>
        <w:numPr>
          <w:ilvl w:val="0"/>
          <w:numId w:val="38"/>
        </w:numPr>
        <w:spacing w:after="120"/>
        <w:ind w:left="0" w:firstLine="720"/>
        <w:jc w:val="both"/>
        <w:rPr>
          <w:rtl/>
        </w:rPr>
      </w:pPr>
      <w:r w:rsidRPr="00C23FA5">
        <w:rPr>
          <w:i/>
          <w:iCs/>
          <w:rtl/>
        </w:rPr>
        <w:t>يرحب أيضا</w:t>
      </w:r>
      <w:r w:rsidRPr="00C23FA5">
        <w:rPr>
          <w:rtl/>
        </w:rPr>
        <w:t xml:space="preserve"> بالمقرر 15/</w:t>
      </w:r>
      <w:r w:rsidR="00B80DC2">
        <w:rPr>
          <w:rFonts w:hint="cs"/>
          <w:rtl/>
        </w:rPr>
        <w:t>9</w:t>
      </w:r>
      <w:r w:rsidRPr="00C23FA5">
        <w:rPr>
          <w:rtl/>
        </w:rPr>
        <w:t xml:space="preserve"> الصادر عن مؤتمر الأطراف في الاتفاقية بشأن معلومات التسلسل الرقمي</w:t>
      </w:r>
      <w:r w:rsidR="00FC4990">
        <w:rPr>
          <w:rFonts w:hint="cs"/>
          <w:rtl/>
        </w:rPr>
        <w:t>،</w:t>
      </w:r>
      <w:r w:rsidRPr="00C23FA5">
        <w:rPr>
          <w:rtl/>
        </w:rPr>
        <w:t xml:space="preserve"> </w:t>
      </w:r>
      <w:r w:rsidRPr="00C23FA5">
        <w:rPr>
          <w:i/>
          <w:iCs/>
          <w:rtl/>
        </w:rPr>
        <w:t>ويؤيد</w:t>
      </w:r>
      <w:r w:rsidRPr="00C23FA5">
        <w:rPr>
          <w:rtl/>
        </w:rPr>
        <w:t xml:space="preserve"> الآلية </w:t>
      </w:r>
      <w:r>
        <w:rPr>
          <w:rFonts w:hint="cs"/>
          <w:rtl/>
        </w:rPr>
        <w:t>المتعددة الأطراف</w:t>
      </w:r>
      <w:r w:rsidRPr="00C23FA5">
        <w:rPr>
          <w:rtl/>
        </w:rPr>
        <w:t xml:space="preserve"> لتقاسم المنافع الناشئة عن استخدام معلومات التسلسل الرقمي بشأن الموارد الجينية المنشأة </w:t>
      </w:r>
      <w:r>
        <w:rPr>
          <w:rFonts w:hint="cs"/>
          <w:rtl/>
        </w:rPr>
        <w:t>بموجبه</w:t>
      </w:r>
      <w:r>
        <w:rPr>
          <w:rtl/>
        </w:rPr>
        <w:t>؛</w:t>
      </w:r>
    </w:p>
    <w:p w14:paraId="3A7CD243" w14:textId="013D801E" w:rsidR="009A11D0" w:rsidRDefault="00A15A12" w:rsidP="004A2BE5">
      <w:pPr>
        <w:numPr>
          <w:ilvl w:val="0"/>
          <w:numId w:val="38"/>
        </w:numPr>
        <w:spacing w:after="120"/>
        <w:ind w:left="0" w:firstLine="720"/>
        <w:jc w:val="both"/>
        <w:rPr>
          <w:rtl/>
        </w:rPr>
      </w:pPr>
      <w:r w:rsidRPr="00A15A12">
        <w:rPr>
          <w:i/>
          <w:iCs/>
          <w:rtl/>
        </w:rPr>
        <w:t xml:space="preserve">يؤيد </w:t>
      </w:r>
      <w:r w:rsidRPr="00C23FA5">
        <w:rPr>
          <w:rtl/>
        </w:rPr>
        <w:t>العملية المحددة في المقرر 15/</w:t>
      </w:r>
      <w:r w:rsidR="00B80DC2">
        <w:rPr>
          <w:rFonts w:hint="cs"/>
          <w:rtl/>
        </w:rPr>
        <w:t>9</w:t>
      </w:r>
      <w:r w:rsidR="00FC4990">
        <w:rPr>
          <w:rFonts w:hint="cs"/>
          <w:rtl/>
        </w:rPr>
        <w:t>،</w:t>
      </w:r>
      <w:r w:rsidRPr="00C23FA5">
        <w:rPr>
          <w:rtl/>
        </w:rPr>
        <w:t xml:space="preserve"> </w:t>
      </w:r>
      <w:r w:rsidRPr="00A15A12">
        <w:rPr>
          <w:i/>
          <w:iCs/>
          <w:rtl/>
        </w:rPr>
        <w:t>ويطلب</w:t>
      </w:r>
      <w:r w:rsidRPr="00C23FA5">
        <w:rPr>
          <w:rtl/>
        </w:rPr>
        <w:t xml:space="preserve"> </w:t>
      </w:r>
      <w:r>
        <w:rPr>
          <w:rFonts w:hint="cs"/>
          <w:rtl/>
        </w:rPr>
        <w:t>إلى</w:t>
      </w:r>
      <w:r w:rsidRPr="00C23FA5">
        <w:rPr>
          <w:rtl/>
        </w:rPr>
        <w:t xml:space="preserve"> الفريق العامل المخصص المفتوح العضوية المعني </w:t>
      </w:r>
      <w:r>
        <w:rPr>
          <w:rFonts w:hint="cs"/>
          <w:rtl/>
        </w:rPr>
        <w:t>ب</w:t>
      </w:r>
      <w:r w:rsidRPr="00C23FA5">
        <w:rPr>
          <w:rtl/>
        </w:rPr>
        <w:t xml:space="preserve">تقاسم المنافع </w:t>
      </w:r>
      <w:r>
        <w:rPr>
          <w:rFonts w:hint="cs"/>
          <w:rtl/>
        </w:rPr>
        <w:t xml:space="preserve">الناشئة عن استخدام </w:t>
      </w:r>
      <w:r w:rsidRPr="00C23FA5">
        <w:rPr>
          <w:rtl/>
        </w:rPr>
        <w:t xml:space="preserve">معلومات التسلسل الرقمي بشأن الموارد الجينية أن يقدم تقريرا أيضا إلى مؤتمر الأطراف العامل كاجتماع للأطراف في بروتوكول </w:t>
      </w:r>
      <w:proofErr w:type="spellStart"/>
      <w:r w:rsidRPr="00C23FA5">
        <w:rPr>
          <w:rtl/>
        </w:rPr>
        <w:t>ناغويا</w:t>
      </w:r>
      <w:proofErr w:type="spellEnd"/>
      <w:r w:rsidRPr="00C23FA5">
        <w:rPr>
          <w:rtl/>
        </w:rPr>
        <w:t xml:space="preserve"> </w:t>
      </w:r>
      <w:r>
        <w:rPr>
          <w:rFonts w:hint="cs"/>
          <w:rtl/>
        </w:rPr>
        <w:t xml:space="preserve">في </w:t>
      </w:r>
      <w:r w:rsidRPr="00C23FA5">
        <w:rPr>
          <w:rtl/>
        </w:rPr>
        <w:t>اجتماعه الخامس.</w:t>
      </w:r>
      <w:r w:rsidR="005E0C49">
        <w:rPr>
          <w:rFonts w:hint="cs"/>
          <w:rtl/>
        </w:rPr>
        <w:t xml:space="preserve"> </w:t>
      </w:r>
    </w:p>
    <w:p w14:paraId="6C5CD868" w14:textId="1FE5F685" w:rsidR="00655411" w:rsidRPr="008E5D2E" w:rsidRDefault="00A337C6" w:rsidP="009C0041">
      <w:pPr>
        <w:spacing w:after="120"/>
        <w:jc w:val="center"/>
        <w:rPr>
          <w:sz w:val="24"/>
          <w:rtl/>
          <w:lang w:val="en-GB" w:bidi="ar-EG"/>
        </w:rPr>
      </w:pPr>
      <w:r w:rsidRPr="008E5D2E">
        <w:rPr>
          <w:rFonts w:eastAsia="SimSun"/>
          <w:snapToGrid w:val="0"/>
          <w:kern w:val="22"/>
          <w:szCs w:val="22"/>
          <w:lang w:eastAsia="zh-CN"/>
        </w:rPr>
        <w:t>_________</w:t>
      </w:r>
    </w:p>
    <w:sectPr w:rsidR="00655411" w:rsidRPr="008E5D2E" w:rsidSect="004C2976">
      <w:headerReference w:type="even" r:id="rId11"/>
      <w:headerReference w:type="default" r:id="rId12"/>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3FB0" w14:textId="77777777" w:rsidR="00247E9A" w:rsidRDefault="00247E9A">
      <w:r>
        <w:separator/>
      </w:r>
    </w:p>
  </w:endnote>
  <w:endnote w:type="continuationSeparator" w:id="0">
    <w:p w14:paraId="52522D40" w14:textId="77777777" w:rsidR="00247E9A" w:rsidRDefault="0024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YouYuan">
    <w:altName w:val="Microsoft YaHei"/>
    <w:charset w:val="86"/>
    <w:family w:val="modern"/>
    <w:pitch w:val="fixed"/>
    <w:sig w:usb0="00000001" w:usb1="080E0000" w:usb2="00000010" w:usb3="00000000" w:csb0="0004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DBC9" w14:textId="77777777" w:rsidR="00247E9A" w:rsidRDefault="00247E9A">
      <w:r>
        <w:separator/>
      </w:r>
    </w:p>
  </w:footnote>
  <w:footnote w:type="continuationSeparator" w:id="0">
    <w:p w14:paraId="61B086C5" w14:textId="77777777" w:rsidR="00247E9A" w:rsidRDefault="0024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740AD101" w:rsidR="000E6A07" w:rsidRPr="00B80DC2" w:rsidRDefault="00000000" w:rsidP="008E5D2E">
    <w:pPr>
      <w:jc w:val="both"/>
      <w:rPr>
        <w:sz w:val="22"/>
        <w:szCs w:val="22"/>
        <w:lang w:val="fr-CH"/>
      </w:rPr>
    </w:pPr>
    <w:sdt>
      <w:sdtPr>
        <w:rPr>
          <w:snapToGrid w:val="0"/>
          <w:kern w:val="22"/>
          <w:sz w:val="22"/>
          <w:rtl/>
          <w:lang w:val="fr-CH"/>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Content>
        <w:r w:rsidR="00B80DC2" w:rsidRPr="00B80DC2">
          <w:rPr>
            <w:snapToGrid w:val="0"/>
            <w:kern w:val="22"/>
            <w:sz w:val="22"/>
            <w:lang w:val="fr-CH"/>
          </w:rPr>
          <w:t>CBD/NP/MOP/DEC/4/6</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B80DC2">
      <w:rPr>
        <w:noProof/>
        <w:szCs w:val="22"/>
        <w:lang w:val="fr-CH"/>
      </w:rPr>
      <w:t>6</w:t>
    </w:r>
    <w:r w:rsidRPr="004C2976">
      <w:rPr>
        <w:noProof/>
        <w:szCs w:val="22"/>
      </w:rPr>
      <w:fldChar w:fldCharType="end"/>
    </w:r>
  </w:p>
  <w:p w14:paraId="1A4227AE" w14:textId="742D6B26" w:rsidR="000E6A07" w:rsidRPr="00B80DC2" w:rsidRDefault="000E6A07" w:rsidP="004C2976">
    <w:pPr>
      <w:bidi w:val="0"/>
      <w:ind w:firstLine="11070"/>
      <w:jc w:val="right"/>
      <w:rPr>
        <w:sz w:val="22"/>
        <w:szCs w:val="22"/>
        <w:lang w:val="fr-CH"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688F67E9" w:rsidR="000E6A07" w:rsidRPr="00B80DC2" w:rsidRDefault="00000000" w:rsidP="008E5D2E">
    <w:pPr>
      <w:bidi w:val="0"/>
      <w:jc w:val="left"/>
      <w:rPr>
        <w:sz w:val="22"/>
        <w:szCs w:val="22"/>
        <w:lang w:val="fr-CH"/>
      </w:rPr>
    </w:pPr>
    <w:sdt>
      <w:sdtPr>
        <w:rPr>
          <w:snapToGrid w:val="0"/>
          <w:kern w:val="22"/>
          <w:sz w:val="22"/>
          <w:lang w:val="fr-CH"/>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Content>
        <w:r w:rsidR="00B80DC2" w:rsidRPr="00B80DC2">
          <w:rPr>
            <w:snapToGrid w:val="0"/>
            <w:kern w:val="22"/>
            <w:sz w:val="22"/>
            <w:lang w:val="fr-CH"/>
          </w:rPr>
          <w:t>CBD/NP/MOP/DEC/4/6</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B80DC2">
      <w:rPr>
        <w:noProof/>
        <w:szCs w:val="22"/>
        <w:lang w:val="fr-CH"/>
      </w:rPr>
      <w:t>7</w:t>
    </w:r>
    <w:r w:rsidRPr="004C2976">
      <w:rPr>
        <w:noProof/>
        <w:szCs w:val="22"/>
      </w:rPr>
      <w:fldChar w:fldCharType="end"/>
    </w:r>
  </w:p>
  <w:p w14:paraId="7B5EBB8C" w14:textId="77777777" w:rsidR="000E6A07" w:rsidRPr="00B80DC2" w:rsidRDefault="000E6A07">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71113A7"/>
    <w:multiLevelType w:val="multilevel"/>
    <w:tmpl w:val="48241D10"/>
    <w:numStyleLink w:val="Normallist"/>
  </w:abstractNum>
  <w:abstractNum w:abstractNumId="7"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33CC"/>
    <w:multiLevelType w:val="hybridMultilevel"/>
    <w:tmpl w:val="D2D83900"/>
    <w:lvl w:ilvl="0" w:tplc="978444BA">
      <w:start w:val="1"/>
      <w:numFmt w:val="decimal"/>
      <w:lvlText w:val="%1-"/>
      <w:lvlJc w:val="left"/>
      <w:pPr>
        <w:ind w:left="1440" w:hanging="360"/>
      </w:pPr>
      <w:rPr>
        <w:rFonts w:hint="default"/>
        <w:sz w:val="26"/>
        <w:szCs w:val="26"/>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E9C0384"/>
    <w:multiLevelType w:val="hybridMultilevel"/>
    <w:tmpl w:val="0DB40D88"/>
    <w:lvl w:ilvl="0" w:tplc="DB3E618E">
      <w:start w:val="1"/>
      <w:numFmt w:val="decimal"/>
      <w:lvlText w:val="%1-"/>
      <w:lvlJc w:val="left"/>
      <w:pPr>
        <w:ind w:left="709" w:hanging="360"/>
      </w:pPr>
      <w:rPr>
        <w:rFonts w:hint="default"/>
        <w:sz w:val="24"/>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0"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3150635"/>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2" w15:restartNumberingAfterBreak="0">
    <w:nsid w:val="26680B27"/>
    <w:multiLevelType w:val="hybridMultilevel"/>
    <w:tmpl w:val="012EB556"/>
    <w:lvl w:ilvl="0" w:tplc="BE44A65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210012"/>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36687B53"/>
    <w:multiLevelType w:val="hybridMultilevel"/>
    <w:tmpl w:val="8ED62D88"/>
    <w:lvl w:ilvl="0" w:tplc="8DCC52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8986715"/>
    <w:multiLevelType w:val="hybridMultilevel"/>
    <w:tmpl w:val="07F0D1A0"/>
    <w:lvl w:ilvl="0" w:tplc="04090001">
      <w:start w:val="1"/>
      <w:numFmt w:val="decimal"/>
      <w:lvlText w:val="%1-"/>
      <w:lvlJc w:val="left"/>
      <w:pPr>
        <w:ind w:left="1080" w:hanging="360"/>
      </w:pPr>
      <w:rPr>
        <w:i w:val="0"/>
        <w:iCs w:val="0"/>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9"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0" w15:restartNumberingAfterBreak="0">
    <w:nsid w:val="3A905C9D"/>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1"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3"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4"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6"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9"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32"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60543391"/>
    <w:multiLevelType w:val="hybridMultilevel"/>
    <w:tmpl w:val="ECB0CDD4"/>
    <w:lvl w:ilvl="0" w:tplc="3EB8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7"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27"/>
  </w:num>
  <w:num w:numId="2" w16cid:durableId="1236622156">
    <w:abstractNumId w:val="14"/>
  </w:num>
  <w:num w:numId="3" w16cid:durableId="304315768">
    <w:abstractNumId w:val="32"/>
  </w:num>
  <w:num w:numId="4" w16cid:durableId="361635998">
    <w:abstractNumId w:val="10"/>
  </w:num>
  <w:num w:numId="5" w16cid:durableId="379407336">
    <w:abstractNumId w:val="17"/>
  </w:num>
  <w:num w:numId="6" w16cid:durableId="260069009">
    <w:abstractNumId w:val="37"/>
  </w:num>
  <w:num w:numId="7" w16cid:durableId="1906136052">
    <w:abstractNumId w:val="25"/>
  </w:num>
  <w:num w:numId="8" w16cid:durableId="1003704486">
    <w:abstractNumId w:val="28"/>
  </w:num>
  <w:num w:numId="9" w16cid:durableId="319895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15"/>
  </w:num>
  <w:num w:numId="11" w16cid:durableId="1608387130">
    <w:abstractNumId w:val="21"/>
  </w:num>
  <w:num w:numId="12" w16cid:durableId="1199052708">
    <w:abstractNumId w:val="24"/>
  </w:num>
  <w:num w:numId="13" w16cid:durableId="167058935">
    <w:abstractNumId w:val="22"/>
  </w:num>
  <w:num w:numId="14" w16cid:durableId="1805662177">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35"/>
  </w:num>
  <w:num w:numId="16" w16cid:durableId="1857890051">
    <w:abstractNumId w:val="3"/>
  </w:num>
  <w:num w:numId="17" w16cid:durableId="1814252428">
    <w:abstractNumId w:val="34"/>
  </w:num>
  <w:num w:numId="18" w16cid:durableId="999818613">
    <w:abstractNumId w:val="29"/>
  </w:num>
  <w:num w:numId="19" w16cid:durableId="880483979">
    <w:abstractNumId w:val="6"/>
  </w:num>
  <w:num w:numId="20" w16cid:durableId="646402152">
    <w:abstractNumId w:val="0"/>
  </w:num>
  <w:num w:numId="21" w16cid:durableId="1729961011">
    <w:abstractNumId w:val="5"/>
  </w:num>
  <w:num w:numId="22" w16cid:durableId="1104108255">
    <w:abstractNumId w:val="31"/>
  </w:num>
  <w:num w:numId="23" w16cid:durableId="1186140866">
    <w:abstractNumId w:val="23"/>
  </w:num>
  <w:num w:numId="24" w16cid:durableId="1239560160">
    <w:abstractNumId w:val="19"/>
  </w:num>
  <w:num w:numId="25" w16cid:durableId="1120418195">
    <w:abstractNumId w:val="36"/>
  </w:num>
  <w:num w:numId="26" w16cid:durableId="1369142918">
    <w:abstractNumId w:val="26"/>
  </w:num>
  <w:num w:numId="27" w16cid:durableId="1466778404">
    <w:abstractNumId w:val="13"/>
  </w:num>
  <w:num w:numId="28" w16cid:durableId="40177643">
    <w:abstractNumId w:val="4"/>
  </w:num>
  <w:num w:numId="29" w16cid:durableId="1519737">
    <w:abstractNumId w:val="12"/>
  </w:num>
  <w:num w:numId="30" w16cid:durableId="691347952">
    <w:abstractNumId w:val="2"/>
  </w:num>
  <w:num w:numId="31" w16cid:durableId="25105038">
    <w:abstractNumId w:val="20"/>
  </w:num>
  <w:num w:numId="32" w16cid:durableId="1954749460">
    <w:abstractNumId w:val="11"/>
  </w:num>
  <w:num w:numId="33" w16cid:durableId="434061443">
    <w:abstractNumId w:val="8"/>
  </w:num>
  <w:num w:numId="34" w16cid:durableId="24989479">
    <w:abstractNumId w:val="16"/>
  </w:num>
  <w:num w:numId="35" w16cid:durableId="553197176">
    <w:abstractNumId w:val="7"/>
  </w:num>
  <w:num w:numId="36" w16cid:durableId="1603686814">
    <w:abstractNumId w:val="9"/>
  </w:num>
  <w:num w:numId="37" w16cid:durableId="1384062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7886222">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0F7"/>
    <w:rsid w:val="00245108"/>
    <w:rsid w:val="0024654D"/>
    <w:rsid w:val="00247E9A"/>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3D9"/>
    <w:rsid w:val="002B6443"/>
    <w:rsid w:val="002B6933"/>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15"/>
    <w:rsid w:val="002E5EB1"/>
    <w:rsid w:val="002E78E3"/>
    <w:rsid w:val="002E7E04"/>
    <w:rsid w:val="002F01E3"/>
    <w:rsid w:val="002F0261"/>
    <w:rsid w:val="002F084F"/>
    <w:rsid w:val="002F2134"/>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2A07"/>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5A6C"/>
    <w:rsid w:val="005C638C"/>
    <w:rsid w:val="005C68A2"/>
    <w:rsid w:val="005D4C25"/>
    <w:rsid w:val="005D625F"/>
    <w:rsid w:val="005D6298"/>
    <w:rsid w:val="005E02B0"/>
    <w:rsid w:val="005E0C49"/>
    <w:rsid w:val="005E0F6C"/>
    <w:rsid w:val="005E1878"/>
    <w:rsid w:val="005E1D11"/>
    <w:rsid w:val="005E1DC1"/>
    <w:rsid w:val="005E2628"/>
    <w:rsid w:val="005E2DC1"/>
    <w:rsid w:val="005E32D7"/>
    <w:rsid w:val="005E396F"/>
    <w:rsid w:val="005F0152"/>
    <w:rsid w:val="005F04E6"/>
    <w:rsid w:val="005F10FD"/>
    <w:rsid w:val="005F152E"/>
    <w:rsid w:val="005F17D5"/>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482"/>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1D0"/>
    <w:rsid w:val="009A190F"/>
    <w:rsid w:val="009A2496"/>
    <w:rsid w:val="009B11DE"/>
    <w:rsid w:val="009B1640"/>
    <w:rsid w:val="009B16EA"/>
    <w:rsid w:val="009B18A9"/>
    <w:rsid w:val="009B1B11"/>
    <w:rsid w:val="009B1EA9"/>
    <w:rsid w:val="009B4A6D"/>
    <w:rsid w:val="009B5381"/>
    <w:rsid w:val="009B5D6D"/>
    <w:rsid w:val="009B754F"/>
    <w:rsid w:val="009C0041"/>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4A8C"/>
    <w:rsid w:val="00A15213"/>
    <w:rsid w:val="00A1549A"/>
    <w:rsid w:val="00A15A12"/>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3141"/>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044"/>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0DC2"/>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83F"/>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345"/>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43F"/>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B55"/>
    <w:rsid w:val="00F54876"/>
    <w:rsid w:val="00F54895"/>
    <w:rsid w:val="00F6126B"/>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4990"/>
    <w:rsid w:val="00FC5810"/>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uiPriority w:val="99"/>
    <w:rsid w:val="00BF08F5"/>
    <w:rPr>
      <w:color w:val="0000FF"/>
      <w:u w:val="single"/>
    </w:rPr>
  </w:style>
  <w:style w:type="table" w:styleId="TableGrid">
    <w:name w:val="Table Grid"/>
    <w:basedOn w:val="TableNormal"/>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rsid w:val="00DC1E21"/>
    <w:pPr>
      <w:tabs>
        <w:tab w:val="center" w:pos="4320"/>
        <w:tab w:val="right" w:pos="8640"/>
      </w:tabs>
    </w:pPr>
    <w:rPr>
      <w:rFonts w:cs="Times New Roman"/>
    </w:rPr>
  </w:style>
  <w:style w:type="character" w:customStyle="1" w:styleId="FooterChar">
    <w:name w:val="Footer Char"/>
    <w:link w:val="Footer"/>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rsid w:val="00670074"/>
    <w:rPr>
      <w:rFonts w:ascii="Tahoma" w:hAnsi="Tahoma" w:cs="Times New Roman"/>
      <w:sz w:val="16"/>
      <w:szCs w:val="16"/>
    </w:rPr>
  </w:style>
  <w:style w:type="character" w:customStyle="1" w:styleId="BalloonTextChar">
    <w:name w:val="Balloon Text Char"/>
    <w:link w:val="BalloonText"/>
    <w:rsid w:val="006A490C"/>
    <w:rPr>
      <w:rFonts w:ascii="Tahoma" w:eastAsia="YouYuan" w:hAnsi="Tahoma" w:cs="Tahoma"/>
      <w:kern w:val="2"/>
      <w:sz w:val="16"/>
      <w:szCs w:val="16"/>
      <w:lang w:val="en-US" w:eastAsia="en-US"/>
    </w:rPr>
  </w:style>
  <w:style w:type="paragraph" w:customStyle="1" w:styleId="Para1">
    <w:name w:val="Para1"/>
    <w:basedOn w:val="Normal"/>
    <w:link w:val="Para1Char1"/>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Unordered List,List Paragraph 2,Dot pt,F5 List Paragraph,No Spacing1,List Paragraph Char Char Char,Indicator Text,Numbered Para 1,List Paragraph12,Bullet Points,MAIN CONTENT,Bullet 1,Colorful List - Accent 11,table bullets"/>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paragraph" w:customStyle="1" w:styleId="meetingname">
    <w:name w:val="meeting name"/>
    <w:basedOn w:val="Normal"/>
    <w:qFormat/>
    <w:rsid w:val="005C5A6C"/>
    <w:pPr>
      <w:bidi w:val="0"/>
      <w:spacing w:line="240" w:lineRule="auto"/>
      <w:ind w:left="170" w:right="3119" w:hanging="170"/>
      <w:jc w:val="left"/>
    </w:pPr>
    <w:rPr>
      <w:rFonts w:eastAsia="Malgun Gothic" w:cs="Times New Roman"/>
      <w:caps/>
      <w:snapToGrid w:val="0"/>
      <w:kern w:val="0"/>
      <w:sz w:val="22"/>
      <w:lang w:val="en-GB"/>
    </w:rPr>
  </w:style>
  <w:style w:type="character" w:customStyle="1" w:styleId="ListParagraphChar">
    <w:name w:val="List Paragraph Char"/>
    <w:aliases w:val="Unordered List Char,List Paragraph 2 Char,Dot pt Char,F5 List Paragraph Char,No Spacing1 Char,List Paragraph Char Char Char Char,Indicator Text Char,Numbered Para 1 Char,List Paragraph12 Char,Bullet Points Char,MAIN CONTENT Char"/>
    <w:link w:val="ListParagraph"/>
    <w:uiPriority w:val="34"/>
    <w:qFormat/>
    <w:rsid w:val="002450F7"/>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YouYuan">
    <w:altName w:val="Microsoft YaHei"/>
    <w:charset w:val="86"/>
    <w:family w:val="modern"/>
    <w:pitch w:val="fixed"/>
    <w:sig w:usb0="00000001" w:usb1="080E0000" w:usb2="00000010" w:usb3="00000000" w:csb0="0004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6D3216"/>
    <w:rsid w:val="009E2631"/>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3216"/>
    <w:rPr>
      <w:color w:val="808080"/>
    </w:rPr>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CBD/NP/MOP/DEC/4/6</dc:subject>
  <dc:creator>SCBD</dc:creator>
  <cp:lastModifiedBy>Ahmed OSMAN</cp:lastModifiedBy>
  <cp:revision>8</cp:revision>
  <cp:lastPrinted>2023-02-01T08:07:00Z</cp:lastPrinted>
  <dcterms:created xsi:type="dcterms:W3CDTF">2022-12-19T18:43:00Z</dcterms:created>
  <dcterms:modified xsi:type="dcterms:W3CDTF">2023-02-01T08:07:00Z</dcterms:modified>
</cp:coreProperties>
</file>