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622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4304"/>
        <w:gridCol w:w="365"/>
        <w:gridCol w:w="4879"/>
      </w:tblGrid>
      <w:tr w:rsidR="00C9161D" w14:paraId="07F6750D" w14:textId="77777777" w:rsidTr="00D454F1">
        <w:trPr>
          <w:trHeight w:val="851"/>
        </w:trPr>
        <w:tc>
          <w:tcPr>
            <w:tcW w:w="976" w:type="dxa"/>
            <w:tcBorders>
              <w:bottom w:val="single" w:sz="12" w:space="0" w:color="auto"/>
            </w:tcBorders>
          </w:tcPr>
          <w:p w14:paraId="1DEFF495" w14:textId="77777777" w:rsidR="00C9161D" w:rsidRPr="00321985" w:rsidRDefault="00C9161D" w:rsidP="00321985">
            <w:r>
              <w:rPr>
                <w:noProof/>
                <w:lang w:val="en-US"/>
              </w:rPr>
              <w:drawing>
                <wp:inline distT="0" distB="0" distL="0" distR="0" wp14:anchorId="33099486" wp14:editId="1193B5AB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2"/>
            <w:tcBorders>
              <w:bottom w:val="single" w:sz="12" w:space="0" w:color="auto"/>
            </w:tcBorders>
            <w:shd w:val="clear" w:color="auto" w:fill="auto"/>
            <w:tcFitText/>
          </w:tcPr>
          <w:p w14:paraId="1986B63F" w14:textId="1087733B" w:rsidR="00FA663B" w:rsidRPr="00321985" w:rsidRDefault="00AA6F92" w:rsidP="00321985">
            <w:r w:rsidRPr="00AF7A5A">
              <w:rPr>
                <w:noProof/>
              </w:rPr>
              <w:drawing>
                <wp:inline distT="0" distB="0" distL="0" distR="0" wp14:anchorId="4030DC6E" wp14:editId="44D003EB">
                  <wp:extent cx="500870" cy="36000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9" w:type="dxa"/>
            <w:tcBorders>
              <w:bottom w:val="single" w:sz="12" w:space="0" w:color="auto"/>
            </w:tcBorders>
          </w:tcPr>
          <w:p w14:paraId="600A589D" w14:textId="77777777" w:rsidR="00C9161D" w:rsidRPr="00C9161D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14:paraId="6F751905" w14:textId="77777777" w:rsidTr="00D454F1">
        <w:tc>
          <w:tcPr>
            <w:tcW w:w="5280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14F52A6C" w14:textId="77777777" w:rsidR="00C9161D" w:rsidRDefault="00C9161D" w:rsidP="00C9161D">
            <w:r>
              <w:rPr>
                <w:noProof/>
                <w:lang w:val="en-US"/>
              </w:rPr>
              <w:drawing>
                <wp:inline distT="0" distB="0" distL="0" distR="0" wp14:anchorId="7BABC8B6" wp14:editId="083FE5C8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bottom w:val="single" w:sz="36" w:space="0" w:color="auto"/>
            </w:tcBorders>
          </w:tcPr>
          <w:p w14:paraId="1C693BA4" w14:textId="77777777" w:rsidR="00C9161D" w:rsidRPr="00C9161D" w:rsidRDefault="00C9161D" w:rsidP="00D454F1">
            <w:pPr>
              <w:ind w:left="1732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14:paraId="0C21C438" w14:textId="3C3F9AC6" w:rsidR="00C9161D" w:rsidRPr="00C9161D" w:rsidRDefault="003059D1" w:rsidP="00D454F1">
            <w:pPr>
              <w:ind w:left="1732"/>
              <w:rPr>
                <w:szCs w:val="22"/>
              </w:rPr>
            </w:pPr>
            <w:r>
              <w:rPr>
                <w:caps/>
                <w:szCs w:val="22"/>
              </w:rPr>
              <w:t>GENERAL</w:t>
            </w:r>
          </w:p>
          <w:p w14:paraId="06715052" w14:textId="77777777" w:rsidR="00C9161D" w:rsidRPr="00C9161D" w:rsidRDefault="00C9161D" w:rsidP="00D454F1">
            <w:pPr>
              <w:ind w:left="1732"/>
              <w:rPr>
                <w:szCs w:val="22"/>
              </w:rPr>
            </w:pPr>
          </w:p>
          <w:p w14:paraId="44230134" w14:textId="6F21687B" w:rsidR="00C9161D" w:rsidRPr="00C9161D" w:rsidRDefault="00B3116E" w:rsidP="00D454F1">
            <w:pPr>
              <w:ind w:left="1732"/>
              <w:rPr>
                <w:szCs w:val="22"/>
              </w:rPr>
            </w:pPr>
            <w:sdt>
              <w:sdtPr>
                <w:rPr>
                  <w:lang w:val="en-US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3059D1">
                  <w:rPr>
                    <w:lang w:val="en-US"/>
                  </w:rPr>
                  <w:t>CBD/NP/MOP/DEC/4/5</w:t>
                </w:r>
              </w:sdtContent>
            </w:sdt>
          </w:p>
          <w:p w14:paraId="0DF1F033" w14:textId="0CBE943E" w:rsidR="00C9161D" w:rsidRPr="00C9161D" w:rsidRDefault="00AB400F" w:rsidP="00D454F1">
            <w:pPr>
              <w:ind w:left="1732"/>
              <w:rPr>
                <w:szCs w:val="22"/>
              </w:rPr>
            </w:pPr>
            <w:r>
              <w:rPr>
                <w:szCs w:val="22"/>
                <w:lang w:val="en-US"/>
              </w:rPr>
              <w:t>19 December</w:t>
            </w:r>
            <w:r w:rsidR="00F6586C">
              <w:rPr>
                <w:szCs w:val="22"/>
                <w:lang w:val="en-US"/>
              </w:rPr>
              <w:t xml:space="preserve"> 20</w:t>
            </w:r>
            <w:r w:rsidR="00FC25F8">
              <w:rPr>
                <w:szCs w:val="22"/>
                <w:lang w:val="en-US"/>
              </w:rPr>
              <w:t>2</w:t>
            </w:r>
            <w:r w:rsidR="00B26ACD">
              <w:rPr>
                <w:szCs w:val="22"/>
                <w:lang w:val="en-US"/>
              </w:rPr>
              <w:t>2</w:t>
            </w:r>
          </w:p>
          <w:p w14:paraId="159892DF" w14:textId="77777777" w:rsidR="00C9161D" w:rsidRPr="00C9161D" w:rsidRDefault="00C9161D" w:rsidP="00D454F1">
            <w:pPr>
              <w:ind w:left="1732"/>
              <w:rPr>
                <w:szCs w:val="22"/>
              </w:rPr>
            </w:pPr>
          </w:p>
          <w:p w14:paraId="19472D49" w14:textId="77777777" w:rsidR="00C9161D" w:rsidRPr="00C9161D" w:rsidRDefault="006B2290" w:rsidP="00D454F1">
            <w:pPr>
              <w:ind w:left="1732"/>
              <w:rPr>
                <w:szCs w:val="22"/>
              </w:rPr>
            </w:pPr>
            <w:r>
              <w:rPr>
                <w:szCs w:val="22"/>
              </w:rPr>
              <w:t xml:space="preserve">ORIGINAL: </w:t>
            </w:r>
            <w:r w:rsidR="00C9161D" w:rsidRPr="00C9161D">
              <w:rPr>
                <w:szCs w:val="22"/>
              </w:rPr>
              <w:t>ENGLISH</w:t>
            </w:r>
          </w:p>
          <w:p w14:paraId="5AA10CCE" w14:textId="77777777" w:rsidR="00C9161D" w:rsidRDefault="00C9161D"/>
        </w:tc>
      </w:tr>
    </w:tbl>
    <w:p w14:paraId="1BF4A9A2" w14:textId="1D92CDB0" w:rsidR="003B7BB2" w:rsidRPr="00910961" w:rsidRDefault="003B7BB2" w:rsidP="00BA33A0">
      <w:pPr>
        <w:pStyle w:val="Cornernotation"/>
        <w:kinsoku w:val="0"/>
        <w:overflowPunct w:val="0"/>
        <w:autoSpaceDE w:val="0"/>
        <w:autoSpaceDN w:val="0"/>
        <w:spacing w:before="60"/>
        <w:ind w:left="227" w:right="3792" w:hanging="227"/>
        <w:rPr>
          <w:snapToGrid w:val="0"/>
          <w:kern w:val="22"/>
        </w:rPr>
      </w:pPr>
      <w:r w:rsidRPr="00910961">
        <w:rPr>
          <w:snapToGrid w:val="0"/>
          <w:kern w:val="22"/>
        </w:rPr>
        <w:t xml:space="preserve">CONFERENCE OF THE PARTIES TO THE CONVENTION ON BIOLOGICAL DIVERSITY </w:t>
      </w:r>
      <w:r w:rsidR="005E0ED3">
        <w:rPr>
          <w:snapToGrid w:val="0"/>
          <w:kern w:val="22"/>
        </w:rPr>
        <w:t xml:space="preserve">SERVING AS THE MEETING OF THE PARTIES TO THE </w:t>
      </w:r>
      <w:r w:rsidR="0083009D">
        <w:rPr>
          <w:snapToGrid w:val="0"/>
          <w:kern w:val="22"/>
        </w:rPr>
        <w:t>NAGOYA PROTOCOL ON ACCESS TO GENETIC RESOURCES AND THE FAIR AND EQUITABLE SHARING</w:t>
      </w:r>
      <w:r w:rsidR="00BA33A0">
        <w:rPr>
          <w:snapToGrid w:val="0"/>
          <w:kern w:val="22"/>
        </w:rPr>
        <w:t xml:space="preserve"> OF BENEFITS ARISING FROM THEIR UTILIZATION</w:t>
      </w:r>
    </w:p>
    <w:p w14:paraId="141C6194" w14:textId="056A5FC1" w:rsidR="003B7BB2" w:rsidRPr="00910961" w:rsidRDefault="00BA33A0" w:rsidP="00BA33A0">
      <w:pPr>
        <w:pStyle w:val="Cornernotation"/>
        <w:kinsoku w:val="0"/>
        <w:overflowPunct w:val="0"/>
        <w:autoSpaceDE w:val="0"/>
        <w:autoSpaceDN w:val="0"/>
        <w:ind w:left="0" w:right="3792" w:firstLine="0"/>
        <w:rPr>
          <w:snapToGrid w:val="0"/>
          <w:kern w:val="22"/>
        </w:rPr>
      </w:pPr>
      <w:r>
        <w:rPr>
          <w:snapToGrid w:val="0"/>
          <w:kern w:val="22"/>
        </w:rPr>
        <w:t>Fourth</w:t>
      </w:r>
      <w:r w:rsidR="003B7BB2" w:rsidRPr="00910961">
        <w:rPr>
          <w:snapToGrid w:val="0"/>
          <w:kern w:val="22"/>
        </w:rPr>
        <w:t xml:space="preserve"> meeting</w:t>
      </w:r>
      <w:r w:rsidR="00AD7FFC">
        <w:rPr>
          <w:snapToGrid w:val="0"/>
          <w:kern w:val="22"/>
        </w:rPr>
        <w:t xml:space="preserve"> </w:t>
      </w:r>
      <w:r w:rsidR="00B26ACD">
        <w:rPr>
          <w:snapToGrid w:val="0"/>
          <w:kern w:val="22"/>
        </w:rPr>
        <w:t>– Part II</w:t>
      </w:r>
    </w:p>
    <w:p w14:paraId="4268D28C" w14:textId="78B11728" w:rsidR="003B7BB2" w:rsidRPr="00660CB5" w:rsidRDefault="00B26ACD" w:rsidP="00BA33A0">
      <w:pPr>
        <w:pStyle w:val="Cornernotation"/>
        <w:kinsoku w:val="0"/>
        <w:overflowPunct w:val="0"/>
        <w:autoSpaceDE w:val="0"/>
        <w:autoSpaceDN w:val="0"/>
        <w:ind w:left="227" w:right="3792" w:hanging="227"/>
        <w:rPr>
          <w:snapToGrid w:val="0"/>
          <w:kern w:val="22"/>
          <w:szCs w:val="22"/>
          <w:lang w:eastAsia="nb-NO"/>
        </w:rPr>
      </w:pPr>
      <w:r>
        <w:rPr>
          <w:snapToGrid w:val="0"/>
          <w:kern w:val="22"/>
          <w:szCs w:val="22"/>
          <w:lang w:eastAsia="nb-NO"/>
        </w:rPr>
        <w:t>Montreal, Canada, 7-19 December 2022</w:t>
      </w:r>
    </w:p>
    <w:p w14:paraId="5ECF7635" w14:textId="45ABC976" w:rsidR="00C9161D" w:rsidRDefault="00B26ACD" w:rsidP="00BA33A0">
      <w:pPr>
        <w:ind w:right="3792"/>
        <w:rPr>
          <w:snapToGrid w:val="0"/>
          <w:kern w:val="22"/>
          <w:szCs w:val="22"/>
        </w:rPr>
      </w:pPr>
      <w:r>
        <w:rPr>
          <w:snapToGrid w:val="0"/>
          <w:kern w:val="22"/>
          <w:szCs w:val="22"/>
        </w:rPr>
        <w:t>Agenda i</w:t>
      </w:r>
      <w:r w:rsidR="00134846" w:rsidRPr="004B44DE">
        <w:rPr>
          <w:snapToGrid w:val="0"/>
          <w:kern w:val="22"/>
          <w:szCs w:val="22"/>
        </w:rPr>
        <w:t xml:space="preserve">tem </w:t>
      </w:r>
      <w:r w:rsidR="00AB400F">
        <w:rPr>
          <w:snapToGrid w:val="0"/>
          <w:kern w:val="22"/>
          <w:szCs w:val="22"/>
        </w:rPr>
        <w:t>13</w:t>
      </w:r>
      <w:r w:rsidR="00134846" w:rsidRPr="004B44DE">
        <w:rPr>
          <w:snapToGrid w:val="0"/>
          <w:kern w:val="22"/>
          <w:szCs w:val="22"/>
        </w:rPr>
        <w:t xml:space="preserve"> </w:t>
      </w:r>
    </w:p>
    <w:p w14:paraId="6F0A923A" w14:textId="01BD574C" w:rsidR="00B430F6" w:rsidRPr="00D9755F" w:rsidRDefault="009E2A39" w:rsidP="007148BB">
      <w:pPr>
        <w:spacing w:before="240" w:after="240"/>
        <w:jc w:val="center"/>
        <w:rPr>
          <w:rFonts w:ascii="Times New Roman Bold" w:hAnsi="Times New Roman Bold"/>
          <w:b/>
          <w:bCs/>
          <w:caps/>
        </w:rPr>
      </w:pPr>
      <w:r w:rsidRPr="007148BB">
        <w:rPr>
          <w:rFonts w:ascii="Times New Roman Bold" w:hAnsi="Times New Roman Bold"/>
          <w:b/>
          <w:bCs/>
          <w:caps/>
        </w:rPr>
        <w:t xml:space="preserve">Decision adopted by the Parties to the Nagoya Protocol on Access and </w:t>
      </w:r>
      <w:r w:rsidRPr="00D9755F">
        <w:rPr>
          <w:rFonts w:ascii="Times New Roman Bold" w:hAnsi="Times New Roman Bold"/>
          <w:b/>
          <w:bCs/>
          <w:caps/>
        </w:rPr>
        <w:t>Benefit-sharing</w:t>
      </w:r>
    </w:p>
    <w:p w14:paraId="57F6B7A1" w14:textId="2C867F1B" w:rsidR="00C9161D" w:rsidRDefault="00B3116E" w:rsidP="00D454F1">
      <w:pPr>
        <w:tabs>
          <w:tab w:val="left" w:pos="851"/>
        </w:tabs>
        <w:spacing w:before="240" w:after="240"/>
        <w:ind w:left="1584" w:hanging="1152"/>
        <w:jc w:val="left"/>
        <w:outlineLvl w:val="1"/>
        <w:rPr>
          <w:b/>
          <w:caps/>
        </w:rPr>
      </w:pPr>
      <w:sdt>
        <w:sdtPr>
          <w:rPr>
            <w:rStyle w:val="Heading2Char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2Char"/>
          </w:rPr>
        </w:sdtEndPr>
        <w:sdtContent>
          <w:r w:rsidR="0088248B" w:rsidRPr="00D9755F">
            <w:rPr>
              <w:rStyle w:val="Heading2Char"/>
            </w:rPr>
            <w:t>NP-4/5.</w:t>
          </w:r>
          <w:r w:rsidR="003059D1" w:rsidRPr="00D9755F">
            <w:rPr>
              <w:rStyle w:val="Heading2Char"/>
            </w:rPr>
            <w:tab/>
          </w:r>
          <w:r w:rsidR="0088248B" w:rsidRPr="00D9755F">
            <w:rPr>
              <w:rStyle w:val="Heading2Char"/>
            </w:rPr>
            <w:t xml:space="preserve">Enhancing the implementation of the Nagoya Protocol in the context of the </w:t>
          </w:r>
          <w:r w:rsidR="00427921" w:rsidRPr="00D9755F">
            <w:rPr>
              <w:rStyle w:val="Heading2Char"/>
            </w:rPr>
            <w:t>Kunming-Montreal G</w:t>
          </w:r>
          <w:r w:rsidR="0088248B" w:rsidRPr="00D9755F">
            <w:rPr>
              <w:rStyle w:val="Heading2Char"/>
            </w:rPr>
            <w:t xml:space="preserve">lobal </w:t>
          </w:r>
          <w:r w:rsidR="00427921" w:rsidRPr="00D9755F">
            <w:rPr>
              <w:rStyle w:val="Heading2Char"/>
            </w:rPr>
            <w:t>B</w:t>
          </w:r>
          <w:r w:rsidR="0088248B" w:rsidRPr="00D9755F">
            <w:rPr>
              <w:rStyle w:val="Heading2Char"/>
            </w:rPr>
            <w:t xml:space="preserve">iodiversity </w:t>
          </w:r>
          <w:r w:rsidR="00427921" w:rsidRPr="00D9755F">
            <w:rPr>
              <w:rStyle w:val="Heading2Char"/>
            </w:rPr>
            <w:t>F</w:t>
          </w:r>
          <w:r w:rsidR="0088248B" w:rsidRPr="00D9755F">
            <w:rPr>
              <w:rStyle w:val="Heading2Char"/>
            </w:rPr>
            <w:t>ramework</w:t>
          </w:r>
        </w:sdtContent>
      </w:sdt>
      <w:r w:rsidR="00105372" w:rsidRPr="00D9755F">
        <w:rPr>
          <w:b/>
          <w:caps/>
        </w:rPr>
        <w:t xml:space="preserve"> </w:t>
      </w:r>
    </w:p>
    <w:p w14:paraId="31938D7B" w14:textId="77777777" w:rsidR="00AE04F7" w:rsidRDefault="00AE04F7" w:rsidP="00AE04F7">
      <w:pPr>
        <w:spacing w:before="120" w:after="120"/>
        <w:ind w:firstLine="720"/>
        <w:rPr>
          <w:rFonts w:eastAsia="Malgun Gothic"/>
          <w:i/>
          <w:color w:val="000000" w:themeColor="text1"/>
          <w:kern w:val="20"/>
        </w:rPr>
      </w:pPr>
      <w:r w:rsidRPr="005C41BC">
        <w:rPr>
          <w:rFonts w:eastAsia="Malgun Gothic"/>
          <w:i/>
          <w:color w:val="000000" w:themeColor="text1"/>
          <w:kern w:val="20"/>
        </w:rPr>
        <w:t>The Conference of the Parties</w:t>
      </w:r>
      <w:r>
        <w:rPr>
          <w:rFonts w:eastAsia="Malgun Gothic"/>
          <w:i/>
          <w:color w:val="000000" w:themeColor="text1"/>
          <w:kern w:val="20"/>
        </w:rPr>
        <w:t xml:space="preserve"> serving as the meeting of the Parties to the Nagoya Protocol,</w:t>
      </w:r>
    </w:p>
    <w:p w14:paraId="04A76847" w14:textId="77777777" w:rsidR="00AE04F7" w:rsidRPr="00B64A97" w:rsidRDefault="00AE04F7" w:rsidP="00AE04F7">
      <w:pPr>
        <w:spacing w:before="120" w:after="120"/>
        <w:ind w:firstLine="720"/>
        <w:rPr>
          <w:rFonts w:eastAsia="Malgun Gothic"/>
          <w:i/>
          <w:iCs/>
          <w:color w:val="000000" w:themeColor="text1"/>
          <w:kern w:val="20"/>
        </w:rPr>
      </w:pPr>
      <w:r w:rsidRPr="00B64A97">
        <w:rPr>
          <w:rFonts w:eastAsia="Malgun Gothic"/>
          <w:i/>
          <w:iCs/>
          <w:color w:val="000000" w:themeColor="text1"/>
          <w:kern w:val="20"/>
        </w:rPr>
        <w:t xml:space="preserve">Recalling </w:t>
      </w:r>
      <w:r w:rsidRPr="00B64A97">
        <w:rPr>
          <w:rFonts w:eastAsia="Malgun Gothic"/>
          <w:iCs/>
          <w:color w:val="000000" w:themeColor="text1"/>
          <w:kern w:val="20"/>
        </w:rPr>
        <w:t>decision NP-3/15</w:t>
      </w:r>
      <w:r w:rsidRPr="00B64A97">
        <w:rPr>
          <w:rFonts w:eastAsia="Malgun Gothic"/>
          <w:i/>
          <w:color w:val="000000" w:themeColor="text1"/>
          <w:kern w:val="20"/>
        </w:rPr>
        <w:t>,</w:t>
      </w:r>
    </w:p>
    <w:p w14:paraId="25580EF0" w14:textId="67E0DBBA" w:rsidR="00AE04F7" w:rsidRPr="008F4016" w:rsidRDefault="00AE04F7" w:rsidP="00AE04F7">
      <w:pPr>
        <w:spacing w:before="120" w:after="120"/>
        <w:ind w:firstLine="720"/>
        <w:rPr>
          <w:rFonts w:eastAsia="Malgun Gothic"/>
          <w:i/>
          <w:color w:val="000000" w:themeColor="text1"/>
          <w:kern w:val="20"/>
          <w:lang w:val="en-US"/>
        </w:rPr>
      </w:pPr>
      <w:r w:rsidRPr="00B64A97">
        <w:rPr>
          <w:rFonts w:eastAsia="Malgun Gothic"/>
          <w:i/>
          <w:iCs/>
          <w:color w:val="000000" w:themeColor="text1"/>
          <w:kern w:val="20"/>
          <w:lang w:val="en-US"/>
        </w:rPr>
        <w:t>Emphasizing</w:t>
      </w:r>
      <w:r w:rsidRPr="00B64A97">
        <w:rPr>
          <w:rFonts w:eastAsia="Malgun Gothic"/>
          <w:i/>
          <w:color w:val="000000" w:themeColor="text1"/>
          <w:kern w:val="20"/>
          <w:lang w:val="en-US"/>
        </w:rPr>
        <w:t xml:space="preserve"> </w:t>
      </w:r>
      <w:r w:rsidRPr="00B64A97">
        <w:rPr>
          <w:rFonts w:eastAsia="Malgun Gothic"/>
          <w:iCs/>
          <w:color w:val="000000" w:themeColor="text1"/>
          <w:kern w:val="20"/>
          <w:lang w:val="en-US"/>
        </w:rPr>
        <w:t xml:space="preserve">the importance of advancing the </w:t>
      </w:r>
      <w:r w:rsidRPr="008F4016">
        <w:rPr>
          <w:rFonts w:eastAsia="Malgun Gothic"/>
          <w:iCs/>
          <w:color w:val="000000" w:themeColor="text1"/>
          <w:kern w:val="20"/>
          <w:lang w:val="en-US"/>
        </w:rPr>
        <w:t xml:space="preserve">implementation of the third objective of the Convention and the objective of the Nagoya Protocol in the context of the </w:t>
      </w:r>
      <w:r w:rsidR="00EC14E6" w:rsidRPr="008F4016">
        <w:rPr>
          <w:rFonts w:eastAsia="Malgun Gothic"/>
          <w:iCs/>
          <w:color w:val="000000" w:themeColor="text1"/>
          <w:kern w:val="20"/>
        </w:rPr>
        <w:t>Kunming-Montreal G</w:t>
      </w:r>
      <w:r w:rsidRPr="008F4016">
        <w:rPr>
          <w:rFonts w:eastAsia="Malgun Gothic"/>
          <w:iCs/>
          <w:color w:val="000000" w:themeColor="text1"/>
          <w:kern w:val="20"/>
          <w:lang w:val="en-US"/>
        </w:rPr>
        <w:t xml:space="preserve">lobal </w:t>
      </w:r>
      <w:r w:rsidR="00EC14E6" w:rsidRPr="00D454F1">
        <w:rPr>
          <w:rFonts w:eastAsia="Malgun Gothic"/>
          <w:iCs/>
          <w:color w:val="000000" w:themeColor="text1"/>
          <w:kern w:val="20"/>
          <w:lang w:val="en-US"/>
        </w:rPr>
        <w:t>B</w:t>
      </w:r>
      <w:r w:rsidRPr="008F4016">
        <w:rPr>
          <w:rFonts w:eastAsia="Malgun Gothic"/>
          <w:iCs/>
          <w:color w:val="000000" w:themeColor="text1"/>
          <w:kern w:val="20"/>
          <w:lang w:val="en-US"/>
        </w:rPr>
        <w:t xml:space="preserve">iodiversity </w:t>
      </w:r>
      <w:r w:rsidR="00EC14E6" w:rsidRPr="00D454F1">
        <w:rPr>
          <w:rFonts w:eastAsia="Malgun Gothic"/>
          <w:iCs/>
          <w:color w:val="000000" w:themeColor="text1"/>
          <w:kern w:val="20"/>
          <w:lang w:val="en-US"/>
        </w:rPr>
        <w:t>F</w:t>
      </w:r>
      <w:r w:rsidRPr="008F4016">
        <w:rPr>
          <w:rFonts w:eastAsia="Malgun Gothic"/>
          <w:iCs/>
          <w:color w:val="000000" w:themeColor="text1"/>
          <w:kern w:val="20"/>
          <w:lang w:val="en-US"/>
        </w:rPr>
        <w:t>ramework in a balanced manner,</w:t>
      </w:r>
    </w:p>
    <w:p w14:paraId="3E41C7EF" w14:textId="7A2E6366" w:rsidR="00AE04F7" w:rsidRPr="008F4016" w:rsidRDefault="00AE04F7" w:rsidP="00AE04F7">
      <w:pPr>
        <w:pStyle w:val="ListParagraph"/>
        <w:numPr>
          <w:ilvl w:val="0"/>
          <w:numId w:val="19"/>
        </w:numPr>
        <w:spacing w:before="120" w:after="120"/>
        <w:ind w:left="0" w:firstLine="709"/>
        <w:contextualSpacing w:val="0"/>
        <w:rPr>
          <w:rFonts w:eastAsia="Malgun Gothic"/>
          <w:i/>
          <w:color w:val="000000" w:themeColor="text1"/>
          <w:kern w:val="20"/>
        </w:rPr>
      </w:pPr>
      <w:r w:rsidRPr="008F4016">
        <w:rPr>
          <w:rFonts w:eastAsia="Malgun Gothic"/>
          <w:i/>
          <w:iCs/>
          <w:color w:val="000000" w:themeColor="text1"/>
          <w:kern w:val="20"/>
        </w:rPr>
        <w:t>Welcomes</w:t>
      </w:r>
      <w:r w:rsidRPr="008F4016">
        <w:rPr>
          <w:rFonts w:eastAsia="Malgun Gothic"/>
          <w:b/>
          <w:bCs/>
          <w:i/>
          <w:iCs/>
          <w:color w:val="000000" w:themeColor="text1"/>
          <w:kern w:val="20"/>
        </w:rPr>
        <w:t xml:space="preserve"> </w:t>
      </w:r>
      <w:r w:rsidRPr="008F4016">
        <w:rPr>
          <w:rFonts w:eastAsia="Malgun Gothic"/>
          <w:iCs/>
          <w:color w:val="000000" w:themeColor="text1"/>
          <w:kern w:val="20"/>
        </w:rPr>
        <w:t>decision 15/</w:t>
      </w:r>
      <w:r w:rsidR="00BC7760" w:rsidRPr="008F4016">
        <w:rPr>
          <w:rFonts w:eastAsia="Malgun Gothic"/>
          <w:iCs/>
          <w:color w:val="000000" w:themeColor="text1"/>
          <w:kern w:val="20"/>
        </w:rPr>
        <w:t>4</w:t>
      </w:r>
      <w:r w:rsidRPr="008F4016">
        <w:rPr>
          <w:rFonts w:eastAsia="Malgun Gothic"/>
          <w:iCs/>
          <w:color w:val="000000" w:themeColor="text1"/>
          <w:kern w:val="20"/>
        </w:rPr>
        <w:t xml:space="preserve"> of the Conference of the Parties to the Convention adopting the </w:t>
      </w:r>
      <w:r w:rsidR="00BC7760" w:rsidRPr="008F4016">
        <w:rPr>
          <w:rFonts w:eastAsia="Malgun Gothic"/>
          <w:iCs/>
          <w:color w:val="000000" w:themeColor="text1"/>
          <w:kern w:val="20"/>
        </w:rPr>
        <w:t>Kunming-Montreal G</w:t>
      </w:r>
      <w:r w:rsidRPr="008F4016">
        <w:rPr>
          <w:rFonts w:eastAsia="Malgun Gothic"/>
          <w:iCs/>
          <w:color w:val="000000" w:themeColor="text1"/>
          <w:kern w:val="20"/>
        </w:rPr>
        <w:t xml:space="preserve">lobal </w:t>
      </w:r>
      <w:r w:rsidR="00BC7760" w:rsidRPr="008F4016">
        <w:rPr>
          <w:rFonts w:eastAsia="Malgun Gothic"/>
          <w:iCs/>
          <w:color w:val="000000" w:themeColor="text1"/>
          <w:kern w:val="20"/>
        </w:rPr>
        <w:t>B</w:t>
      </w:r>
      <w:r w:rsidRPr="008F4016">
        <w:rPr>
          <w:rFonts w:eastAsia="Malgun Gothic"/>
          <w:iCs/>
          <w:color w:val="000000" w:themeColor="text1"/>
          <w:kern w:val="20"/>
        </w:rPr>
        <w:t xml:space="preserve">iodiversity </w:t>
      </w:r>
      <w:r w:rsidR="00BC7760" w:rsidRPr="008F4016">
        <w:rPr>
          <w:rFonts w:eastAsia="Malgun Gothic"/>
          <w:iCs/>
          <w:color w:val="000000" w:themeColor="text1"/>
          <w:kern w:val="20"/>
        </w:rPr>
        <w:t>F</w:t>
      </w:r>
      <w:r w:rsidRPr="008F4016">
        <w:rPr>
          <w:rFonts w:eastAsia="Malgun Gothic"/>
          <w:iCs/>
          <w:color w:val="000000" w:themeColor="text1"/>
          <w:kern w:val="20"/>
        </w:rPr>
        <w:t xml:space="preserve">ramework as a flexible global framework for action by all Parties and stakeholders to reach the 2050 Vision for </w:t>
      </w:r>
      <w:r w:rsidR="004A3FBE">
        <w:rPr>
          <w:rFonts w:eastAsia="Malgun Gothic"/>
          <w:iCs/>
          <w:color w:val="000000" w:themeColor="text1"/>
          <w:kern w:val="20"/>
        </w:rPr>
        <w:t>b</w:t>
      </w:r>
      <w:r w:rsidRPr="008F4016">
        <w:rPr>
          <w:rFonts w:eastAsia="Malgun Gothic"/>
          <w:iCs/>
          <w:color w:val="000000" w:themeColor="text1"/>
          <w:kern w:val="20"/>
        </w:rPr>
        <w:t xml:space="preserve">iodiversity and achieve the three objectives of the Convention, as well as the objective of the Nagoya </w:t>
      </w:r>
      <w:proofErr w:type="gramStart"/>
      <w:r w:rsidRPr="008F4016">
        <w:rPr>
          <w:rFonts w:eastAsia="Malgun Gothic"/>
          <w:iCs/>
          <w:color w:val="000000" w:themeColor="text1"/>
          <w:kern w:val="20"/>
        </w:rPr>
        <w:t>Protocol;</w:t>
      </w:r>
      <w:proofErr w:type="gramEnd"/>
    </w:p>
    <w:p w14:paraId="7C9FDEE2" w14:textId="34F7DAA2" w:rsidR="00AE04F7" w:rsidRPr="0032200E" w:rsidRDefault="00AE04F7" w:rsidP="00AE04F7">
      <w:pPr>
        <w:pStyle w:val="ListParagraph"/>
        <w:numPr>
          <w:ilvl w:val="0"/>
          <w:numId w:val="19"/>
        </w:numPr>
        <w:spacing w:before="120" w:after="120"/>
        <w:ind w:left="0" w:firstLine="709"/>
        <w:contextualSpacing w:val="0"/>
        <w:rPr>
          <w:rFonts w:eastAsia="Malgun Gothic"/>
          <w:i/>
          <w:color w:val="000000" w:themeColor="text1"/>
          <w:kern w:val="20"/>
        </w:rPr>
      </w:pPr>
      <w:r w:rsidRPr="008F4016">
        <w:rPr>
          <w:rFonts w:eastAsia="Malgun Gothic"/>
          <w:i/>
          <w:color w:val="000000" w:themeColor="text1"/>
          <w:kern w:val="20"/>
        </w:rPr>
        <w:t xml:space="preserve">Endorses </w:t>
      </w:r>
      <w:r w:rsidRPr="008F4016">
        <w:rPr>
          <w:rFonts w:eastAsia="Malgun Gothic"/>
          <w:iCs/>
          <w:color w:val="000000" w:themeColor="text1"/>
          <w:kern w:val="20"/>
        </w:rPr>
        <w:t xml:space="preserve">the </w:t>
      </w:r>
      <w:r w:rsidR="00BC7760" w:rsidRPr="008F4016">
        <w:rPr>
          <w:rFonts w:eastAsia="Malgun Gothic"/>
          <w:iCs/>
          <w:color w:val="000000" w:themeColor="text1"/>
          <w:kern w:val="20"/>
        </w:rPr>
        <w:t>Kunming-Montreal G</w:t>
      </w:r>
      <w:r w:rsidRPr="008F4016">
        <w:rPr>
          <w:rFonts w:eastAsia="Malgun Gothic"/>
          <w:iCs/>
          <w:color w:val="000000" w:themeColor="text1"/>
          <w:kern w:val="20"/>
        </w:rPr>
        <w:t xml:space="preserve">lobal </w:t>
      </w:r>
      <w:r w:rsidR="00BC7760" w:rsidRPr="008F4016">
        <w:rPr>
          <w:rFonts w:eastAsia="Malgun Gothic"/>
          <w:iCs/>
          <w:color w:val="000000" w:themeColor="text1"/>
          <w:kern w:val="20"/>
        </w:rPr>
        <w:t>B</w:t>
      </w:r>
      <w:r w:rsidRPr="008F4016">
        <w:rPr>
          <w:rFonts w:eastAsia="Malgun Gothic"/>
          <w:iCs/>
          <w:color w:val="000000" w:themeColor="text1"/>
          <w:kern w:val="20"/>
        </w:rPr>
        <w:t xml:space="preserve">iodiversity </w:t>
      </w:r>
      <w:r w:rsidR="00BC7760" w:rsidRPr="008F4016">
        <w:rPr>
          <w:rFonts w:eastAsia="Malgun Gothic"/>
          <w:iCs/>
          <w:color w:val="000000" w:themeColor="text1"/>
          <w:kern w:val="20"/>
        </w:rPr>
        <w:t>F</w:t>
      </w:r>
      <w:r w:rsidRPr="008F4016">
        <w:rPr>
          <w:rFonts w:eastAsia="Malgun Gothic"/>
          <w:iCs/>
          <w:color w:val="000000" w:themeColor="text1"/>
          <w:kern w:val="20"/>
        </w:rPr>
        <w:t>ramework, as contained in the annex to decision 15/</w:t>
      </w:r>
      <w:r w:rsidR="00BC7760" w:rsidRPr="008F4016">
        <w:rPr>
          <w:rFonts w:eastAsia="Malgun Gothic"/>
          <w:iCs/>
          <w:color w:val="000000" w:themeColor="text1"/>
          <w:kern w:val="20"/>
        </w:rPr>
        <w:t>4</w:t>
      </w:r>
      <w:r w:rsidRPr="008F4016">
        <w:rPr>
          <w:rFonts w:eastAsia="Malgun Gothic"/>
          <w:iCs/>
          <w:color w:val="000000" w:themeColor="text1"/>
          <w:kern w:val="20"/>
        </w:rPr>
        <w:t xml:space="preserve"> of the Conference of the Parties</w:t>
      </w:r>
      <w:r w:rsidR="00371813" w:rsidRPr="008F4016">
        <w:rPr>
          <w:rFonts w:eastAsia="Malgun Gothic"/>
          <w:iCs/>
          <w:color w:val="000000" w:themeColor="text1"/>
          <w:kern w:val="20"/>
        </w:rPr>
        <w:t>,</w:t>
      </w:r>
      <w:r w:rsidRPr="008F4016">
        <w:rPr>
          <w:rFonts w:eastAsia="Malgun Gothic"/>
          <w:iCs/>
          <w:color w:val="000000" w:themeColor="text1"/>
          <w:kern w:val="20"/>
        </w:rPr>
        <w:t xml:space="preserve"> and </w:t>
      </w:r>
      <w:r w:rsidRPr="00D454F1">
        <w:rPr>
          <w:rFonts w:eastAsia="Malgun Gothic"/>
          <w:iCs/>
          <w:color w:val="000000" w:themeColor="text1"/>
          <w:kern w:val="20"/>
        </w:rPr>
        <w:t>takes note</w:t>
      </w:r>
      <w:r w:rsidRPr="008F4016">
        <w:rPr>
          <w:rFonts w:eastAsia="Malgun Gothic"/>
          <w:iCs/>
          <w:color w:val="000000" w:themeColor="text1"/>
          <w:kern w:val="20"/>
        </w:rPr>
        <w:t xml:space="preserve"> </w:t>
      </w:r>
      <w:r w:rsidR="000C519F">
        <w:rPr>
          <w:rFonts w:eastAsia="Malgun Gothic"/>
          <w:iCs/>
          <w:color w:val="000000" w:themeColor="text1"/>
          <w:kern w:val="20"/>
        </w:rPr>
        <w:t>of other related decisions</w:t>
      </w:r>
      <w:r w:rsidR="008616C5">
        <w:rPr>
          <w:rFonts w:eastAsia="Malgun Gothic"/>
          <w:iCs/>
          <w:color w:val="000000" w:themeColor="text1"/>
          <w:kern w:val="20"/>
        </w:rPr>
        <w:t xml:space="preserve"> </w:t>
      </w:r>
      <w:r w:rsidR="00AF7A5A">
        <w:rPr>
          <w:rFonts w:eastAsia="Malgun Gothic"/>
          <w:iCs/>
          <w:color w:val="000000" w:themeColor="text1"/>
          <w:kern w:val="20"/>
        </w:rPr>
        <w:t xml:space="preserve">adopted by the Conference of the Parties at its fifteenth </w:t>
      </w:r>
      <w:proofErr w:type="gramStart"/>
      <w:r w:rsidR="00AF7A5A">
        <w:rPr>
          <w:rFonts w:eastAsia="Malgun Gothic"/>
          <w:iCs/>
          <w:color w:val="000000" w:themeColor="text1"/>
          <w:kern w:val="20"/>
        </w:rPr>
        <w:t>meeting</w:t>
      </w:r>
      <w:r w:rsidRPr="00D454F1">
        <w:rPr>
          <w:rFonts w:eastAsia="Malgun Gothic"/>
          <w:iCs/>
          <w:color w:val="000000" w:themeColor="text1"/>
          <w:kern w:val="20"/>
        </w:rPr>
        <w:t>;</w:t>
      </w:r>
      <w:proofErr w:type="gramEnd"/>
    </w:p>
    <w:p w14:paraId="1C3673BF" w14:textId="77777777" w:rsidR="00AE04F7" w:rsidRPr="00DC6882" w:rsidRDefault="00AE04F7" w:rsidP="00AE04F7">
      <w:pPr>
        <w:pStyle w:val="ListParagraph"/>
        <w:numPr>
          <w:ilvl w:val="0"/>
          <w:numId w:val="19"/>
        </w:numPr>
        <w:spacing w:before="120" w:after="120"/>
        <w:ind w:left="0" w:firstLine="709"/>
        <w:contextualSpacing w:val="0"/>
        <w:rPr>
          <w:rFonts w:eastAsia="Malgun Gothic"/>
          <w:i/>
          <w:color w:val="000000" w:themeColor="text1"/>
          <w:kern w:val="20"/>
        </w:rPr>
      </w:pPr>
      <w:r w:rsidRPr="00BC7760">
        <w:rPr>
          <w:rFonts w:eastAsia="Malgun Gothic"/>
          <w:i/>
          <w:iCs/>
          <w:color w:val="000000" w:themeColor="text1"/>
          <w:kern w:val="20"/>
        </w:rPr>
        <w:t>Invites</w:t>
      </w:r>
      <w:r w:rsidRPr="00BC7760">
        <w:rPr>
          <w:rFonts w:eastAsia="Malgun Gothic"/>
          <w:i/>
          <w:color w:val="000000" w:themeColor="text1"/>
          <w:kern w:val="20"/>
        </w:rPr>
        <w:t xml:space="preserve"> </w:t>
      </w:r>
      <w:r w:rsidRPr="00BC7760">
        <w:rPr>
          <w:rFonts w:eastAsia="Malgun Gothic"/>
          <w:iCs/>
          <w:color w:val="000000" w:themeColor="text1"/>
          <w:kern w:val="20"/>
        </w:rPr>
        <w:t xml:space="preserve">Parties, and </w:t>
      </w:r>
      <w:r w:rsidRPr="00D454F1">
        <w:rPr>
          <w:rFonts w:eastAsia="Malgun Gothic"/>
          <w:iCs/>
          <w:color w:val="000000" w:themeColor="text1"/>
          <w:kern w:val="20"/>
        </w:rPr>
        <w:t>encourages</w:t>
      </w:r>
      <w:r w:rsidRPr="00BC7760">
        <w:rPr>
          <w:rFonts w:eastAsia="Malgun Gothic"/>
          <w:iCs/>
          <w:color w:val="000000" w:themeColor="text1"/>
          <w:kern w:val="20"/>
        </w:rPr>
        <w:t xml:space="preserve"> other Governments, to make use of the approach to planning, monitoring, reporting and review</w:t>
      </w:r>
      <w:r w:rsidRPr="00C743B7">
        <w:rPr>
          <w:rFonts w:eastAsia="Malgun Gothic"/>
          <w:iCs/>
          <w:color w:val="000000" w:themeColor="text1"/>
          <w:kern w:val="20"/>
        </w:rPr>
        <w:t xml:space="preserve"> under the Convention to enhance the implementation of the Nagoya Protocol and the integration of access and benefit-sharing in revised or updated national biodiversity strategies and action plans</w:t>
      </w:r>
      <w:r w:rsidRPr="00DC6882">
        <w:rPr>
          <w:rFonts w:eastAsia="Malgun Gothic"/>
          <w:i/>
          <w:color w:val="000000" w:themeColor="text1"/>
          <w:kern w:val="20"/>
        </w:rPr>
        <w:t>.</w:t>
      </w:r>
    </w:p>
    <w:p w14:paraId="6B7EA98D" w14:textId="77777777" w:rsidR="00F6586C" w:rsidRDefault="00F6586C" w:rsidP="00F6586C">
      <w:pPr>
        <w:pStyle w:val="Para1"/>
        <w:numPr>
          <w:ilvl w:val="0"/>
          <w:numId w:val="0"/>
        </w:numPr>
      </w:pPr>
    </w:p>
    <w:p w14:paraId="753B7F74" w14:textId="56A0AA2F" w:rsidR="00C9161D" w:rsidRDefault="00C9161D" w:rsidP="00E82A13">
      <w:pPr>
        <w:jc w:val="center"/>
      </w:pPr>
      <w:r w:rsidRPr="00C9161D">
        <w:t>______</w:t>
      </w:r>
      <w:r w:rsidR="007A76EC">
        <w:t>____</w:t>
      </w:r>
    </w:p>
    <w:sectPr w:rsidR="00C9161D" w:rsidSect="0074467F">
      <w:headerReference w:type="even" r:id="rId15"/>
      <w:headerReference w:type="default" r:id="rId16"/>
      <w:pgSz w:w="12240" w:h="15840"/>
      <w:pgMar w:top="567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FDF7" w14:textId="77777777" w:rsidR="00B3116E" w:rsidRDefault="00B3116E" w:rsidP="00CF1848">
      <w:r>
        <w:separator/>
      </w:r>
    </w:p>
  </w:endnote>
  <w:endnote w:type="continuationSeparator" w:id="0">
    <w:p w14:paraId="03EC5D4C" w14:textId="77777777" w:rsidR="00B3116E" w:rsidRDefault="00B3116E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D44E" w14:textId="77777777" w:rsidR="00B3116E" w:rsidRDefault="00B3116E" w:rsidP="00CF1848">
      <w:r>
        <w:separator/>
      </w:r>
    </w:p>
  </w:footnote>
  <w:footnote w:type="continuationSeparator" w:id="0">
    <w:p w14:paraId="6F982F63" w14:textId="77777777" w:rsidR="00B3116E" w:rsidRDefault="00B3116E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BC20A3F" w14:textId="136E1D60" w:rsidR="00534681" w:rsidRPr="00134846" w:rsidRDefault="003059D1" w:rsidP="00534681">
        <w:pPr>
          <w:pStyle w:val="Header"/>
          <w:rPr>
            <w:lang w:val="fr-FR"/>
          </w:rPr>
        </w:pPr>
        <w:r>
          <w:rPr>
            <w:lang w:val="fr-FR"/>
          </w:rPr>
          <w:t>CBD/NP/MOP/DEC/4/5</w:t>
        </w:r>
      </w:p>
    </w:sdtContent>
  </w:sdt>
  <w:p w14:paraId="1E0FDE0B" w14:textId="77777777" w:rsidR="00534681" w:rsidRPr="00134846" w:rsidRDefault="00534681" w:rsidP="00534681">
    <w:pPr>
      <w:pStyle w:val="Header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F6586C" w:rsidRPr="00134846">
      <w:rPr>
        <w:noProof/>
        <w:lang w:val="fr-FR"/>
      </w:rPr>
      <w:t>2</w:t>
    </w:r>
    <w:r>
      <w:rPr>
        <w:noProof/>
      </w:rPr>
      <w:fldChar w:fldCharType="end"/>
    </w:r>
  </w:p>
  <w:p w14:paraId="61C60697" w14:textId="77777777" w:rsidR="00534681" w:rsidRPr="00134846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4EC37E" w14:textId="0269B3BC" w:rsidR="009505C9" w:rsidRPr="00134846" w:rsidRDefault="003059D1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CBD/NP/MOP/DEC/4/5</w:t>
        </w:r>
      </w:p>
    </w:sdtContent>
  </w:sdt>
  <w:p w14:paraId="64AE8439" w14:textId="77777777" w:rsidR="009505C9" w:rsidRPr="00134846" w:rsidRDefault="009505C9" w:rsidP="009505C9">
    <w:pPr>
      <w:pStyle w:val="Header"/>
      <w:jc w:val="right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F6586C" w:rsidRPr="00134846">
      <w:rPr>
        <w:noProof/>
        <w:lang w:val="fr-FR"/>
      </w:rPr>
      <w:t>3</w:t>
    </w:r>
    <w:r>
      <w:rPr>
        <w:noProof/>
      </w:rPr>
      <w:fldChar w:fldCharType="end"/>
    </w:r>
  </w:p>
  <w:p w14:paraId="16137B8A" w14:textId="77777777" w:rsidR="009505C9" w:rsidRPr="00134846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26E74"/>
    <w:multiLevelType w:val="hybridMultilevel"/>
    <w:tmpl w:val="525849BE"/>
    <w:lvl w:ilvl="0" w:tplc="7DCC7ADA">
      <w:start w:val="1"/>
      <w:numFmt w:val="decimal"/>
      <w:lvlText w:val="%1."/>
      <w:lvlJc w:val="left"/>
      <w:pPr>
        <w:ind w:left="2084" w:hanging="360"/>
      </w:pPr>
      <w:rPr>
        <w:rFonts w:hint="default"/>
        <w:i w:val="0"/>
        <w:iCs/>
      </w:rPr>
    </w:lvl>
    <w:lvl w:ilvl="1" w:tplc="10090019" w:tentative="1">
      <w:start w:val="1"/>
      <w:numFmt w:val="lowerLetter"/>
      <w:lvlText w:val="%2."/>
      <w:lvlJc w:val="left"/>
      <w:pPr>
        <w:ind w:left="2804" w:hanging="360"/>
      </w:pPr>
    </w:lvl>
    <w:lvl w:ilvl="2" w:tplc="1009001B" w:tentative="1">
      <w:start w:val="1"/>
      <w:numFmt w:val="lowerRoman"/>
      <w:lvlText w:val="%3."/>
      <w:lvlJc w:val="right"/>
      <w:pPr>
        <w:ind w:left="3524" w:hanging="180"/>
      </w:pPr>
    </w:lvl>
    <w:lvl w:ilvl="3" w:tplc="1009000F" w:tentative="1">
      <w:start w:val="1"/>
      <w:numFmt w:val="decimal"/>
      <w:lvlText w:val="%4."/>
      <w:lvlJc w:val="left"/>
      <w:pPr>
        <w:ind w:left="4244" w:hanging="360"/>
      </w:pPr>
    </w:lvl>
    <w:lvl w:ilvl="4" w:tplc="10090019" w:tentative="1">
      <w:start w:val="1"/>
      <w:numFmt w:val="lowerLetter"/>
      <w:lvlText w:val="%5."/>
      <w:lvlJc w:val="left"/>
      <w:pPr>
        <w:ind w:left="4964" w:hanging="360"/>
      </w:pPr>
    </w:lvl>
    <w:lvl w:ilvl="5" w:tplc="1009001B" w:tentative="1">
      <w:start w:val="1"/>
      <w:numFmt w:val="lowerRoman"/>
      <w:lvlText w:val="%6."/>
      <w:lvlJc w:val="right"/>
      <w:pPr>
        <w:ind w:left="5684" w:hanging="180"/>
      </w:pPr>
    </w:lvl>
    <w:lvl w:ilvl="6" w:tplc="1009000F" w:tentative="1">
      <w:start w:val="1"/>
      <w:numFmt w:val="decimal"/>
      <w:lvlText w:val="%7."/>
      <w:lvlJc w:val="left"/>
      <w:pPr>
        <w:ind w:left="6404" w:hanging="360"/>
      </w:pPr>
    </w:lvl>
    <w:lvl w:ilvl="7" w:tplc="10090019" w:tentative="1">
      <w:start w:val="1"/>
      <w:numFmt w:val="lowerLetter"/>
      <w:lvlText w:val="%8."/>
      <w:lvlJc w:val="left"/>
      <w:pPr>
        <w:ind w:left="7124" w:hanging="360"/>
      </w:pPr>
    </w:lvl>
    <w:lvl w:ilvl="8" w:tplc="1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2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49426">
    <w:abstractNumId w:val="3"/>
  </w:num>
  <w:num w:numId="2" w16cid:durableId="552431115">
    <w:abstractNumId w:val="6"/>
  </w:num>
  <w:num w:numId="3" w16cid:durableId="827667482">
    <w:abstractNumId w:val="4"/>
  </w:num>
  <w:num w:numId="4" w16cid:durableId="2135172731">
    <w:abstractNumId w:val="6"/>
  </w:num>
  <w:num w:numId="5" w16cid:durableId="1631323642">
    <w:abstractNumId w:val="5"/>
  </w:num>
  <w:num w:numId="6" w16cid:durableId="934746193">
    <w:abstractNumId w:val="0"/>
  </w:num>
  <w:num w:numId="7" w16cid:durableId="719940942">
    <w:abstractNumId w:val="2"/>
  </w:num>
  <w:num w:numId="8" w16cid:durableId="2033800524">
    <w:abstractNumId w:val="4"/>
    <w:lvlOverride w:ilvl="0">
      <w:startOverride w:val="1"/>
    </w:lvlOverride>
  </w:num>
  <w:num w:numId="9" w16cid:durableId="300187639">
    <w:abstractNumId w:val="9"/>
  </w:num>
  <w:num w:numId="10" w16cid:durableId="88091045">
    <w:abstractNumId w:val="4"/>
    <w:lvlOverride w:ilvl="0">
      <w:startOverride w:val="1"/>
    </w:lvlOverride>
  </w:num>
  <w:num w:numId="11" w16cid:durableId="551893812">
    <w:abstractNumId w:val="4"/>
    <w:lvlOverride w:ilvl="0">
      <w:startOverride w:val="1"/>
    </w:lvlOverride>
  </w:num>
  <w:num w:numId="12" w16cid:durableId="1623724739">
    <w:abstractNumId w:val="4"/>
    <w:lvlOverride w:ilvl="0">
      <w:startOverride w:val="1"/>
    </w:lvlOverride>
  </w:num>
  <w:num w:numId="13" w16cid:durableId="1697585259">
    <w:abstractNumId w:val="4"/>
    <w:lvlOverride w:ilvl="0">
      <w:startOverride w:val="1"/>
    </w:lvlOverride>
  </w:num>
  <w:num w:numId="14" w16cid:durableId="818497074">
    <w:abstractNumId w:val="8"/>
  </w:num>
  <w:num w:numId="15" w16cid:durableId="1098910437">
    <w:abstractNumId w:val="7"/>
  </w:num>
  <w:num w:numId="16" w16cid:durableId="1134953867">
    <w:abstractNumId w:val="1"/>
  </w:num>
  <w:num w:numId="17" w16cid:durableId="1301307205">
    <w:abstractNumId w:val="10"/>
  </w:num>
  <w:num w:numId="18" w16cid:durableId="64642853">
    <w:abstractNumId w:val="12"/>
  </w:num>
  <w:num w:numId="19" w16cid:durableId="12866950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markup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20A25"/>
    <w:rsid w:val="00037CF0"/>
    <w:rsid w:val="0007171B"/>
    <w:rsid w:val="000C519F"/>
    <w:rsid w:val="000C64C2"/>
    <w:rsid w:val="000E673A"/>
    <w:rsid w:val="000F74F5"/>
    <w:rsid w:val="00105372"/>
    <w:rsid w:val="001312AD"/>
    <w:rsid w:val="00131E7A"/>
    <w:rsid w:val="00134846"/>
    <w:rsid w:val="00172AF6"/>
    <w:rsid w:val="00176CEE"/>
    <w:rsid w:val="00186DD8"/>
    <w:rsid w:val="001B13FE"/>
    <w:rsid w:val="00265484"/>
    <w:rsid w:val="0030169D"/>
    <w:rsid w:val="003059D1"/>
    <w:rsid w:val="003060EB"/>
    <w:rsid w:val="003153EB"/>
    <w:rsid w:val="00321985"/>
    <w:rsid w:val="0032200E"/>
    <w:rsid w:val="00322766"/>
    <w:rsid w:val="00351205"/>
    <w:rsid w:val="00371813"/>
    <w:rsid w:val="00372F74"/>
    <w:rsid w:val="00386DD9"/>
    <w:rsid w:val="003A0503"/>
    <w:rsid w:val="003B7BB2"/>
    <w:rsid w:val="003F7224"/>
    <w:rsid w:val="00424C55"/>
    <w:rsid w:val="00427921"/>
    <w:rsid w:val="00427D21"/>
    <w:rsid w:val="004644C2"/>
    <w:rsid w:val="00467F9C"/>
    <w:rsid w:val="004A3FBE"/>
    <w:rsid w:val="00534681"/>
    <w:rsid w:val="00535F59"/>
    <w:rsid w:val="00563442"/>
    <w:rsid w:val="00565B42"/>
    <w:rsid w:val="005714B4"/>
    <w:rsid w:val="005B4ADC"/>
    <w:rsid w:val="005C2581"/>
    <w:rsid w:val="005C4CE6"/>
    <w:rsid w:val="005E0C86"/>
    <w:rsid w:val="005E0ED3"/>
    <w:rsid w:val="006122BA"/>
    <w:rsid w:val="00690CD5"/>
    <w:rsid w:val="006B2290"/>
    <w:rsid w:val="007148BB"/>
    <w:rsid w:val="00717D88"/>
    <w:rsid w:val="0074467F"/>
    <w:rsid w:val="0076332C"/>
    <w:rsid w:val="00786056"/>
    <w:rsid w:val="007942D3"/>
    <w:rsid w:val="007A76EC"/>
    <w:rsid w:val="007B2099"/>
    <w:rsid w:val="007B6C09"/>
    <w:rsid w:val="007B7741"/>
    <w:rsid w:val="007C37CF"/>
    <w:rsid w:val="007E09DA"/>
    <w:rsid w:val="00801DB4"/>
    <w:rsid w:val="008178B6"/>
    <w:rsid w:val="0083009D"/>
    <w:rsid w:val="008616C5"/>
    <w:rsid w:val="00865B74"/>
    <w:rsid w:val="0088248B"/>
    <w:rsid w:val="008974F0"/>
    <w:rsid w:val="008B012A"/>
    <w:rsid w:val="008D1309"/>
    <w:rsid w:val="008F4016"/>
    <w:rsid w:val="00906E17"/>
    <w:rsid w:val="00930BA1"/>
    <w:rsid w:val="0093169E"/>
    <w:rsid w:val="00937130"/>
    <w:rsid w:val="009505C9"/>
    <w:rsid w:val="00950752"/>
    <w:rsid w:val="00966424"/>
    <w:rsid w:val="009850F2"/>
    <w:rsid w:val="009C2DE6"/>
    <w:rsid w:val="009E0601"/>
    <w:rsid w:val="009E2A39"/>
    <w:rsid w:val="00A04458"/>
    <w:rsid w:val="00A1252A"/>
    <w:rsid w:val="00A40DE5"/>
    <w:rsid w:val="00A760F7"/>
    <w:rsid w:val="00AA40ED"/>
    <w:rsid w:val="00AA6F92"/>
    <w:rsid w:val="00AA7009"/>
    <w:rsid w:val="00AB400F"/>
    <w:rsid w:val="00AB6934"/>
    <w:rsid w:val="00AD7FFC"/>
    <w:rsid w:val="00AE04F7"/>
    <w:rsid w:val="00AF42DE"/>
    <w:rsid w:val="00AF7A5A"/>
    <w:rsid w:val="00B26ACD"/>
    <w:rsid w:val="00B3116E"/>
    <w:rsid w:val="00B3369F"/>
    <w:rsid w:val="00B430F6"/>
    <w:rsid w:val="00B94E6C"/>
    <w:rsid w:val="00BA33A0"/>
    <w:rsid w:val="00BB4606"/>
    <w:rsid w:val="00BC7760"/>
    <w:rsid w:val="00BF11F9"/>
    <w:rsid w:val="00C23D2F"/>
    <w:rsid w:val="00C443BD"/>
    <w:rsid w:val="00C451C5"/>
    <w:rsid w:val="00C9161D"/>
    <w:rsid w:val="00CA0C1D"/>
    <w:rsid w:val="00CF1848"/>
    <w:rsid w:val="00D12044"/>
    <w:rsid w:val="00D30264"/>
    <w:rsid w:val="00D33EFC"/>
    <w:rsid w:val="00D40DBC"/>
    <w:rsid w:val="00D454F1"/>
    <w:rsid w:val="00D76A18"/>
    <w:rsid w:val="00D80849"/>
    <w:rsid w:val="00D82E8F"/>
    <w:rsid w:val="00D9755F"/>
    <w:rsid w:val="00DD118C"/>
    <w:rsid w:val="00DE7C7C"/>
    <w:rsid w:val="00DF173A"/>
    <w:rsid w:val="00E058CC"/>
    <w:rsid w:val="00E64647"/>
    <w:rsid w:val="00E66235"/>
    <w:rsid w:val="00E82A13"/>
    <w:rsid w:val="00E83C24"/>
    <w:rsid w:val="00E9318D"/>
    <w:rsid w:val="00EC14E6"/>
    <w:rsid w:val="00EC1F46"/>
    <w:rsid w:val="00F44686"/>
    <w:rsid w:val="00F53193"/>
    <w:rsid w:val="00F5357E"/>
    <w:rsid w:val="00F6586C"/>
    <w:rsid w:val="00F94774"/>
    <w:rsid w:val="00FA0E9A"/>
    <w:rsid w:val="00FA663B"/>
    <w:rsid w:val="00FB6142"/>
    <w:rsid w:val="00FC25F8"/>
    <w:rsid w:val="00FC53DB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44B5DE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Revision">
    <w:name w:val="Revision"/>
    <w:hidden/>
    <w:uiPriority w:val="99"/>
    <w:semiHidden/>
    <w:rsid w:val="003059D1"/>
    <w:rPr>
      <w:rFonts w:ascii="Times New Roman" w:eastAsia="Times New Roman" w:hAnsi="Times New Roman" w:cs="Times New Roman"/>
      <w:sz w:val="22"/>
      <w:lang w:val="en-GB"/>
    </w:rPr>
  </w:style>
  <w:style w:type="paragraph" w:styleId="NormalWeb">
    <w:name w:val="Normal (Web)"/>
    <w:basedOn w:val="Normal"/>
    <w:uiPriority w:val="99"/>
    <w:unhideWhenUsed/>
    <w:rsid w:val="005714B4"/>
    <w:pPr>
      <w:spacing w:before="100" w:beforeAutospacing="1" w:after="100" w:afterAutospacing="1"/>
      <w:jc w:val="left"/>
    </w:pPr>
    <w:rPr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921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92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114A2C"/>
    <w:rsid w:val="00346CD3"/>
    <w:rsid w:val="0046422C"/>
    <w:rsid w:val="004760CF"/>
    <w:rsid w:val="004E092F"/>
    <w:rsid w:val="00500A2B"/>
    <w:rsid w:val="0058288D"/>
    <w:rsid w:val="00665C6B"/>
    <w:rsid w:val="006801B3"/>
    <w:rsid w:val="00810A55"/>
    <w:rsid w:val="008C6619"/>
    <w:rsid w:val="008D420E"/>
    <w:rsid w:val="0098642F"/>
    <w:rsid w:val="00A256FA"/>
    <w:rsid w:val="00B27D2C"/>
    <w:rsid w:val="00B6707D"/>
    <w:rsid w:val="00BE2168"/>
    <w:rsid w:val="00C37CE7"/>
    <w:rsid w:val="00C8104B"/>
    <w:rsid w:val="00D21EF4"/>
    <w:rsid w:val="00D31D12"/>
    <w:rsid w:val="00DF0A3D"/>
    <w:rsid w:val="00F8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C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6" ma:contentTypeDescription="Create a new document." ma:contentTypeScope="" ma:versionID="c4c16e1197cbe4f6532fc82c1f1e71e6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0ec9788a2d0b4eb663de8bd5a6a0cb9f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3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1B8B6-D150-44DF-B744-0740F98F8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2A0005-6FD8-455B-8E42-C9C8F0DF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NP-4/5.	Enhancing the implementation of the Nagoya Protocol in the context of the post-2020 global biodiversity framework</vt:lpstr>
    </vt:vector>
  </TitlesOfParts>
  <Company>SCBD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NP-4/5.	Enhancing the implementation of the Nagoya Protocol in the context of the Kunming-Montreal Global Biodiversity Framework</dc:title>
  <dc:subject>CBD/NP/MOP/DEC/4/5</dc:subject>
  <dc:creator>SCBD</dc:creator>
  <cp:keywords>Decision adopted by the Parties to the Nagoya Protocol on Access and Benefit-sharing</cp:keywords>
  <cp:lastModifiedBy>Veronique Lefebvre</cp:lastModifiedBy>
  <cp:revision>3</cp:revision>
  <cp:lastPrinted>2023-02-22T19:54:00Z</cp:lastPrinted>
  <dcterms:created xsi:type="dcterms:W3CDTF">2023-02-22T20:16:00Z</dcterms:created>
  <dcterms:modified xsi:type="dcterms:W3CDTF">2023-02-22T20:17:00Z</dcterms:modified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