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5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3840"/>
      </w:tblGrid>
      <w:tr w:rsidR="00C9161D" w:rsidRPr="008F7141" w14:paraId="07F6750D" w14:textId="77777777" w:rsidTr="00D775C3">
        <w:trPr>
          <w:trHeight w:val="851"/>
        </w:trPr>
        <w:tc>
          <w:tcPr>
            <w:tcW w:w="976" w:type="dxa"/>
            <w:tcBorders>
              <w:bottom w:val="single" w:sz="12" w:space="0" w:color="auto"/>
            </w:tcBorders>
          </w:tcPr>
          <w:p w14:paraId="1DEFF495" w14:textId="77777777" w:rsidR="00C9161D" w:rsidRPr="008F7141" w:rsidRDefault="00C9161D" w:rsidP="00321985">
            <w:r w:rsidRPr="008F7141">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0" w:type="auto"/>
            <w:tcBorders>
              <w:bottom w:val="single" w:sz="12" w:space="0" w:color="auto"/>
            </w:tcBorders>
            <w:shd w:val="clear" w:color="auto" w:fill="auto"/>
            <w:tcFitText/>
          </w:tcPr>
          <w:p w14:paraId="1986B63F" w14:textId="1087733B" w:rsidR="00FA663B" w:rsidRPr="008F7141" w:rsidRDefault="00AA6F92" w:rsidP="00321985">
            <w:r w:rsidRPr="008F7141">
              <w:rPr>
                <w:noProof/>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3840" w:type="dxa"/>
            <w:tcBorders>
              <w:bottom w:val="single" w:sz="12" w:space="0" w:color="auto"/>
            </w:tcBorders>
          </w:tcPr>
          <w:p w14:paraId="600A589D" w14:textId="77777777" w:rsidR="00C9161D" w:rsidRPr="008F7141" w:rsidRDefault="00C9161D" w:rsidP="00BE41D3">
            <w:pPr>
              <w:ind w:right="-105"/>
              <w:jc w:val="right"/>
              <w:rPr>
                <w:rFonts w:ascii="Arial" w:hAnsi="Arial" w:cs="Arial"/>
                <w:b/>
                <w:sz w:val="32"/>
                <w:szCs w:val="32"/>
              </w:rPr>
            </w:pPr>
            <w:r w:rsidRPr="008F7141">
              <w:rPr>
                <w:rFonts w:ascii="Arial" w:hAnsi="Arial" w:cs="Arial"/>
                <w:b/>
                <w:sz w:val="32"/>
                <w:szCs w:val="32"/>
              </w:rPr>
              <w:t>CBD</w:t>
            </w:r>
          </w:p>
        </w:tc>
      </w:tr>
      <w:tr w:rsidR="00C9161D" w14:paraId="6F751905" w14:textId="77777777" w:rsidTr="00D775C3">
        <w:tc>
          <w:tcPr>
            <w:tcW w:w="6117" w:type="dxa"/>
            <w:gridSpan w:val="2"/>
            <w:tcBorders>
              <w:top w:val="single" w:sz="12" w:space="0" w:color="auto"/>
              <w:bottom w:val="single" w:sz="36" w:space="0" w:color="auto"/>
            </w:tcBorders>
            <w:vAlign w:val="center"/>
          </w:tcPr>
          <w:p w14:paraId="14F52A6C" w14:textId="77777777" w:rsidR="00C9161D" w:rsidRPr="008F7141" w:rsidRDefault="00C9161D" w:rsidP="00C9161D">
            <w:r w:rsidRPr="008F7141">
              <w:rPr>
                <w:noProof/>
                <w:lang w:val="en-US"/>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3840" w:type="dxa"/>
            <w:tcBorders>
              <w:top w:val="single" w:sz="12" w:space="0" w:color="auto"/>
              <w:bottom w:val="single" w:sz="36" w:space="0" w:color="auto"/>
            </w:tcBorders>
          </w:tcPr>
          <w:p w14:paraId="1C693BA4" w14:textId="77777777" w:rsidR="00C9161D" w:rsidRPr="008F7141" w:rsidRDefault="00C9161D" w:rsidP="00D775C3">
            <w:pPr>
              <w:ind w:left="1036"/>
              <w:rPr>
                <w:szCs w:val="22"/>
              </w:rPr>
            </w:pPr>
            <w:r w:rsidRPr="008F7141">
              <w:rPr>
                <w:szCs w:val="22"/>
              </w:rPr>
              <w:t>Distr.</w:t>
            </w:r>
          </w:p>
          <w:p w14:paraId="0C21C438" w14:textId="6A7B9497" w:rsidR="00C9161D" w:rsidRPr="008F7141" w:rsidRDefault="00E331ED" w:rsidP="00D775C3">
            <w:pPr>
              <w:ind w:left="1036" w:right="810"/>
              <w:rPr>
                <w:szCs w:val="22"/>
              </w:rPr>
            </w:pPr>
            <w:r w:rsidRPr="008F7141">
              <w:rPr>
                <w:caps/>
                <w:szCs w:val="22"/>
              </w:rPr>
              <w:t>GENERAL</w:t>
            </w:r>
          </w:p>
          <w:p w14:paraId="06715052" w14:textId="77777777" w:rsidR="00C9161D" w:rsidRPr="008F7141" w:rsidRDefault="00C9161D" w:rsidP="00D775C3">
            <w:pPr>
              <w:ind w:left="1036"/>
              <w:rPr>
                <w:szCs w:val="22"/>
              </w:rPr>
            </w:pPr>
          </w:p>
          <w:p w14:paraId="44230134" w14:textId="65961E4F" w:rsidR="00C9161D" w:rsidRPr="008F7141" w:rsidRDefault="00F42049" w:rsidP="00D775C3">
            <w:pPr>
              <w:ind w:left="1036"/>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C12E92" w:rsidRPr="008F7141">
                  <w:rPr>
                    <w:lang w:val="en-US"/>
                  </w:rPr>
                  <w:t>CBD/NP/MOP/DEC/4/4</w:t>
                </w:r>
              </w:sdtContent>
            </w:sdt>
          </w:p>
          <w:p w14:paraId="0DF1F033" w14:textId="1EBC4D01" w:rsidR="00C9161D" w:rsidRPr="008F7141" w:rsidRDefault="00904DD1" w:rsidP="00D775C3">
            <w:pPr>
              <w:ind w:left="1036"/>
              <w:rPr>
                <w:szCs w:val="22"/>
              </w:rPr>
            </w:pPr>
            <w:r w:rsidRPr="008F7141">
              <w:rPr>
                <w:szCs w:val="22"/>
                <w:lang w:val="en-US"/>
              </w:rPr>
              <w:t>1</w:t>
            </w:r>
            <w:r w:rsidR="00EF7376" w:rsidRPr="008F7141">
              <w:rPr>
                <w:szCs w:val="22"/>
                <w:lang w:val="en-US"/>
              </w:rPr>
              <w:t>9 December</w:t>
            </w:r>
            <w:r w:rsidR="00F6586C" w:rsidRPr="008F7141">
              <w:rPr>
                <w:szCs w:val="22"/>
                <w:lang w:val="en-US"/>
              </w:rPr>
              <w:t xml:space="preserve"> 20</w:t>
            </w:r>
            <w:r w:rsidR="00FC25F8" w:rsidRPr="008F7141">
              <w:rPr>
                <w:szCs w:val="22"/>
                <w:lang w:val="en-US"/>
              </w:rPr>
              <w:t>2</w:t>
            </w:r>
            <w:r w:rsidR="00B26ACD" w:rsidRPr="008F7141">
              <w:rPr>
                <w:szCs w:val="22"/>
                <w:lang w:val="en-US"/>
              </w:rPr>
              <w:t>2</w:t>
            </w:r>
          </w:p>
          <w:p w14:paraId="159892DF" w14:textId="77777777" w:rsidR="00C9161D" w:rsidRPr="008F7141" w:rsidRDefault="00C9161D" w:rsidP="00D775C3">
            <w:pPr>
              <w:ind w:left="1036"/>
              <w:rPr>
                <w:szCs w:val="22"/>
              </w:rPr>
            </w:pPr>
          </w:p>
          <w:p w14:paraId="19472D49" w14:textId="77777777" w:rsidR="00C9161D" w:rsidRPr="00C9161D" w:rsidRDefault="006B2290" w:rsidP="00D775C3">
            <w:pPr>
              <w:ind w:left="1036"/>
              <w:rPr>
                <w:szCs w:val="22"/>
              </w:rPr>
            </w:pPr>
            <w:r w:rsidRPr="008F7141">
              <w:rPr>
                <w:szCs w:val="22"/>
              </w:rPr>
              <w:t xml:space="preserve">ORIGINAL: </w:t>
            </w:r>
            <w:r w:rsidR="00C9161D" w:rsidRPr="008F7141">
              <w:rPr>
                <w:szCs w:val="22"/>
              </w:rPr>
              <w:t>ENGLISH</w:t>
            </w:r>
          </w:p>
          <w:p w14:paraId="5AA10CCE" w14:textId="77777777" w:rsidR="00C9161D" w:rsidRDefault="00C9161D"/>
        </w:tc>
      </w:tr>
    </w:tbl>
    <w:p w14:paraId="1BF4A9A2" w14:textId="1D92CDB0" w:rsidR="003B7BB2" w:rsidRPr="00910961" w:rsidRDefault="003B7BB2" w:rsidP="00BA33A0">
      <w:pPr>
        <w:pStyle w:val="Cornernotation"/>
        <w:kinsoku w:val="0"/>
        <w:overflowPunct w:val="0"/>
        <w:autoSpaceDE w:val="0"/>
        <w:autoSpaceDN w:val="0"/>
        <w:spacing w:before="60"/>
        <w:ind w:left="227" w:right="3792" w:hanging="227"/>
        <w:rPr>
          <w:snapToGrid w:val="0"/>
          <w:kern w:val="22"/>
        </w:rPr>
      </w:pPr>
      <w:r w:rsidRPr="00910961">
        <w:rPr>
          <w:snapToGrid w:val="0"/>
          <w:kern w:val="22"/>
        </w:rPr>
        <w:t xml:space="preserve">CONFERENCE OF THE PARTIES TO THE CONVENTION ON BIOLOGICAL DIVERSITY </w:t>
      </w:r>
      <w:r w:rsidR="005E0ED3">
        <w:rPr>
          <w:snapToGrid w:val="0"/>
          <w:kern w:val="22"/>
        </w:rPr>
        <w:t xml:space="preserve">SERVING AS THE MEETING OF THE PARTIES TO THE </w:t>
      </w:r>
      <w:r w:rsidR="0083009D">
        <w:rPr>
          <w:snapToGrid w:val="0"/>
          <w:kern w:val="22"/>
        </w:rPr>
        <w:t>NAGOYA PROTOCOL ON ACCESS TO GENETIC RESOURCES AND THE FAIR AND EQUITABLE SHARING</w:t>
      </w:r>
      <w:r w:rsidR="00BA33A0">
        <w:rPr>
          <w:snapToGrid w:val="0"/>
          <w:kern w:val="22"/>
        </w:rPr>
        <w:t xml:space="preserve"> OF BENEFITS ARISING FROM THEIR UTILIZATION</w:t>
      </w:r>
    </w:p>
    <w:p w14:paraId="141C6194" w14:textId="056A5FC1" w:rsidR="003B7BB2" w:rsidRPr="00910961" w:rsidRDefault="00BA33A0" w:rsidP="00BA33A0">
      <w:pPr>
        <w:pStyle w:val="Cornernotation"/>
        <w:kinsoku w:val="0"/>
        <w:overflowPunct w:val="0"/>
        <w:autoSpaceDE w:val="0"/>
        <w:autoSpaceDN w:val="0"/>
        <w:ind w:left="0" w:right="3792" w:firstLine="0"/>
        <w:rPr>
          <w:snapToGrid w:val="0"/>
          <w:kern w:val="22"/>
        </w:rPr>
      </w:pPr>
      <w:r>
        <w:rPr>
          <w:snapToGrid w:val="0"/>
          <w:kern w:val="22"/>
        </w:rPr>
        <w:t>Fourth</w:t>
      </w:r>
      <w:r w:rsidR="003B7BB2" w:rsidRPr="00910961">
        <w:rPr>
          <w:snapToGrid w:val="0"/>
          <w:kern w:val="22"/>
        </w:rPr>
        <w:t xml:space="preserve"> meeting</w:t>
      </w:r>
      <w:r w:rsidR="00AD7FFC">
        <w:rPr>
          <w:snapToGrid w:val="0"/>
          <w:kern w:val="22"/>
        </w:rPr>
        <w:t xml:space="preserve"> </w:t>
      </w:r>
      <w:r w:rsidR="00B26ACD">
        <w:rPr>
          <w:snapToGrid w:val="0"/>
          <w:kern w:val="22"/>
        </w:rPr>
        <w:t>– Part II</w:t>
      </w:r>
    </w:p>
    <w:p w14:paraId="4268D28C" w14:textId="78B11728" w:rsidR="003B7BB2" w:rsidRPr="00660CB5" w:rsidRDefault="00B26ACD" w:rsidP="00BA33A0">
      <w:pPr>
        <w:pStyle w:val="Cornernotation"/>
        <w:kinsoku w:val="0"/>
        <w:overflowPunct w:val="0"/>
        <w:autoSpaceDE w:val="0"/>
        <w:autoSpaceDN w:val="0"/>
        <w:ind w:left="227" w:right="3792" w:hanging="227"/>
        <w:rPr>
          <w:snapToGrid w:val="0"/>
          <w:kern w:val="22"/>
          <w:szCs w:val="22"/>
          <w:lang w:eastAsia="nb-NO"/>
        </w:rPr>
      </w:pPr>
      <w:r>
        <w:rPr>
          <w:snapToGrid w:val="0"/>
          <w:kern w:val="22"/>
          <w:szCs w:val="22"/>
          <w:lang w:eastAsia="nb-NO"/>
        </w:rPr>
        <w:t>Montreal, Canada, 7-19 December 2022</w:t>
      </w:r>
    </w:p>
    <w:p w14:paraId="5ECF7635" w14:textId="417314EF" w:rsidR="00C9161D" w:rsidRDefault="00B26ACD" w:rsidP="00BA33A0">
      <w:pPr>
        <w:ind w:right="3792"/>
        <w:rPr>
          <w:snapToGrid w:val="0"/>
          <w:kern w:val="22"/>
          <w:szCs w:val="22"/>
        </w:rPr>
      </w:pPr>
      <w:r>
        <w:rPr>
          <w:snapToGrid w:val="0"/>
          <w:kern w:val="22"/>
          <w:szCs w:val="22"/>
        </w:rPr>
        <w:t>Agenda i</w:t>
      </w:r>
      <w:r w:rsidR="00134846" w:rsidRPr="004B44DE">
        <w:rPr>
          <w:snapToGrid w:val="0"/>
          <w:kern w:val="22"/>
          <w:szCs w:val="22"/>
        </w:rPr>
        <w:t xml:space="preserve">tem </w:t>
      </w:r>
      <w:r w:rsidR="001078CB">
        <w:rPr>
          <w:snapToGrid w:val="0"/>
          <w:kern w:val="22"/>
          <w:szCs w:val="22"/>
        </w:rPr>
        <w:t>9</w:t>
      </w:r>
      <w:r w:rsidR="00134846" w:rsidRPr="004B44DE">
        <w:rPr>
          <w:snapToGrid w:val="0"/>
          <w:kern w:val="22"/>
          <w:szCs w:val="22"/>
        </w:rPr>
        <w:t xml:space="preserve"> </w:t>
      </w:r>
    </w:p>
    <w:p w14:paraId="17E558AD" w14:textId="77777777" w:rsidR="00D67495" w:rsidRPr="007A73CD" w:rsidRDefault="00D67495" w:rsidP="00D67495">
      <w:pPr>
        <w:spacing w:before="240" w:after="240"/>
        <w:jc w:val="center"/>
        <w:rPr>
          <w:rFonts w:ascii="Times New Roman Bold" w:hAnsi="Times New Roman Bold"/>
          <w:b/>
          <w:bCs/>
          <w:caps/>
        </w:rPr>
      </w:pPr>
      <w:r w:rsidRPr="007A73CD">
        <w:rPr>
          <w:rFonts w:ascii="Times New Roman Bold" w:hAnsi="Times New Roman Bold"/>
          <w:b/>
          <w:bCs/>
          <w:caps/>
        </w:rPr>
        <w:t>Decision adopted by the Parties to the Nagoya Protocol on Access and Benefit-sharing</w:t>
      </w:r>
    </w:p>
    <w:p w14:paraId="57F6B7A1" w14:textId="45F8CAC3" w:rsidR="00C9161D" w:rsidRDefault="00F42049" w:rsidP="00BE41D3">
      <w:pPr>
        <w:tabs>
          <w:tab w:val="left" w:pos="993"/>
        </w:tabs>
        <w:spacing w:before="240" w:after="240"/>
        <w:jc w:val="center"/>
        <w:outlineLvl w:val="1"/>
        <w:rPr>
          <w:b/>
          <w:caps/>
        </w:rPr>
      </w:pPr>
      <w:sdt>
        <w:sdtPr>
          <w:rPr>
            <w:rFonts w:ascii="Times New Roman Bold" w:hAnsi="Times New Roman Bold"/>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463591">
            <w:rPr>
              <w:rFonts w:ascii="Times New Roman Bold" w:hAnsi="Times New Roman Bold"/>
              <w:kern w:val="22"/>
              <w:szCs w:val="22"/>
            </w:rPr>
            <w:t>NP-4/</w:t>
          </w:r>
          <w:r w:rsidR="000E5666">
            <w:rPr>
              <w:rFonts w:ascii="Times New Roman Bold" w:hAnsi="Times New Roman Bold"/>
              <w:kern w:val="22"/>
              <w:szCs w:val="22"/>
            </w:rPr>
            <w:t>4.</w:t>
          </w:r>
          <w:r w:rsidR="000E5666">
            <w:rPr>
              <w:rFonts w:ascii="Times New Roman Bold" w:hAnsi="Times New Roman Bold"/>
              <w:kern w:val="22"/>
              <w:szCs w:val="22"/>
            </w:rPr>
            <w:tab/>
          </w:r>
          <w:r w:rsidR="001078CB" w:rsidRPr="001078CB">
            <w:rPr>
              <w:rFonts w:ascii="Times New Roman Bold" w:hAnsi="Times New Roman Bold"/>
              <w:kern w:val="22"/>
              <w:szCs w:val="22"/>
            </w:rPr>
            <w:t>Access and Benefit-sharing Clearing-House and information sharing (Article 14)</w:t>
          </w:r>
        </w:sdtContent>
      </w:sdt>
      <w:r w:rsidR="00105372" w:rsidRPr="00105372">
        <w:rPr>
          <w:b/>
          <w:caps/>
        </w:rPr>
        <w:t xml:space="preserve"> </w:t>
      </w:r>
    </w:p>
    <w:p w14:paraId="5E88E5CF" w14:textId="77777777" w:rsidR="00AB2545" w:rsidRPr="0015115B" w:rsidRDefault="00AB2545" w:rsidP="00AB2545">
      <w:pPr>
        <w:spacing w:before="120" w:after="120"/>
        <w:ind w:firstLine="720"/>
        <w:rPr>
          <w:rFonts w:eastAsia="Malgun Gothic"/>
          <w:i/>
          <w:color w:val="000000" w:themeColor="text1"/>
          <w:kern w:val="20"/>
        </w:rPr>
      </w:pPr>
      <w:r w:rsidRPr="005C41BC">
        <w:rPr>
          <w:rFonts w:eastAsia="Malgun Gothic"/>
          <w:i/>
          <w:color w:val="000000" w:themeColor="text1"/>
          <w:kern w:val="20"/>
        </w:rPr>
        <w:t>The Conference of the Parties</w:t>
      </w:r>
      <w:r>
        <w:rPr>
          <w:rFonts w:eastAsia="Malgun Gothic"/>
          <w:i/>
          <w:color w:val="000000" w:themeColor="text1"/>
          <w:kern w:val="20"/>
        </w:rPr>
        <w:t xml:space="preserve"> </w:t>
      </w:r>
      <w:r w:rsidRPr="0015115B">
        <w:rPr>
          <w:rFonts w:eastAsia="Malgun Gothic"/>
          <w:i/>
          <w:color w:val="000000" w:themeColor="text1"/>
          <w:kern w:val="20"/>
        </w:rPr>
        <w:t>serving as the meeting of the Parties to the Nagoya Protocol</w:t>
      </w:r>
    </w:p>
    <w:p w14:paraId="44E522D8" w14:textId="77777777" w:rsidR="00AB2545" w:rsidRPr="00C208F8" w:rsidRDefault="00AB2545" w:rsidP="00AB2545">
      <w:pPr>
        <w:pStyle w:val="Para1"/>
        <w:numPr>
          <w:ilvl w:val="0"/>
          <w:numId w:val="0"/>
        </w:numPr>
        <w:pBdr>
          <w:top w:val="nil"/>
          <w:left w:val="nil"/>
          <w:bottom w:val="nil"/>
          <w:right w:val="nil"/>
          <w:between w:val="nil"/>
          <w:bar w:val="nil"/>
        </w:pBdr>
        <w:tabs>
          <w:tab w:val="left" w:pos="360"/>
        </w:tabs>
        <w:ind w:firstLine="720"/>
        <w:rPr>
          <w:szCs w:val="22"/>
        </w:rPr>
      </w:pPr>
      <w:bookmarkStart w:id="0" w:name="_Toc118407980"/>
      <w:r w:rsidRPr="0015115B">
        <w:rPr>
          <w:szCs w:val="22"/>
        </w:rPr>
        <w:t>1.</w:t>
      </w:r>
      <w:r w:rsidRPr="0015115B">
        <w:rPr>
          <w:szCs w:val="22"/>
        </w:rPr>
        <w:tab/>
      </w:r>
      <w:r w:rsidRPr="0015115B">
        <w:rPr>
          <w:i/>
          <w:szCs w:val="22"/>
        </w:rPr>
        <w:t xml:space="preserve">Welcomes </w:t>
      </w:r>
      <w:r w:rsidRPr="0015115B">
        <w:rPr>
          <w:szCs w:val="22"/>
        </w:rPr>
        <w:t>progress made by the Secretariat in the development and administration of the Access and Benefit-sharing Clearing-</w:t>
      </w:r>
      <w:proofErr w:type="gramStart"/>
      <w:r w:rsidRPr="0015115B">
        <w:rPr>
          <w:szCs w:val="22"/>
        </w:rPr>
        <w:t>House;</w:t>
      </w:r>
      <w:proofErr w:type="gramEnd"/>
    </w:p>
    <w:p w14:paraId="2576A0D9" w14:textId="748BD9EB" w:rsidR="00AB2545" w:rsidRPr="00C208F8" w:rsidRDefault="00AB2545" w:rsidP="00AB2545">
      <w:pPr>
        <w:pStyle w:val="Para1"/>
        <w:numPr>
          <w:ilvl w:val="0"/>
          <w:numId w:val="0"/>
        </w:numPr>
        <w:pBdr>
          <w:top w:val="nil"/>
          <w:left w:val="nil"/>
          <w:bottom w:val="nil"/>
          <w:right w:val="nil"/>
          <w:between w:val="nil"/>
          <w:bar w:val="nil"/>
        </w:pBdr>
        <w:tabs>
          <w:tab w:val="left" w:pos="360"/>
        </w:tabs>
        <w:ind w:firstLine="720"/>
        <w:rPr>
          <w:i/>
          <w:szCs w:val="22"/>
        </w:rPr>
      </w:pPr>
      <w:r>
        <w:rPr>
          <w:szCs w:val="22"/>
        </w:rPr>
        <w:t>2</w:t>
      </w:r>
      <w:r w:rsidRPr="00C208F8">
        <w:rPr>
          <w:szCs w:val="22"/>
        </w:rPr>
        <w:t>.</w:t>
      </w:r>
      <w:r w:rsidRPr="00C208F8">
        <w:rPr>
          <w:szCs w:val="22"/>
        </w:rPr>
        <w:tab/>
      </w:r>
      <w:r w:rsidR="00DB50CC" w:rsidRPr="005177DC">
        <w:rPr>
          <w:i/>
          <w:iCs/>
          <w:szCs w:val="22"/>
        </w:rPr>
        <w:t>Also w</w:t>
      </w:r>
      <w:r w:rsidRPr="005177DC">
        <w:rPr>
          <w:i/>
          <w:iCs/>
          <w:szCs w:val="22"/>
        </w:rPr>
        <w:t>elcomes</w:t>
      </w:r>
      <w:r w:rsidRPr="005177DC">
        <w:rPr>
          <w:szCs w:val="22"/>
        </w:rPr>
        <w:t xml:space="preserve"> the efforts made by Parties, other Governments, indigenous peoples and local communities and relevant stakeholders to make information available in the Access and Benefit-sharing Clearing-</w:t>
      </w:r>
      <w:proofErr w:type="gramStart"/>
      <w:r w:rsidRPr="005177DC">
        <w:rPr>
          <w:szCs w:val="22"/>
        </w:rPr>
        <w:t>House;</w:t>
      </w:r>
      <w:proofErr w:type="gramEnd"/>
    </w:p>
    <w:p w14:paraId="53055948" w14:textId="77777777" w:rsidR="00AB2545" w:rsidRPr="00C208F8" w:rsidRDefault="00AB2545" w:rsidP="00AB2545">
      <w:pPr>
        <w:pStyle w:val="Para1"/>
        <w:numPr>
          <w:ilvl w:val="0"/>
          <w:numId w:val="0"/>
        </w:numPr>
        <w:pBdr>
          <w:top w:val="nil"/>
          <w:left w:val="nil"/>
          <w:bottom w:val="nil"/>
          <w:right w:val="nil"/>
          <w:between w:val="nil"/>
          <w:bar w:val="nil"/>
        </w:pBdr>
        <w:tabs>
          <w:tab w:val="left" w:pos="360"/>
        </w:tabs>
        <w:ind w:firstLine="720"/>
        <w:rPr>
          <w:szCs w:val="22"/>
        </w:rPr>
      </w:pPr>
      <w:r>
        <w:rPr>
          <w:szCs w:val="22"/>
        </w:rPr>
        <w:t>3</w:t>
      </w:r>
      <w:r w:rsidRPr="00C208F8">
        <w:rPr>
          <w:szCs w:val="22"/>
        </w:rPr>
        <w:t>.</w:t>
      </w:r>
      <w:r w:rsidRPr="00C208F8">
        <w:rPr>
          <w:szCs w:val="22"/>
        </w:rPr>
        <w:tab/>
      </w:r>
      <w:r w:rsidRPr="00C208F8">
        <w:rPr>
          <w:i/>
          <w:iCs/>
          <w:szCs w:val="22"/>
        </w:rPr>
        <w:t>Recalls</w:t>
      </w:r>
      <w:r w:rsidRPr="00C208F8">
        <w:rPr>
          <w:szCs w:val="22"/>
        </w:rPr>
        <w:t xml:space="preserve"> decision NP-3/3, paragraph 3, in which Parties that have not yet done so are urged to publish all mandatory information available at the national level on the Access and Benefit-sharing Clearing-House in accordance with the obligations in Article 14, paragraph 2, of the Protocol, as soon as possible, considering that the publication of mandatory information in the Access and Benefit-sharing Clearing-House is essential for the implementation of the Nagoya Protocol; </w:t>
      </w:r>
    </w:p>
    <w:p w14:paraId="0F3EFEB1" w14:textId="77777777" w:rsidR="00AB2545" w:rsidRPr="00C208F8" w:rsidRDefault="00AB2545" w:rsidP="00AB2545">
      <w:pPr>
        <w:pStyle w:val="Para1"/>
        <w:numPr>
          <w:ilvl w:val="0"/>
          <w:numId w:val="0"/>
        </w:numPr>
        <w:pBdr>
          <w:top w:val="nil"/>
          <w:left w:val="nil"/>
          <w:bottom w:val="nil"/>
          <w:right w:val="nil"/>
          <w:between w:val="nil"/>
          <w:bar w:val="nil"/>
        </w:pBdr>
        <w:tabs>
          <w:tab w:val="left" w:pos="360"/>
        </w:tabs>
        <w:ind w:firstLine="720"/>
        <w:rPr>
          <w:szCs w:val="22"/>
        </w:rPr>
      </w:pPr>
      <w:r>
        <w:rPr>
          <w:szCs w:val="22"/>
        </w:rPr>
        <w:t>4</w:t>
      </w:r>
      <w:r w:rsidRPr="00C208F8">
        <w:rPr>
          <w:szCs w:val="22"/>
        </w:rPr>
        <w:t>.</w:t>
      </w:r>
      <w:r w:rsidRPr="00C208F8">
        <w:rPr>
          <w:szCs w:val="22"/>
        </w:rPr>
        <w:tab/>
      </w:r>
      <w:r w:rsidRPr="00F8774A">
        <w:rPr>
          <w:i/>
          <w:iCs/>
          <w:szCs w:val="22"/>
        </w:rPr>
        <w:t>A</w:t>
      </w:r>
      <w:r w:rsidRPr="00C208F8">
        <w:rPr>
          <w:i/>
          <w:szCs w:val="22"/>
        </w:rPr>
        <w:t>lso recalls</w:t>
      </w:r>
      <w:r w:rsidRPr="00C208F8">
        <w:rPr>
          <w:szCs w:val="22"/>
        </w:rPr>
        <w:t xml:space="preserve"> decision NP-3/3, paragraph 4, which urges Parties to provide information on their national access and benefit-sharing procedures through the voluntary common format on procedures, as available in the Access and Benefit-sharing Clearing-</w:t>
      </w:r>
      <w:proofErr w:type="gramStart"/>
      <w:r w:rsidRPr="00C208F8">
        <w:rPr>
          <w:szCs w:val="22"/>
        </w:rPr>
        <w:t>House;</w:t>
      </w:r>
      <w:proofErr w:type="gramEnd"/>
    </w:p>
    <w:p w14:paraId="7EBD967A" w14:textId="77777777" w:rsidR="00AB2545" w:rsidRPr="00AB4C73" w:rsidRDefault="00AB2545" w:rsidP="00AB2545">
      <w:pPr>
        <w:pStyle w:val="Para1"/>
        <w:numPr>
          <w:ilvl w:val="0"/>
          <w:numId w:val="0"/>
        </w:numPr>
        <w:pBdr>
          <w:top w:val="nil"/>
          <w:left w:val="nil"/>
          <w:bottom w:val="nil"/>
          <w:right w:val="nil"/>
          <w:between w:val="nil"/>
          <w:bar w:val="nil"/>
        </w:pBdr>
        <w:tabs>
          <w:tab w:val="left" w:pos="360"/>
        </w:tabs>
        <w:ind w:firstLine="720"/>
        <w:rPr>
          <w:iCs/>
          <w:szCs w:val="22"/>
        </w:rPr>
      </w:pPr>
      <w:r>
        <w:rPr>
          <w:iCs/>
          <w:szCs w:val="22"/>
        </w:rPr>
        <w:t>5</w:t>
      </w:r>
      <w:r w:rsidRPr="00AB4C73">
        <w:rPr>
          <w:iCs/>
          <w:szCs w:val="22"/>
        </w:rPr>
        <w:t>.</w:t>
      </w:r>
      <w:r w:rsidRPr="00AB4C73">
        <w:rPr>
          <w:iCs/>
          <w:szCs w:val="22"/>
        </w:rPr>
        <w:tab/>
      </w:r>
      <w:r w:rsidRPr="00F8774A">
        <w:rPr>
          <w:i/>
          <w:szCs w:val="22"/>
        </w:rPr>
        <w:t>Further r</w:t>
      </w:r>
      <w:r w:rsidRPr="00C208F8">
        <w:rPr>
          <w:i/>
          <w:szCs w:val="22"/>
        </w:rPr>
        <w:t>ecalls</w:t>
      </w:r>
      <w:r w:rsidRPr="00C208F8">
        <w:rPr>
          <w:iCs/>
          <w:szCs w:val="22"/>
        </w:rPr>
        <w:t xml:space="preserve"> decision NP-3/3, paragraph 9, which invites</w:t>
      </w:r>
      <w:r w:rsidRPr="00C208F8">
        <w:rPr>
          <w:szCs w:val="22"/>
        </w:rPr>
        <w:t xml:space="preserve"> </w:t>
      </w:r>
      <w:r w:rsidRPr="00C208F8">
        <w:rPr>
          <w:iCs/>
          <w:szCs w:val="22"/>
        </w:rPr>
        <w:t xml:space="preserve">Parties, </w:t>
      </w:r>
      <w:r>
        <w:rPr>
          <w:szCs w:val="22"/>
        </w:rPr>
        <w:t>other Governments</w:t>
      </w:r>
      <w:r w:rsidRPr="00C208F8">
        <w:rPr>
          <w:iCs/>
          <w:szCs w:val="22"/>
        </w:rPr>
        <w:t>, and relevant organizations to make use of the interoperability mechanisms of the Access and Benefit</w:t>
      </w:r>
      <w:r w:rsidRPr="00C208F8">
        <w:rPr>
          <w:iCs/>
          <w:szCs w:val="22"/>
        </w:rPr>
        <w:noBreakHyphen/>
        <w:t>sharing Clearing-House to facilitate information exchange with their relevant databases, websites and information technology systems, decision NP-3/3, paragraph 10, which invites</w:t>
      </w:r>
      <w:r w:rsidRPr="00C208F8">
        <w:rPr>
          <w:szCs w:val="22"/>
        </w:rPr>
        <w:t xml:space="preserve"> </w:t>
      </w:r>
      <w:r w:rsidRPr="00C208F8">
        <w:rPr>
          <w:iCs/>
          <w:szCs w:val="22"/>
        </w:rPr>
        <w:t xml:space="preserve">Parties, </w:t>
      </w:r>
      <w:r>
        <w:rPr>
          <w:szCs w:val="22"/>
        </w:rPr>
        <w:t>other Governments</w:t>
      </w:r>
      <w:r w:rsidRPr="00C208F8">
        <w:rPr>
          <w:iCs/>
          <w:szCs w:val="22"/>
        </w:rPr>
        <w:t xml:space="preserve">, and relevant organizations, as appropriate, to include capacity-building activities related to the Access and Benefit-sharing Clearing-House in their relevant capacity-building activities, plans and projects in coordination with the Executive </w:t>
      </w:r>
      <w:r w:rsidRPr="00C208F8">
        <w:rPr>
          <w:szCs w:val="22"/>
        </w:rPr>
        <w:t>Secretary</w:t>
      </w:r>
      <w:r w:rsidRPr="00C208F8">
        <w:rPr>
          <w:iCs/>
          <w:szCs w:val="22"/>
        </w:rPr>
        <w:t xml:space="preserve">, and decision NP-3/3, paragraph 11, which invites Parties, </w:t>
      </w:r>
      <w:r>
        <w:rPr>
          <w:szCs w:val="22"/>
        </w:rPr>
        <w:t>other Governments</w:t>
      </w:r>
      <w:r w:rsidRPr="00C208F8">
        <w:rPr>
          <w:iCs/>
          <w:szCs w:val="22"/>
        </w:rPr>
        <w:t>, relevant international organizations, regional development</w:t>
      </w:r>
      <w:r w:rsidRPr="00AB4C73">
        <w:rPr>
          <w:iCs/>
          <w:szCs w:val="22"/>
        </w:rPr>
        <w:t xml:space="preserve"> banks and other financial institutions, as appropriate, to support capacity-building activities related to the Access and Benefit-sharing Clearing-House, including the Protocol’s system for monitoring the utilization of genetic resources;</w:t>
      </w:r>
    </w:p>
    <w:p w14:paraId="4A42BFC7" w14:textId="77777777" w:rsidR="00AB2545" w:rsidRPr="004E5DDB" w:rsidRDefault="00AB2545" w:rsidP="00AB2545">
      <w:pPr>
        <w:pStyle w:val="Para1"/>
        <w:numPr>
          <w:ilvl w:val="0"/>
          <w:numId w:val="0"/>
        </w:numPr>
        <w:pBdr>
          <w:top w:val="nil"/>
          <w:left w:val="nil"/>
          <w:bottom w:val="nil"/>
          <w:right w:val="nil"/>
          <w:between w:val="nil"/>
          <w:bar w:val="nil"/>
        </w:pBdr>
        <w:tabs>
          <w:tab w:val="left" w:pos="360"/>
        </w:tabs>
        <w:ind w:firstLine="720"/>
        <w:rPr>
          <w:iCs/>
          <w:szCs w:val="22"/>
        </w:rPr>
      </w:pPr>
      <w:r>
        <w:rPr>
          <w:iCs/>
          <w:szCs w:val="22"/>
        </w:rPr>
        <w:t>6</w:t>
      </w:r>
      <w:r w:rsidRPr="004E5DDB">
        <w:rPr>
          <w:iCs/>
          <w:szCs w:val="22"/>
        </w:rPr>
        <w:t>.</w:t>
      </w:r>
      <w:r w:rsidRPr="004E5DDB">
        <w:rPr>
          <w:iCs/>
          <w:szCs w:val="22"/>
        </w:rPr>
        <w:tab/>
      </w:r>
      <w:r w:rsidRPr="00AB4C73">
        <w:rPr>
          <w:i/>
          <w:szCs w:val="22"/>
        </w:rPr>
        <w:t>Invites</w:t>
      </w:r>
      <w:r w:rsidRPr="00AB4C73">
        <w:rPr>
          <w:iCs/>
          <w:szCs w:val="22"/>
        </w:rPr>
        <w:t xml:space="preserve"> Parties, </w:t>
      </w:r>
      <w:r>
        <w:rPr>
          <w:szCs w:val="22"/>
        </w:rPr>
        <w:t>other Governments</w:t>
      </w:r>
      <w:r w:rsidRPr="00AB4C73">
        <w:rPr>
          <w:iCs/>
          <w:szCs w:val="22"/>
        </w:rPr>
        <w:t>, relevant international organizations, regional development banks and other financial institutions, as appropriate, to support capacity-building</w:t>
      </w:r>
      <w:r>
        <w:rPr>
          <w:iCs/>
          <w:szCs w:val="22"/>
        </w:rPr>
        <w:t xml:space="preserve"> and development</w:t>
      </w:r>
      <w:r w:rsidRPr="00AB4C73">
        <w:rPr>
          <w:iCs/>
          <w:szCs w:val="22"/>
        </w:rPr>
        <w:t xml:space="preserve"> activities, including those related to setting up national access and benefit-sharing </w:t>
      </w:r>
      <w:r>
        <w:rPr>
          <w:iCs/>
          <w:szCs w:val="22"/>
        </w:rPr>
        <w:t xml:space="preserve">electronic </w:t>
      </w:r>
      <w:r w:rsidRPr="00AB4C73">
        <w:rPr>
          <w:iCs/>
          <w:szCs w:val="22"/>
        </w:rPr>
        <w:t>permitting systems and other relevant information technology systems that make use of the interoperability mechanisms of the Access and Benefit-sharing Clearing-</w:t>
      </w:r>
      <w:proofErr w:type="gramStart"/>
      <w:r w:rsidRPr="00AB4C73">
        <w:rPr>
          <w:iCs/>
          <w:szCs w:val="22"/>
        </w:rPr>
        <w:t>House;</w:t>
      </w:r>
      <w:proofErr w:type="gramEnd"/>
    </w:p>
    <w:p w14:paraId="57E71A58" w14:textId="57552738" w:rsidR="00C13AD7" w:rsidRPr="00305024" w:rsidRDefault="00AB2545" w:rsidP="007571FF">
      <w:pPr>
        <w:pStyle w:val="Para1"/>
        <w:numPr>
          <w:ilvl w:val="0"/>
          <w:numId w:val="0"/>
        </w:numPr>
        <w:pBdr>
          <w:top w:val="nil"/>
          <w:left w:val="nil"/>
          <w:bottom w:val="nil"/>
          <w:right w:val="nil"/>
          <w:between w:val="nil"/>
          <w:bar w:val="nil"/>
        </w:pBdr>
        <w:tabs>
          <w:tab w:val="left" w:pos="360"/>
        </w:tabs>
        <w:ind w:firstLine="720"/>
      </w:pPr>
      <w:r w:rsidRPr="00305024">
        <w:rPr>
          <w:iCs/>
          <w:szCs w:val="22"/>
        </w:rPr>
        <w:t>7.</w:t>
      </w:r>
      <w:r w:rsidRPr="00305024">
        <w:rPr>
          <w:iCs/>
          <w:szCs w:val="22"/>
        </w:rPr>
        <w:tab/>
      </w:r>
      <w:r w:rsidRPr="00305024">
        <w:rPr>
          <w:i/>
          <w:szCs w:val="22"/>
        </w:rPr>
        <w:t xml:space="preserve">Requests </w:t>
      </w:r>
      <w:r w:rsidRPr="00305024">
        <w:rPr>
          <w:iCs/>
          <w:szCs w:val="22"/>
        </w:rPr>
        <w:t>the Executive Secretary, taking into account the progress already made,</w:t>
      </w:r>
      <w:r w:rsidRPr="00305024">
        <w:rPr>
          <w:i/>
          <w:szCs w:val="22"/>
        </w:rPr>
        <w:t xml:space="preserve"> </w:t>
      </w:r>
      <w:r w:rsidRPr="00305024">
        <w:rPr>
          <w:iCs/>
          <w:szCs w:val="22"/>
        </w:rPr>
        <w:t>to continue to develop and administer the Access and Benefit-sharing Clearing-House following the goals and priorities for the further development and administration of the Access and Benefit-sharing Clearing-House as found in the annex to decision NP-3/3, in accordance with the modalities of operation and feedback received, particularly that of Parties and of the Informal Advisory Committee to the Access and Benefit-sharing Clearing-House</w:t>
      </w:r>
      <w:r w:rsidR="002A67A5" w:rsidRPr="00305024">
        <w:rPr>
          <w:iCs/>
          <w:szCs w:val="22"/>
        </w:rPr>
        <w:t>,</w:t>
      </w:r>
      <w:r w:rsidRPr="00305024">
        <w:rPr>
          <w:iCs/>
          <w:szCs w:val="22"/>
        </w:rPr>
        <w:t xml:space="preserve"> and </w:t>
      </w:r>
      <w:r w:rsidR="003A0593" w:rsidRPr="00305024">
        <w:rPr>
          <w:iCs/>
          <w:szCs w:val="22"/>
        </w:rPr>
        <w:t xml:space="preserve">to </w:t>
      </w:r>
      <w:r w:rsidRPr="00305024">
        <w:rPr>
          <w:iCs/>
          <w:szCs w:val="22"/>
        </w:rPr>
        <w:t>explore ways to accommodate national circumstances</w:t>
      </w:r>
      <w:r w:rsidRPr="00305024">
        <w:t>.</w:t>
      </w:r>
      <w:bookmarkEnd w:id="0"/>
    </w:p>
    <w:p w14:paraId="3093D971" w14:textId="78BC25F5" w:rsidR="00B3369F" w:rsidRPr="00C9161D" w:rsidRDefault="00C9161D" w:rsidP="005F0F43">
      <w:pPr>
        <w:jc w:val="center"/>
      </w:pPr>
      <w:r w:rsidRPr="00305024">
        <w:t>_____</w:t>
      </w:r>
      <w:r w:rsidR="00EF7376" w:rsidRPr="00305024">
        <w:t>_____</w:t>
      </w:r>
    </w:p>
    <w:sectPr w:rsidR="00B3369F" w:rsidRPr="00C9161D" w:rsidSect="00F9496C">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46CC2" w14:textId="77777777" w:rsidR="00F42049" w:rsidRDefault="00F42049" w:rsidP="00CF1848">
      <w:r>
        <w:separator/>
      </w:r>
    </w:p>
  </w:endnote>
  <w:endnote w:type="continuationSeparator" w:id="0">
    <w:p w14:paraId="655AC7C2" w14:textId="77777777" w:rsidR="00F42049" w:rsidRDefault="00F42049"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C45F" w14:textId="77777777" w:rsidR="00F42049" w:rsidRDefault="00F42049" w:rsidP="00CF1848">
      <w:r>
        <w:separator/>
      </w:r>
    </w:p>
  </w:footnote>
  <w:footnote w:type="continuationSeparator" w:id="0">
    <w:p w14:paraId="5D59FD9D" w14:textId="77777777" w:rsidR="00F42049" w:rsidRDefault="00F42049"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25045AF3" w:rsidR="00534681" w:rsidRPr="00134846" w:rsidRDefault="00C12E92" w:rsidP="00534681">
        <w:pPr>
          <w:pStyle w:val="Header"/>
          <w:rPr>
            <w:lang w:val="fr-FR"/>
          </w:rPr>
        </w:pPr>
        <w:r>
          <w:rPr>
            <w:lang w:val="fr-FR"/>
          </w:rPr>
          <w:t>CBD/NP/MOP/DEC/4/4</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3792BE17" w:rsidR="009505C9" w:rsidRPr="00134846" w:rsidRDefault="00C12E92" w:rsidP="009505C9">
        <w:pPr>
          <w:pStyle w:val="Header"/>
          <w:jc w:val="right"/>
          <w:rPr>
            <w:lang w:val="fr-FR"/>
          </w:rPr>
        </w:pPr>
        <w:r>
          <w:rPr>
            <w:lang w:val="fr-FR"/>
          </w:rPr>
          <w:t>CBD/NP/MOP/DEC/4/4</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3900326">
    <w:abstractNumId w:val="3"/>
  </w:num>
  <w:num w:numId="2" w16cid:durableId="2143037648">
    <w:abstractNumId w:val="6"/>
  </w:num>
  <w:num w:numId="3" w16cid:durableId="1947497873">
    <w:abstractNumId w:val="4"/>
  </w:num>
  <w:num w:numId="4" w16cid:durableId="2082948181">
    <w:abstractNumId w:val="6"/>
  </w:num>
  <w:num w:numId="5" w16cid:durableId="304089712">
    <w:abstractNumId w:val="5"/>
  </w:num>
  <w:num w:numId="6" w16cid:durableId="1857841772">
    <w:abstractNumId w:val="0"/>
  </w:num>
  <w:num w:numId="7" w16cid:durableId="1760758194">
    <w:abstractNumId w:val="2"/>
  </w:num>
  <w:num w:numId="8" w16cid:durableId="1856118034">
    <w:abstractNumId w:val="4"/>
    <w:lvlOverride w:ilvl="0">
      <w:startOverride w:val="1"/>
    </w:lvlOverride>
  </w:num>
  <w:num w:numId="9" w16cid:durableId="847332773">
    <w:abstractNumId w:val="9"/>
  </w:num>
  <w:num w:numId="10" w16cid:durableId="580720679">
    <w:abstractNumId w:val="4"/>
    <w:lvlOverride w:ilvl="0">
      <w:startOverride w:val="1"/>
    </w:lvlOverride>
  </w:num>
  <w:num w:numId="11" w16cid:durableId="1402287181">
    <w:abstractNumId w:val="4"/>
    <w:lvlOverride w:ilvl="0">
      <w:startOverride w:val="1"/>
    </w:lvlOverride>
  </w:num>
  <w:num w:numId="12" w16cid:durableId="2099784318">
    <w:abstractNumId w:val="4"/>
    <w:lvlOverride w:ilvl="0">
      <w:startOverride w:val="1"/>
    </w:lvlOverride>
  </w:num>
  <w:num w:numId="13" w16cid:durableId="813526233">
    <w:abstractNumId w:val="4"/>
    <w:lvlOverride w:ilvl="0">
      <w:startOverride w:val="1"/>
    </w:lvlOverride>
  </w:num>
  <w:num w:numId="14" w16cid:durableId="1239636066">
    <w:abstractNumId w:val="8"/>
  </w:num>
  <w:num w:numId="15" w16cid:durableId="905532201">
    <w:abstractNumId w:val="7"/>
  </w:num>
  <w:num w:numId="16" w16cid:durableId="32580019">
    <w:abstractNumId w:val="1"/>
  </w:num>
  <w:num w:numId="17" w16cid:durableId="668680090">
    <w:abstractNumId w:val="10"/>
  </w:num>
  <w:num w:numId="18" w16cid:durableId="8367270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20A25"/>
    <w:rsid w:val="00053B24"/>
    <w:rsid w:val="0007171B"/>
    <w:rsid w:val="00072AC0"/>
    <w:rsid w:val="000C64C2"/>
    <w:rsid w:val="000D524B"/>
    <w:rsid w:val="000E5666"/>
    <w:rsid w:val="000E673A"/>
    <w:rsid w:val="000F2DA3"/>
    <w:rsid w:val="000F74F5"/>
    <w:rsid w:val="00105372"/>
    <w:rsid w:val="001078CB"/>
    <w:rsid w:val="00111C5B"/>
    <w:rsid w:val="001226B6"/>
    <w:rsid w:val="001274DE"/>
    <w:rsid w:val="001312AD"/>
    <w:rsid w:val="001312EB"/>
    <w:rsid w:val="00131E7A"/>
    <w:rsid w:val="00134846"/>
    <w:rsid w:val="0015115B"/>
    <w:rsid w:val="00172AF6"/>
    <w:rsid w:val="00176CEE"/>
    <w:rsid w:val="001779C3"/>
    <w:rsid w:val="00186DD8"/>
    <w:rsid w:val="00195CAB"/>
    <w:rsid w:val="001A45CA"/>
    <w:rsid w:val="001A4D98"/>
    <w:rsid w:val="001B13FE"/>
    <w:rsid w:val="001E38DB"/>
    <w:rsid w:val="00274635"/>
    <w:rsid w:val="00281B3B"/>
    <w:rsid w:val="002856D0"/>
    <w:rsid w:val="002A67A5"/>
    <w:rsid w:val="002E771E"/>
    <w:rsid w:val="0030169D"/>
    <w:rsid w:val="00305024"/>
    <w:rsid w:val="003060EB"/>
    <w:rsid w:val="00307E91"/>
    <w:rsid w:val="003153EB"/>
    <w:rsid w:val="00317693"/>
    <w:rsid w:val="00321985"/>
    <w:rsid w:val="003434BE"/>
    <w:rsid w:val="00351205"/>
    <w:rsid w:val="00372F74"/>
    <w:rsid w:val="00386DD9"/>
    <w:rsid w:val="003A0593"/>
    <w:rsid w:val="003B7BB2"/>
    <w:rsid w:val="003D0B38"/>
    <w:rsid w:val="003F7224"/>
    <w:rsid w:val="00427D21"/>
    <w:rsid w:val="004352D5"/>
    <w:rsid w:val="00463591"/>
    <w:rsid w:val="004644C2"/>
    <w:rsid w:val="00467F9C"/>
    <w:rsid w:val="005177DC"/>
    <w:rsid w:val="00534681"/>
    <w:rsid w:val="00553FF7"/>
    <w:rsid w:val="00561508"/>
    <w:rsid w:val="00563442"/>
    <w:rsid w:val="00565B42"/>
    <w:rsid w:val="005B4ADC"/>
    <w:rsid w:val="005C4CE6"/>
    <w:rsid w:val="005E0ED3"/>
    <w:rsid w:val="005E6675"/>
    <w:rsid w:val="005F0693"/>
    <w:rsid w:val="005F0F43"/>
    <w:rsid w:val="005F6D76"/>
    <w:rsid w:val="00604A13"/>
    <w:rsid w:val="006122BA"/>
    <w:rsid w:val="0065472D"/>
    <w:rsid w:val="0068037C"/>
    <w:rsid w:val="006B2290"/>
    <w:rsid w:val="006C7F68"/>
    <w:rsid w:val="006D5329"/>
    <w:rsid w:val="00711F71"/>
    <w:rsid w:val="00717D88"/>
    <w:rsid w:val="007462DB"/>
    <w:rsid w:val="007571FF"/>
    <w:rsid w:val="00786056"/>
    <w:rsid w:val="0078679A"/>
    <w:rsid w:val="0078741C"/>
    <w:rsid w:val="007942D3"/>
    <w:rsid w:val="007B2099"/>
    <w:rsid w:val="007B6C09"/>
    <w:rsid w:val="007B7741"/>
    <w:rsid w:val="007E09DA"/>
    <w:rsid w:val="007E0DA8"/>
    <w:rsid w:val="00805BD3"/>
    <w:rsid w:val="008178B6"/>
    <w:rsid w:val="0083009D"/>
    <w:rsid w:val="008341D9"/>
    <w:rsid w:val="00840F56"/>
    <w:rsid w:val="00865B74"/>
    <w:rsid w:val="008974F0"/>
    <w:rsid w:val="008A48EB"/>
    <w:rsid w:val="008B012A"/>
    <w:rsid w:val="008F7141"/>
    <w:rsid w:val="00904DD1"/>
    <w:rsid w:val="00906E17"/>
    <w:rsid w:val="0093075D"/>
    <w:rsid w:val="00930BA1"/>
    <w:rsid w:val="0093169E"/>
    <w:rsid w:val="00936C7E"/>
    <w:rsid w:val="00937130"/>
    <w:rsid w:val="009505C9"/>
    <w:rsid w:val="00950752"/>
    <w:rsid w:val="00954D59"/>
    <w:rsid w:val="00966424"/>
    <w:rsid w:val="00970D95"/>
    <w:rsid w:val="009C2DE6"/>
    <w:rsid w:val="00A032F5"/>
    <w:rsid w:val="00A1252A"/>
    <w:rsid w:val="00A83373"/>
    <w:rsid w:val="00AA40ED"/>
    <w:rsid w:val="00AA6F92"/>
    <w:rsid w:val="00AB2545"/>
    <w:rsid w:val="00AB6855"/>
    <w:rsid w:val="00AB6934"/>
    <w:rsid w:val="00AC4991"/>
    <w:rsid w:val="00AD4DDB"/>
    <w:rsid w:val="00AD7FFC"/>
    <w:rsid w:val="00AF42DE"/>
    <w:rsid w:val="00B26ACD"/>
    <w:rsid w:val="00B3369F"/>
    <w:rsid w:val="00B94E6C"/>
    <w:rsid w:val="00BA33A0"/>
    <w:rsid w:val="00BB4606"/>
    <w:rsid w:val="00BC2EC1"/>
    <w:rsid w:val="00BC3306"/>
    <w:rsid w:val="00BE3EB5"/>
    <w:rsid w:val="00BE41D3"/>
    <w:rsid w:val="00BF11F9"/>
    <w:rsid w:val="00BF18E6"/>
    <w:rsid w:val="00C12E92"/>
    <w:rsid w:val="00C13AD7"/>
    <w:rsid w:val="00C23D2F"/>
    <w:rsid w:val="00C26D4B"/>
    <w:rsid w:val="00C30158"/>
    <w:rsid w:val="00C443BD"/>
    <w:rsid w:val="00C451C5"/>
    <w:rsid w:val="00C465C9"/>
    <w:rsid w:val="00C9161D"/>
    <w:rsid w:val="00CA0359"/>
    <w:rsid w:val="00CA0C1D"/>
    <w:rsid w:val="00CE3020"/>
    <w:rsid w:val="00CF1848"/>
    <w:rsid w:val="00D12044"/>
    <w:rsid w:val="00D30264"/>
    <w:rsid w:val="00D33EFC"/>
    <w:rsid w:val="00D40DBC"/>
    <w:rsid w:val="00D67495"/>
    <w:rsid w:val="00D76A18"/>
    <w:rsid w:val="00D775C3"/>
    <w:rsid w:val="00D80849"/>
    <w:rsid w:val="00D82E8F"/>
    <w:rsid w:val="00DB50CC"/>
    <w:rsid w:val="00DD118C"/>
    <w:rsid w:val="00E32956"/>
    <w:rsid w:val="00E331ED"/>
    <w:rsid w:val="00E66235"/>
    <w:rsid w:val="00E74FD2"/>
    <w:rsid w:val="00E83C24"/>
    <w:rsid w:val="00E9318D"/>
    <w:rsid w:val="00EC1F46"/>
    <w:rsid w:val="00ED0BAB"/>
    <w:rsid w:val="00EE61CF"/>
    <w:rsid w:val="00EF7376"/>
    <w:rsid w:val="00F20EE2"/>
    <w:rsid w:val="00F26089"/>
    <w:rsid w:val="00F42049"/>
    <w:rsid w:val="00F53193"/>
    <w:rsid w:val="00F5357E"/>
    <w:rsid w:val="00F6586C"/>
    <w:rsid w:val="00F94774"/>
    <w:rsid w:val="00F9496C"/>
    <w:rsid w:val="00FA0E9A"/>
    <w:rsid w:val="00FA663B"/>
    <w:rsid w:val="00FC25F8"/>
    <w:rsid w:val="00FC53DB"/>
    <w:rsid w:val="00FC5C62"/>
    <w:rsid w:val="00FD4D94"/>
    <w:rsid w:val="00FE10E5"/>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AB2545"/>
    <w:pPr>
      <w:spacing w:after="160" w:line="240" w:lineRule="exact"/>
      <w:jc w:val="left"/>
    </w:pPr>
    <w:rPr>
      <w:rFonts w:asciiTheme="minorHAnsi" w:eastAsiaTheme="minorEastAsia" w:hAnsiTheme="minorHAnsi" w:cstheme="minorBidi"/>
      <w:vertAlign w:val="superscript"/>
      <w:lang w:val="fr-CA"/>
    </w:rPr>
  </w:style>
  <w:style w:type="paragraph" w:styleId="Revision">
    <w:name w:val="Revision"/>
    <w:hidden/>
    <w:uiPriority w:val="99"/>
    <w:semiHidden/>
    <w:rsid w:val="000E5666"/>
    <w:rPr>
      <w:rFonts w:ascii="Times New Roman" w:eastAsia="Times New Roman" w:hAnsi="Times New Roman" w:cs="Times New Roman"/>
      <w:sz w:val="22"/>
      <w:lang w:val="en-GB"/>
    </w:rPr>
  </w:style>
  <w:style w:type="paragraph" w:styleId="NormalWeb">
    <w:name w:val="Normal (Web)"/>
    <w:basedOn w:val="Normal"/>
    <w:uiPriority w:val="99"/>
    <w:rsid w:val="00C12E92"/>
    <w:pPr>
      <w:spacing w:before="100" w:beforeAutospacing="1" w:after="100" w:afterAutospacing="1"/>
      <w:jc w:val="left"/>
    </w:pPr>
    <w:rPr>
      <w:rFonts w:eastAsia="Malgun Gothic"/>
      <w:sz w:val="24"/>
      <w:lang w:val="en-US"/>
    </w:rPr>
  </w:style>
  <w:style w:type="paragraph" w:styleId="CommentSubject">
    <w:name w:val="annotation subject"/>
    <w:basedOn w:val="CommentText"/>
    <w:next w:val="CommentText"/>
    <w:link w:val="CommentSubjectChar"/>
    <w:uiPriority w:val="99"/>
    <w:semiHidden/>
    <w:unhideWhenUsed/>
    <w:rsid w:val="001779C3"/>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1779C3"/>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191324">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20BA6"/>
    <w:rsid w:val="00020C22"/>
    <w:rsid w:val="00146756"/>
    <w:rsid w:val="00150872"/>
    <w:rsid w:val="001C2040"/>
    <w:rsid w:val="002E4CC8"/>
    <w:rsid w:val="003343BE"/>
    <w:rsid w:val="00351EBF"/>
    <w:rsid w:val="004257CA"/>
    <w:rsid w:val="0046422C"/>
    <w:rsid w:val="004760CF"/>
    <w:rsid w:val="004E092F"/>
    <w:rsid w:val="00500A2B"/>
    <w:rsid w:val="0058288D"/>
    <w:rsid w:val="00665C6B"/>
    <w:rsid w:val="006801B3"/>
    <w:rsid w:val="006B334F"/>
    <w:rsid w:val="00810A55"/>
    <w:rsid w:val="008C6619"/>
    <w:rsid w:val="008D420E"/>
    <w:rsid w:val="0098642F"/>
    <w:rsid w:val="009E372C"/>
    <w:rsid w:val="00AC4301"/>
    <w:rsid w:val="00AD4610"/>
    <w:rsid w:val="00B27D2C"/>
    <w:rsid w:val="00B40997"/>
    <w:rsid w:val="00C04427"/>
    <w:rsid w:val="00C8104B"/>
    <w:rsid w:val="00D220B5"/>
    <w:rsid w:val="00D31D12"/>
    <w:rsid w:val="00DF35F0"/>
    <w:rsid w:val="00E26E79"/>
    <w:rsid w:val="00F0778E"/>
    <w:rsid w:val="00F444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C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7AF341F8-CA18-4252-9811-5E7B9F527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NP-4/4.	Access and Benefit-sharing Clearing-House and information sharing (Article 14)</vt:lpstr>
    </vt:vector>
  </TitlesOfParts>
  <Company>SCBD</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NP-4/4.	Access and Benefit-sharing Clearing-House and information sharing (Article 14)</dc:title>
  <dc:subject>CBD/NP/MOP/DEC/4/4</dc:subject>
  <dc:creator>SCBD</dc:creator>
  <cp:keywords>Decision adopted by the Parties to the Nagoya Protocol on Access and Benefit-sharing</cp:keywords>
  <cp:lastModifiedBy>Veronique Lefebvre</cp:lastModifiedBy>
  <cp:revision>4</cp:revision>
  <cp:lastPrinted>2020-01-21T16:56:00Z</cp:lastPrinted>
  <dcterms:created xsi:type="dcterms:W3CDTF">2023-02-17T16:34:00Z</dcterms:created>
  <dcterms:modified xsi:type="dcterms:W3CDTF">2023-02-17T16:35:00Z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