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A3761B" w:rsidRPr="00A3761B" w:rsidTr="00C30D6C">
        <w:trPr>
          <w:trHeight w:val="709"/>
        </w:trPr>
        <w:tc>
          <w:tcPr>
            <w:tcW w:w="976" w:type="dxa"/>
            <w:tcBorders>
              <w:bottom w:val="single" w:sz="12" w:space="0" w:color="auto"/>
            </w:tcBorders>
          </w:tcPr>
          <w:p w:rsidR="002018CB" w:rsidRPr="00A3761B" w:rsidRDefault="002018CB" w:rsidP="00C30D6C">
            <w:pPr>
              <w:rPr>
                <w:color w:val="000000" w:themeColor="text1"/>
              </w:rPr>
            </w:pPr>
            <w:r w:rsidRPr="00A3761B">
              <w:rPr>
                <w:noProof/>
                <w:color w:val="000000" w:themeColor="text1"/>
                <w:lang w:val="fr-CA" w:eastAsia="fr-CA"/>
              </w:rPr>
              <w:drawing>
                <wp:inline distT="0" distB="0" distL="0" distR="0" wp14:anchorId="4F4DAF05" wp14:editId="724039B1">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2018CB" w:rsidRPr="00A3761B" w:rsidRDefault="002018CB" w:rsidP="00C30D6C">
            <w:pPr>
              <w:rPr>
                <w:color w:val="000000" w:themeColor="text1"/>
              </w:rPr>
            </w:pPr>
            <w:r w:rsidRPr="00A3761B">
              <w:rPr>
                <w:noProof/>
                <w:color w:val="000000" w:themeColor="text1"/>
                <w:lang w:val="fr-CA" w:eastAsia="fr-CA"/>
              </w:rPr>
              <w:drawing>
                <wp:inline distT="0" distB="0" distL="0" distR="0" wp14:anchorId="24F22434" wp14:editId="78639DC1">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2018CB" w:rsidRPr="00A3761B" w:rsidRDefault="002018CB" w:rsidP="00C30D6C">
            <w:pPr>
              <w:jc w:val="right"/>
              <w:rPr>
                <w:rFonts w:ascii="Arial" w:hAnsi="Arial" w:cs="Arial"/>
                <w:b/>
                <w:color w:val="000000" w:themeColor="text1"/>
                <w:sz w:val="32"/>
                <w:szCs w:val="32"/>
              </w:rPr>
            </w:pPr>
            <w:r w:rsidRPr="00A3761B">
              <w:rPr>
                <w:rFonts w:ascii="Arial" w:hAnsi="Arial" w:cs="Arial"/>
                <w:b/>
                <w:color w:val="000000" w:themeColor="text1"/>
                <w:sz w:val="32"/>
                <w:szCs w:val="32"/>
              </w:rPr>
              <w:t>CBD</w:t>
            </w:r>
          </w:p>
        </w:tc>
      </w:tr>
      <w:tr w:rsidR="00A3761B" w:rsidRPr="00A3761B" w:rsidTr="00C30D6C">
        <w:tc>
          <w:tcPr>
            <w:tcW w:w="6117" w:type="dxa"/>
            <w:gridSpan w:val="2"/>
            <w:tcBorders>
              <w:top w:val="single" w:sz="12" w:space="0" w:color="auto"/>
              <w:bottom w:val="single" w:sz="36" w:space="0" w:color="auto"/>
            </w:tcBorders>
            <w:vAlign w:val="center"/>
          </w:tcPr>
          <w:p w:rsidR="002018CB" w:rsidRPr="00A3761B" w:rsidRDefault="00401AF1" w:rsidP="00C30D6C">
            <w:pPr>
              <w:rPr>
                <w:color w:val="000000" w:themeColor="text1"/>
              </w:rPr>
            </w:pPr>
            <w:r w:rsidRPr="00C95DDA">
              <w:rPr>
                <w:bCs/>
                <w:noProof/>
                <w:szCs w:val="22"/>
                <w:lang w:val="fr-CA" w:eastAsia="fr-CA"/>
              </w:rPr>
              <w:drawing>
                <wp:inline distT="0" distB="0" distL="0" distR="0" wp14:anchorId="2F806E7E" wp14:editId="6D1B9EBB">
                  <wp:extent cx="2857500" cy="1076325"/>
                  <wp:effectExtent l="0" t="0" r="0" b="0"/>
                  <wp:docPr id="2" name="Pictur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2018CB" w:rsidRPr="00A3761B" w:rsidRDefault="002018CB" w:rsidP="00C30D6C">
            <w:pPr>
              <w:ind w:left="1108"/>
              <w:rPr>
                <w:color w:val="000000" w:themeColor="text1"/>
                <w:szCs w:val="22"/>
              </w:rPr>
            </w:pPr>
            <w:r w:rsidRPr="00A3761B">
              <w:rPr>
                <w:color w:val="000000" w:themeColor="text1"/>
                <w:szCs w:val="22"/>
              </w:rPr>
              <w:t>Distr.</w:t>
            </w:r>
          </w:p>
          <w:p w:rsidR="002018CB" w:rsidRPr="00A3761B" w:rsidRDefault="00F216D8" w:rsidP="00C30D6C">
            <w:pPr>
              <w:ind w:left="1108"/>
              <w:rPr>
                <w:color w:val="000000" w:themeColor="text1"/>
                <w:szCs w:val="22"/>
              </w:rPr>
            </w:pPr>
            <w:sdt>
              <w:sdtPr>
                <w:rPr>
                  <w:caps/>
                  <w:color w:val="000000" w:themeColor="text1"/>
                  <w:szCs w:val="22"/>
                </w:rPr>
                <w:alias w:val="Status"/>
                <w:tag w:val=""/>
                <w:id w:val="307985777"/>
                <w:placeholder>
                  <w:docPart w:val="D0AAB56E4D6C4ADE8EAC47103FAA29F4"/>
                </w:placeholder>
                <w:dataBinding w:prefixMappings="xmlns:ns0='http://purl.org/dc/elements/1.1/' xmlns:ns1='http://schemas.openxmlformats.org/package/2006/metadata/core-properties' " w:xpath="/ns1:coreProperties[1]/ns1:contentStatus[1]" w:storeItemID="{6C3C8BC8-F283-45AE-878A-BAB7291924A1}"/>
                <w:text/>
              </w:sdtPr>
              <w:sdtEndPr/>
              <w:sdtContent>
                <w:proofErr w:type="spellStart"/>
                <w:r w:rsidR="00401AF1">
                  <w:rPr>
                    <w:caps/>
                    <w:color w:val="000000" w:themeColor="text1"/>
                    <w:szCs w:val="22"/>
                  </w:rPr>
                  <w:t>GÉNÉRALE</w:t>
                </w:r>
                <w:proofErr w:type="spellEnd"/>
              </w:sdtContent>
            </w:sdt>
          </w:p>
          <w:p w:rsidR="002018CB" w:rsidRPr="00A3761B" w:rsidRDefault="002018CB" w:rsidP="00C30D6C">
            <w:pPr>
              <w:ind w:left="1108"/>
              <w:rPr>
                <w:color w:val="000000" w:themeColor="text1"/>
                <w:szCs w:val="22"/>
              </w:rPr>
            </w:pPr>
          </w:p>
          <w:p w:rsidR="002018CB" w:rsidRPr="00A3761B" w:rsidRDefault="00F216D8" w:rsidP="00C30D6C">
            <w:pPr>
              <w:ind w:left="1108"/>
              <w:rPr>
                <w:color w:val="000000" w:themeColor="text1"/>
                <w:szCs w:val="22"/>
              </w:rPr>
            </w:pPr>
            <w:sdt>
              <w:sdtPr>
                <w:rPr>
                  <w:color w:val="000000" w:themeColor="text1"/>
                  <w:lang w:val="en-US"/>
                </w:rPr>
                <w:alias w:val="Subject"/>
                <w:tag w:val=""/>
                <w:id w:val="2137136483"/>
                <w:placeholder>
                  <w:docPart w:val="BF3C3F00538B446580626CBBAA650050"/>
                </w:placeholder>
                <w:dataBinding w:prefixMappings="xmlns:ns0='http://purl.org/dc/elements/1.1/' xmlns:ns1='http://schemas.openxmlformats.org/package/2006/metadata/core-properties' " w:xpath="/ns1:coreProperties[1]/ns0:subject[1]" w:storeItemID="{6C3C8BC8-F283-45AE-878A-BAB7291924A1}"/>
                <w:text/>
              </w:sdtPr>
              <w:sdtEndPr/>
              <w:sdtContent>
                <w:r w:rsidR="00A61CBC" w:rsidRPr="00A3761B">
                  <w:rPr>
                    <w:color w:val="000000" w:themeColor="text1"/>
                    <w:lang w:val="en-US"/>
                  </w:rPr>
                  <w:t>CBD/NP/MOP/</w:t>
                </w:r>
                <w:r w:rsidR="00A61CBC">
                  <w:rPr>
                    <w:color w:val="000000" w:themeColor="text1"/>
                    <w:lang w:val="en-US"/>
                  </w:rPr>
                  <w:t>DEC/</w:t>
                </w:r>
                <w:r w:rsidR="00A61CBC" w:rsidRPr="00A3761B">
                  <w:rPr>
                    <w:color w:val="000000" w:themeColor="text1"/>
                    <w:lang w:val="en-US"/>
                  </w:rPr>
                  <w:t>3/</w:t>
                </w:r>
                <w:r w:rsidR="00A61CBC">
                  <w:rPr>
                    <w:color w:val="000000" w:themeColor="text1"/>
                    <w:lang w:val="en-US"/>
                  </w:rPr>
                  <w:t>15</w:t>
                </w:r>
              </w:sdtContent>
            </w:sdt>
          </w:p>
          <w:p w:rsidR="002018CB" w:rsidRPr="00A3761B" w:rsidRDefault="00A61CBC" w:rsidP="00C30D6C">
            <w:pPr>
              <w:ind w:left="1108"/>
              <w:rPr>
                <w:color w:val="000000" w:themeColor="text1"/>
                <w:szCs w:val="22"/>
              </w:rPr>
            </w:pPr>
            <w:r>
              <w:rPr>
                <w:color w:val="000000" w:themeColor="text1"/>
                <w:szCs w:val="22"/>
                <w:lang w:val="en-US"/>
              </w:rPr>
              <w:t>30</w:t>
            </w:r>
            <w:r w:rsidRPr="00A3761B">
              <w:rPr>
                <w:color w:val="000000" w:themeColor="text1"/>
                <w:szCs w:val="22"/>
                <w:lang w:val="en-US"/>
              </w:rPr>
              <w:t xml:space="preserve"> </w:t>
            </w:r>
            <w:proofErr w:type="spellStart"/>
            <w:r w:rsidR="00401AF1">
              <w:rPr>
                <w:color w:val="000000" w:themeColor="text1"/>
                <w:szCs w:val="22"/>
                <w:lang w:val="en-US"/>
              </w:rPr>
              <w:t>novembre</w:t>
            </w:r>
            <w:proofErr w:type="spellEnd"/>
            <w:r w:rsidR="002018CB" w:rsidRPr="00A3761B">
              <w:rPr>
                <w:color w:val="000000" w:themeColor="text1"/>
                <w:szCs w:val="22"/>
                <w:lang w:val="en-US"/>
              </w:rPr>
              <w:t xml:space="preserve"> 2018</w:t>
            </w:r>
          </w:p>
          <w:p w:rsidR="002018CB" w:rsidRPr="00A3761B" w:rsidRDefault="002018CB" w:rsidP="00C30D6C">
            <w:pPr>
              <w:ind w:left="1108"/>
              <w:rPr>
                <w:color w:val="000000" w:themeColor="text1"/>
                <w:szCs w:val="22"/>
              </w:rPr>
            </w:pPr>
          </w:p>
          <w:p w:rsidR="00401AF1" w:rsidRDefault="00401AF1" w:rsidP="00C30D6C">
            <w:pPr>
              <w:ind w:left="1108"/>
              <w:rPr>
                <w:color w:val="000000" w:themeColor="text1"/>
                <w:szCs w:val="22"/>
              </w:rPr>
            </w:pPr>
            <w:proofErr w:type="spellStart"/>
            <w:r>
              <w:rPr>
                <w:color w:val="000000" w:themeColor="text1"/>
                <w:szCs w:val="22"/>
              </w:rPr>
              <w:t>FRANÇAIS</w:t>
            </w:r>
            <w:proofErr w:type="spellEnd"/>
          </w:p>
          <w:p w:rsidR="002018CB" w:rsidRPr="00A3761B" w:rsidRDefault="002018CB" w:rsidP="00C30D6C">
            <w:pPr>
              <w:ind w:left="1108"/>
              <w:rPr>
                <w:color w:val="000000" w:themeColor="text1"/>
                <w:szCs w:val="22"/>
              </w:rPr>
            </w:pPr>
            <w:r w:rsidRPr="00A3761B">
              <w:rPr>
                <w:color w:val="000000" w:themeColor="text1"/>
                <w:szCs w:val="22"/>
              </w:rPr>
              <w:t>ORIGINAL</w:t>
            </w:r>
            <w:r w:rsidR="00401AF1">
              <w:rPr>
                <w:color w:val="000000" w:themeColor="text1"/>
                <w:szCs w:val="22"/>
              </w:rPr>
              <w:t xml:space="preserve"> </w:t>
            </w:r>
            <w:r w:rsidRPr="00A3761B">
              <w:rPr>
                <w:color w:val="000000" w:themeColor="text1"/>
                <w:szCs w:val="22"/>
              </w:rPr>
              <w:t xml:space="preserve">: </w:t>
            </w:r>
            <w:proofErr w:type="spellStart"/>
            <w:r w:rsidR="00401AF1">
              <w:rPr>
                <w:color w:val="000000" w:themeColor="text1"/>
                <w:szCs w:val="22"/>
              </w:rPr>
              <w:t>ANGLAIS</w:t>
            </w:r>
            <w:proofErr w:type="spellEnd"/>
          </w:p>
          <w:p w:rsidR="002018CB" w:rsidRPr="00A3761B" w:rsidRDefault="002018CB" w:rsidP="00C30D6C">
            <w:pPr>
              <w:rPr>
                <w:color w:val="000000" w:themeColor="text1"/>
              </w:rPr>
            </w:pPr>
          </w:p>
        </w:tc>
      </w:tr>
    </w:tbl>
    <w:p w:rsidR="00401AF1" w:rsidRPr="00C95DDA" w:rsidRDefault="00401AF1" w:rsidP="00401AF1">
      <w:pPr>
        <w:suppressLineNumbers/>
        <w:tabs>
          <w:tab w:val="left" w:pos="5580"/>
        </w:tabs>
        <w:suppressAutoHyphens/>
        <w:kinsoku w:val="0"/>
        <w:overflowPunct w:val="0"/>
        <w:autoSpaceDE w:val="0"/>
        <w:autoSpaceDN w:val="0"/>
        <w:ind w:left="170" w:right="3938" w:hanging="170"/>
        <w:jc w:val="left"/>
        <w:rPr>
          <w:rFonts w:eastAsia="Batang"/>
          <w:snapToGrid w:val="0"/>
          <w:kern w:val="22"/>
          <w:lang w:val="fr-CA"/>
        </w:rPr>
      </w:pPr>
      <w:r w:rsidRPr="00C95DDA">
        <w:rPr>
          <w:snapToGrid w:val="0"/>
          <w:kern w:val="22"/>
          <w:lang w:val="fr-CA"/>
        </w:rPr>
        <w:t>CONFÉRENCE DES PARTIES À LA CONVENTION SUR LA DIVERSITÉ BIOLOGIQUE SIÉGEANT EN TANT QUE RÉUNION DES PARTIES AU PROTOCOLE</w:t>
      </w:r>
      <w:r w:rsidRPr="00C95DDA">
        <w:rPr>
          <w:rFonts w:eastAsia="Batang"/>
          <w:snapToGrid w:val="0"/>
          <w:kern w:val="22"/>
          <w:lang w:val="fr-CA"/>
        </w:rPr>
        <w:t xml:space="preserve"> DE NAGOYA SUR L’ACCÈS AUX RESSOURCES GÉNÉTIQUES ET LE PARTAGE JUSTE ET ÉQUITABLE DES AVANTAGES DÉCOULANT DE LEUR UTILISATION</w:t>
      </w:r>
    </w:p>
    <w:p w:rsidR="00401AF1" w:rsidRPr="00C95DDA" w:rsidRDefault="00401AF1" w:rsidP="00401AF1">
      <w:pPr>
        <w:suppressLineNumbers/>
        <w:suppressAutoHyphens/>
        <w:kinsoku w:val="0"/>
        <w:overflowPunct w:val="0"/>
        <w:autoSpaceDE w:val="0"/>
        <w:autoSpaceDN w:val="0"/>
        <w:ind w:left="170" w:right="3119" w:hanging="170"/>
        <w:jc w:val="left"/>
        <w:rPr>
          <w:rFonts w:eastAsia="Batang"/>
          <w:snapToGrid w:val="0"/>
          <w:kern w:val="22"/>
          <w:lang w:val="fr-CA"/>
        </w:rPr>
      </w:pPr>
      <w:r w:rsidRPr="00C95DDA">
        <w:rPr>
          <w:rFonts w:eastAsia="Batang"/>
          <w:snapToGrid w:val="0"/>
          <w:kern w:val="22"/>
          <w:lang w:val="fr-CA"/>
        </w:rPr>
        <w:t>Troisième réunion</w:t>
      </w:r>
    </w:p>
    <w:p w:rsidR="00401AF1" w:rsidRPr="00C95DDA" w:rsidRDefault="00401AF1" w:rsidP="00401AF1">
      <w:pPr>
        <w:suppressLineNumbers/>
        <w:suppressAutoHyphens/>
        <w:kinsoku w:val="0"/>
        <w:overflowPunct w:val="0"/>
        <w:autoSpaceDE w:val="0"/>
        <w:autoSpaceDN w:val="0"/>
        <w:rPr>
          <w:snapToGrid w:val="0"/>
          <w:kern w:val="22"/>
          <w:szCs w:val="22"/>
          <w:lang w:val="fr-CA" w:eastAsia="nb-NO"/>
        </w:rPr>
      </w:pPr>
      <w:bookmarkStart w:id="0" w:name="_Hlk505863673"/>
      <w:r w:rsidRPr="00C95DDA">
        <w:rPr>
          <w:noProof/>
          <w:snapToGrid w:val="0"/>
          <w:kern w:val="22"/>
          <w:szCs w:val="22"/>
          <w:lang w:val="fr-CA" w:eastAsia="nb-NO"/>
        </w:rPr>
        <w:t>Charm el</w:t>
      </w:r>
      <w:r w:rsidRPr="00C95DDA">
        <w:rPr>
          <w:noProof/>
          <w:snapToGrid w:val="0"/>
          <w:kern w:val="22"/>
          <w:szCs w:val="22"/>
          <w:lang w:val="fr-CA" w:eastAsia="nb-NO"/>
        </w:rPr>
        <w:noBreakHyphen/>
        <w:t>Cheikh</w:t>
      </w:r>
      <w:r>
        <w:rPr>
          <w:noProof/>
          <w:snapToGrid w:val="0"/>
          <w:kern w:val="22"/>
          <w:szCs w:val="22"/>
          <w:lang w:val="fr-CA" w:eastAsia="nb-NO"/>
        </w:rPr>
        <w:t>, É</w:t>
      </w:r>
      <w:r w:rsidRPr="00C95DDA">
        <w:rPr>
          <w:noProof/>
          <w:snapToGrid w:val="0"/>
          <w:kern w:val="22"/>
          <w:szCs w:val="22"/>
          <w:lang w:val="fr-CA" w:eastAsia="nb-NO"/>
        </w:rPr>
        <w:t>gypt</w:t>
      </w:r>
      <w:bookmarkEnd w:id="0"/>
      <w:r w:rsidRPr="00C95DDA">
        <w:rPr>
          <w:noProof/>
          <w:snapToGrid w:val="0"/>
          <w:kern w:val="22"/>
          <w:szCs w:val="22"/>
          <w:lang w:val="fr-CA" w:eastAsia="nb-NO"/>
        </w:rPr>
        <w:t>e</w:t>
      </w:r>
      <w:r w:rsidRPr="00C95DDA">
        <w:rPr>
          <w:snapToGrid w:val="0"/>
          <w:kern w:val="22"/>
          <w:szCs w:val="22"/>
          <w:lang w:val="fr-CA" w:eastAsia="nb-NO"/>
        </w:rPr>
        <w:t>, 17</w:t>
      </w:r>
      <w:r w:rsidRPr="00C95DDA">
        <w:rPr>
          <w:snapToGrid w:val="0"/>
          <w:kern w:val="22"/>
          <w:szCs w:val="22"/>
          <w:lang w:val="fr-CA" w:eastAsia="nb-NO"/>
        </w:rPr>
        <w:noBreakHyphen/>
        <w:t>29 novembre 2018</w:t>
      </w:r>
    </w:p>
    <w:p w:rsidR="00C9161D" w:rsidRPr="00401AF1" w:rsidRDefault="00401AF1" w:rsidP="00401AF1">
      <w:pPr>
        <w:rPr>
          <w:color w:val="000000" w:themeColor="text1"/>
          <w:kern w:val="22"/>
          <w:lang w:val="fr-CA"/>
        </w:rPr>
      </w:pPr>
      <w:r>
        <w:rPr>
          <w:snapToGrid w:val="0"/>
          <w:kern w:val="22"/>
          <w:szCs w:val="22"/>
          <w:lang w:val="fr-CA"/>
        </w:rPr>
        <w:t>Point 16</w:t>
      </w:r>
      <w:r w:rsidRPr="00C95DDA">
        <w:rPr>
          <w:snapToGrid w:val="0"/>
          <w:kern w:val="22"/>
          <w:szCs w:val="22"/>
          <w:lang w:val="fr-CA"/>
        </w:rPr>
        <w:t xml:space="preserve"> de l’ordre du jour</w:t>
      </w:r>
    </w:p>
    <w:p w:rsidR="00A61CBC" w:rsidRPr="00401AF1" w:rsidRDefault="00401AF1" w:rsidP="00A61CBC">
      <w:pPr>
        <w:pStyle w:val="Titre1"/>
        <w:rPr>
          <w:szCs w:val="22"/>
          <w:lang w:val="fr-CA"/>
        </w:rPr>
      </w:pPr>
      <w:r w:rsidRPr="00C95DDA">
        <w:rPr>
          <w:rFonts w:ascii="Times New Roman Bold" w:hAnsi="Times New Roman Bold"/>
          <w:lang w:val="fr-CA"/>
        </w:rPr>
        <w:t>décision adoptée par les parties au protocole de nagoya sur l’accès et le partage des avantages</w:t>
      </w:r>
    </w:p>
    <w:p w:rsidR="00C9161D" w:rsidRPr="00401AF1" w:rsidRDefault="00A61CBC" w:rsidP="00CE4D1E">
      <w:pPr>
        <w:spacing w:before="240" w:after="120"/>
        <w:jc w:val="center"/>
        <w:rPr>
          <w:b/>
          <w:caps/>
          <w:color w:val="000000" w:themeColor="text1"/>
          <w:kern w:val="22"/>
          <w:lang w:val="fr-CA"/>
        </w:rPr>
      </w:pPr>
      <w:r>
        <w:rPr>
          <w:rStyle w:val="Titre2Car"/>
          <w:caps/>
          <w:color w:val="000000" w:themeColor="text1"/>
          <w:kern w:val="22"/>
        </w:rPr>
        <w:t>3/15.</w:t>
      </w:r>
      <w:r>
        <w:rPr>
          <w:rStyle w:val="Titre2Car"/>
          <w:caps/>
          <w:color w:val="000000" w:themeColor="text1"/>
          <w:kern w:val="22"/>
        </w:rPr>
        <w:tab/>
      </w:r>
      <w:sdt>
        <w:sdtPr>
          <w:rPr>
            <w:rStyle w:val="Grilledutableau"/>
            <w:rFonts w:ascii="Times New Roman Bold" w:hAnsi="Times New Roman Bold"/>
            <w:b/>
            <w:bCs/>
            <w:iCs/>
            <w:caps/>
            <w:lang w:val="fr-CA"/>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00401AF1">
            <w:rPr>
              <w:rStyle w:val="Grilledutableau"/>
              <w:rFonts w:ascii="Times New Roman Bold" w:hAnsi="Times New Roman Bold"/>
              <w:b/>
              <w:bCs/>
              <w:iCs/>
              <w:lang w:val="fr-CA"/>
            </w:rPr>
            <w:t>Préparation du suivi du P</w:t>
          </w:r>
          <w:r w:rsidR="00401AF1" w:rsidRPr="00401AF1">
            <w:rPr>
              <w:rStyle w:val="Grilledutableau"/>
              <w:rFonts w:ascii="Times New Roman Bold" w:hAnsi="Times New Roman Bold"/>
              <w:b/>
              <w:bCs/>
              <w:iCs/>
              <w:lang w:val="fr-CA"/>
            </w:rPr>
            <w:t>lan stratégique 2011-2020 pour la diversité biologique</w:t>
          </w:r>
        </w:sdtContent>
      </w:sdt>
    </w:p>
    <w:p w:rsidR="00401AF1" w:rsidRPr="0046456A" w:rsidRDefault="00401AF1" w:rsidP="00401AF1">
      <w:pPr>
        <w:suppressLineNumbers/>
        <w:suppressAutoHyphens/>
        <w:kinsoku w:val="0"/>
        <w:overflowPunct w:val="0"/>
        <w:autoSpaceDE w:val="0"/>
        <w:autoSpaceDN w:val="0"/>
        <w:adjustRightInd w:val="0"/>
        <w:snapToGrid w:val="0"/>
        <w:spacing w:before="120" w:after="120"/>
        <w:ind w:firstLine="720"/>
        <w:rPr>
          <w:rFonts w:eastAsia="Malgun Gothic"/>
          <w:i/>
          <w:snapToGrid w:val="0"/>
          <w:color w:val="000000" w:themeColor="text1"/>
          <w:kern w:val="22"/>
          <w:szCs w:val="22"/>
          <w:lang w:val="fr-CA"/>
        </w:rPr>
      </w:pPr>
      <w:r w:rsidRPr="003F0B0F">
        <w:rPr>
          <w:i/>
          <w:spacing w:val="-1"/>
          <w:kern w:val="22"/>
          <w:lang w:val="fr-CA"/>
        </w:rPr>
        <w:t>La Conférence des Parties siégeant en tant que réunion des Parties au Protocole de Nagoya</w:t>
      </w:r>
      <w:r w:rsidRPr="0046456A">
        <w:rPr>
          <w:rFonts w:eastAsia="Malgun Gothic"/>
          <w:i/>
          <w:snapToGrid w:val="0"/>
          <w:color w:val="000000" w:themeColor="text1"/>
          <w:kern w:val="22"/>
          <w:szCs w:val="22"/>
          <w:lang w:val="fr-CA"/>
        </w:rPr>
        <w:t xml:space="preserve"> </w:t>
      </w:r>
      <w:r>
        <w:rPr>
          <w:rFonts w:eastAsia="Malgun Gothic"/>
          <w:i/>
          <w:snapToGrid w:val="0"/>
          <w:color w:val="000000" w:themeColor="text1"/>
          <w:kern w:val="22"/>
          <w:szCs w:val="22"/>
          <w:lang w:val="fr-CA"/>
        </w:rPr>
        <w:t>sur l’accès et le partage des avantages</w:t>
      </w:r>
    </w:p>
    <w:p w:rsidR="00401AF1" w:rsidRPr="00AE5254" w:rsidRDefault="00401AF1" w:rsidP="00401AF1">
      <w:pPr>
        <w:suppressLineNumbers/>
        <w:suppressAutoHyphens/>
        <w:kinsoku w:val="0"/>
        <w:overflowPunct w:val="0"/>
        <w:autoSpaceDE w:val="0"/>
        <w:autoSpaceDN w:val="0"/>
        <w:adjustRightInd w:val="0"/>
        <w:snapToGrid w:val="0"/>
        <w:spacing w:before="120" w:after="120"/>
        <w:ind w:firstLine="720"/>
        <w:rPr>
          <w:rFonts w:eastAsia="Malgun Gothic"/>
          <w:snapToGrid w:val="0"/>
          <w:kern w:val="22"/>
          <w:szCs w:val="22"/>
          <w:lang w:val="fr-CA"/>
        </w:rPr>
      </w:pPr>
      <w:r w:rsidRPr="0046456A">
        <w:rPr>
          <w:rFonts w:eastAsia="Malgun Gothic"/>
          <w:snapToGrid w:val="0"/>
          <w:color w:val="000000" w:themeColor="text1"/>
          <w:kern w:val="22"/>
          <w:szCs w:val="22"/>
          <w:lang w:val="fr-CA"/>
        </w:rPr>
        <w:t>1.</w:t>
      </w:r>
      <w:r w:rsidRPr="0046456A">
        <w:rPr>
          <w:rFonts w:eastAsia="Malgun Gothic"/>
          <w:snapToGrid w:val="0"/>
          <w:color w:val="000000" w:themeColor="text1"/>
          <w:kern w:val="22"/>
          <w:szCs w:val="22"/>
          <w:lang w:val="fr-CA"/>
        </w:rPr>
        <w:tab/>
      </w:r>
      <w:r w:rsidRPr="00AE5254">
        <w:rPr>
          <w:rFonts w:eastAsia="Malgun Gothic"/>
          <w:i/>
          <w:iCs/>
          <w:snapToGrid w:val="0"/>
          <w:kern w:val="22"/>
          <w:szCs w:val="22"/>
          <w:lang w:val="fr-CA"/>
        </w:rPr>
        <w:t>Prend note</w:t>
      </w:r>
      <w:r w:rsidRPr="00AE5254">
        <w:rPr>
          <w:rFonts w:eastAsia="Malgun Gothic"/>
          <w:snapToGrid w:val="0"/>
          <w:kern w:val="22"/>
          <w:szCs w:val="22"/>
          <w:lang w:val="fr-CA"/>
        </w:rPr>
        <w:t xml:space="preserve"> de la propositio</w:t>
      </w:r>
      <w:r w:rsidR="00483F5A">
        <w:rPr>
          <w:rFonts w:eastAsia="Malgun Gothic"/>
          <w:snapToGrid w:val="0"/>
          <w:kern w:val="22"/>
          <w:szCs w:val="22"/>
          <w:lang w:val="fr-CA"/>
        </w:rPr>
        <w:t>n de processus préparatoire du C</w:t>
      </w:r>
      <w:r w:rsidRPr="00AE5254">
        <w:rPr>
          <w:rFonts w:eastAsia="Malgun Gothic"/>
          <w:snapToGrid w:val="0"/>
          <w:kern w:val="22"/>
          <w:szCs w:val="22"/>
          <w:lang w:val="fr-CA"/>
        </w:rPr>
        <w:t>adre mondial de la biodiversité pour l</w:t>
      </w:r>
      <w:r>
        <w:rPr>
          <w:rFonts w:eastAsia="Malgun Gothic"/>
          <w:snapToGrid w:val="0"/>
          <w:kern w:val="22"/>
          <w:szCs w:val="22"/>
          <w:lang w:val="fr-CA"/>
        </w:rPr>
        <w:t>’</w:t>
      </w:r>
      <w:r w:rsidRPr="00AE5254">
        <w:rPr>
          <w:rFonts w:eastAsia="Malgun Gothic"/>
          <w:snapToGrid w:val="0"/>
          <w:kern w:val="22"/>
          <w:szCs w:val="22"/>
          <w:lang w:val="fr-CA"/>
        </w:rPr>
        <w:t>après</w:t>
      </w:r>
      <w:r>
        <w:rPr>
          <w:rFonts w:eastAsia="Malgun Gothic"/>
          <w:snapToGrid w:val="0"/>
          <w:kern w:val="22"/>
          <w:szCs w:val="22"/>
          <w:lang w:val="fr-CA"/>
        </w:rPr>
        <w:noBreakHyphen/>
      </w:r>
      <w:r w:rsidRPr="00AE5254">
        <w:rPr>
          <w:rFonts w:eastAsia="Malgun Gothic"/>
          <w:snapToGrid w:val="0"/>
          <w:kern w:val="22"/>
          <w:szCs w:val="22"/>
          <w:lang w:val="fr-CA"/>
        </w:rPr>
        <w:t>2020 qui donnera suite au Plan stratégique pour la diversité biologique</w:t>
      </w:r>
      <w:r w:rsidR="00483F5A">
        <w:rPr>
          <w:rFonts w:eastAsia="Malgun Gothic"/>
          <w:snapToGrid w:val="0"/>
          <w:kern w:val="22"/>
          <w:szCs w:val="22"/>
          <w:lang w:val="fr-CA"/>
        </w:rPr>
        <w:t xml:space="preserve"> 2011-2020</w:t>
      </w:r>
      <w:r w:rsidRPr="00AE5254">
        <w:rPr>
          <w:rFonts w:eastAsia="Malgun Gothic"/>
          <w:snapToGrid w:val="0"/>
          <w:kern w:val="22"/>
          <w:szCs w:val="22"/>
          <w:lang w:val="fr-CA"/>
        </w:rPr>
        <w:t xml:space="preserve">, et </w:t>
      </w:r>
      <w:r w:rsidRPr="00AE5254">
        <w:rPr>
          <w:rFonts w:eastAsia="Malgun Gothic"/>
          <w:i/>
          <w:iCs/>
          <w:snapToGrid w:val="0"/>
          <w:kern w:val="22"/>
          <w:szCs w:val="22"/>
          <w:lang w:val="fr-CA"/>
        </w:rPr>
        <w:t>accueille avec satisfaction</w:t>
      </w:r>
      <w:r w:rsidRPr="00AE5254">
        <w:rPr>
          <w:rFonts w:eastAsia="Malgun Gothic"/>
          <w:snapToGrid w:val="0"/>
          <w:kern w:val="22"/>
          <w:szCs w:val="22"/>
          <w:lang w:val="fr-CA"/>
        </w:rPr>
        <w:t xml:space="preserve"> la décision 14/</w:t>
      </w:r>
      <w:r w:rsidR="00483F5A">
        <w:rPr>
          <w:rFonts w:eastAsia="Malgun Gothic"/>
          <w:snapToGrid w:val="0"/>
          <w:kern w:val="22"/>
          <w:szCs w:val="22"/>
          <w:lang w:val="fr-CA"/>
        </w:rPr>
        <w:t>34</w:t>
      </w:r>
      <w:r>
        <w:rPr>
          <w:rFonts w:eastAsia="Malgun Gothic"/>
          <w:snapToGrid w:val="0"/>
          <w:kern w:val="22"/>
          <w:szCs w:val="22"/>
          <w:lang w:val="fr-CA"/>
        </w:rPr>
        <w:t xml:space="preserve"> de la Conférence des Parties;</w:t>
      </w:r>
    </w:p>
    <w:p w:rsidR="00401AF1" w:rsidRPr="00AE5254" w:rsidRDefault="00401AF1" w:rsidP="00401AF1">
      <w:pPr>
        <w:suppressLineNumbers/>
        <w:suppressAutoHyphens/>
        <w:kinsoku w:val="0"/>
        <w:overflowPunct w:val="0"/>
        <w:autoSpaceDE w:val="0"/>
        <w:autoSpaceDN w:val="0"/>
        <w:adjustRightInd w:val="0"/>
        <w:snapToGrid w:val="0"/>
        <w:spacing w:before="120" w:after="120"/>
        <w:ind w:firstLine="720"/>
        <w:rPr>
          <w:snapToGrid w:val="0"/>
          <w:kern w:val="22"/>
          <w:szCs w:val="22"/>
          <w:lang w:val="fr-CA"/>
        </w:rPr>
      </w:pPr>
      <w:r w:rsidRPr="00AE5254">
        <w:rPr>
          <w:snapToGrid w:val="0"/>
          <w:kern w:val="22"/>
          <w:szCs w:val="22"/>
          <w:lang w:val="fr-CA"/>
        </w:rPr>
        <w:t>2.</w:t>
      </w:r>
      <w:r w:rsidRPr="00AE5254">
        <w:rPr>
          <w:snapToGrid w:val="0"/>
          <w:kern w:val="22"/>
          <w:szCs w:val="22"/>
          <w:lang w:val="fr-CA"/>
        </w:rPr>
        <w:tab/>
      </w:r>
      <w:r w:rsidR="00483F5A" w:rsidRPr="00483F5A">
        <w:rPr>
          <w:i/>
          <w:snapToGrid w:val="0"/>
          <w:kern w:val="22"/>
          <w:szCs w:val="22"/>
          <w:lang w:val="fr-CA"/>
        </w:rPr>
        <w:t>Encourage</w:t>
      </w:r>
      <w:r w:rsidR="00483F5A">
        <w:rPr>
          <w:snapToGrid w:val="0"/>
          <w:kern w:val="22"/>
          <w:szCs w:val="22"/>
          <w:lang w:val="fr-CA"/>
        </w:rPr>
        <w:t xml:space="preserve"> les Parties à prendre des mesures pour améliorer l’application du Protocole de Nagoya sur l’accès et le partage des avantages dans le contexte du Cadre mondial de la biodiversité pour l’après-2020;</w:t>
      </w:r>
    </w:p>
    <w:p w:rsidR="00401AF1" w:rsidRPr="0046456A" w:rsidRDefault="00401AF1" w:rsidP="00401AF1">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lang w:val="fr-CA"/>
        </w:rPr>
      </w:pPr>
      <w:r w:rsidRPr="00AE5254">
        <w:rPr>
          <w:snapToGrid w:val="0"/>
          <w:kern w:val="22"/>
          <w:szCs w:val="22"/>
          <w:lang w:val="fr-CA"/>
        </w:rPr>
        <w:t>3.</w:t>
      </w:r>
      <w:r w:rsidRPr="00AE5254">
        <w:rPr>
          <w:snapToGrid w:val="0"/>
          <w:kern w:val="22"/>
          <w:szCs w:val="22"/>
          <w:lang w:val="fr-CA"/>
        </w:rPr>
        <w:tab/>
      </w:r>
      <w:r w:rsidRPr="00AE5254">
        <w:rPr>
          <w:i/>
          <w:iCs/>
          <w:snapToGrid w:val="0"/>
          <w:kern w:val="22"/>
          <w:szCs w:val="22"/>
          <w:lang w:val="fr-CA"/>
        </w:rPr>
        <w:t>Invite</w:t>
      </w:r>
      <w:r w:rsidRPr="00AE5254">
        <w:rPr>
          <w:snapToGrid w:val="0"/>
          <w:kern w:val="22"/>
          <w:szCs w:val="22"/>
          <w:lang w:val="fr-CA"/>
        </w:rPr>
        <w:t xml:space="preserve"> les Parties à participer au processus d</w:t>
      </w:r>
      <w:r>
        <w:rPr>
          <w:snapToGrid w:val="0"/>
          <w:kern w:val="22"/>
          <w:szCs w:val="22"/>
          <w:lang w:val="fr-CA"/>
        </w:rPr>
        <w:t>’</w:t>
      </w:r>
      <w:r w:rsidR="00483F5A">
        <w:rPr>
          <w:snapToGrid w:val="0"/>
          <w:kern w:val="22"/>
          <w:szCs w:val="22"/>
          <w:lang w:val="fr-CA"/>
        </w:rPr>
        <w:t>élaboration du C</w:t>
      </w:r>
      <w:r w:rsidRPr="00AE5254">
        <w:rPr>
          <w:snapToGrid w:val="0"/>
          <w:kern w:val="22"/>
          <w:szCs w:val="22"/>
          <w:lang w:val="fr-CA"/>
        </w:rPr>
        <w:t>adre mondial de la biodiversité pour l</w:t>
      </w:r>
      <w:r>
        <w:rPr>
          <w:snapToGrid w:val="0"/>
          <w:kern w:val="22"/>
          <w:szCs w:val="22"/>
          <w:lang w:val="fr-CA"/>
        </w:rPr>
        <w:t>’</w:t>
      </w:r>
      <w:r w:rsidRPr="00AE5254">
        <w:rPr>
          <w:snapToGrid w:val="0"/>
          <w:kern w:val="22"/>
          <w:szCs w:val="22"/>
          <w:lang w:val="fr-CA"/>
        </w:rPr>
        <w:t>après</w:t>
      </w:r>
      <w:r>
        <w:rPr>
          <w:snapToGrid w:val="0"/>
          <w:kern w:val="22"/>
          <w:szCs w:val="22"/>
          <w:lang w:val="fr-CA"/>
        </w:rPr>
        <w:noBreakHyphen/>
      </w:r>
      <w:r w:rsidRPr="00AE5254">
        <w:rPr>
          <w:snapToGrid w:val="0"/>
          <w:kern w:val="22"/>
          <w:szCs w:val="22"/>
          <w:lang w:val="fr-CA"/>
        </w:rPr>
        <w:t>2020</w:t>
      </w:r>
      <w:r>
        <w:rPr>
          <w:snapToGrid w:val="0"/>
          <w:kern w:val="22"/>
          <w:szCs w:val="22"/>
          <w:lang w:val="fr-CA"/>
        </w:rPr>
        <w:t>;</w:t>
      </w:r>
    </w:p>
    <w:p w:rsidR="00401AF1" w:rsidRPr="0046456A" w:rsidRDefault="00401AF1" w:rsidP="00401AF1">
      <w:pPr>
        <w:suppressLineNumbers/>
        <w:shd w:val="clear" w:color="auto" w:fill="FFFFFF" w:themeFill="background1"/>
        <w:suppressAutoHyphens/>
        <w:kinsoku w:val="0"/>
        <w:overflowPunct w:val="0"/>
        <w:autoSpaceDE w:val="0"/>
        <w:autoSpaceDN w:val="0"/>
        <w:adjustRightInd w:val="0"/>
        <w:snapToGrid w:val="0"/>
        <w:spacing w:before="120" w:after="120"/>
        <w:ind w:firstLine="720"/>
        <w:rPr>
          <w:i/>
          <w:snapToGrid w:val="0"/>
          <w:color w:val="000000" w:themeColor="text1"/>
          <w:kern w:val="22"/>
          <w:szCs w:val="22"/>
          <w:lang w:val="fr-CA"/>
        </w:rPr>
      </w:pPr>
      <w:r w:rsidRPr="0046456A">
        <w:rPr>
          <w:snapToGrid w:val="0"/>
          <w:color w:val="000000" w:themeColor="text1"/>
          <w:kern w:val="22"/>
          <w:szCs w:val="22"/>
          <w:lang w:val="fr-CA"/>
        </w:rPr>
        <w:t>4.</w:t>
      </w:r>
      <w:r w:rsidRPr="0046456A">
        <w:rPr>
          <w:i/>
          <w:snapToGrid w:val="0"/>
          <w:color w:val="000000" w:themeColor="text1"/>
          <w:kern w:val="22"/>
          <w:szCs w:val="22"/>
          <w:lang w:val="fr-CA"/>
        </w:rPr>
        <w:tab/>
      </w:r>
      <w:r w:rsidRPr="00AE5254">
        <w:rPr>
          <w:i/>
          <w:snapToGrid w:val="0"/>
          <w:kern w:val="22"/>
          <w:szCs w:val="22"/>
          <w:lang w:val="fr-CA"/>
        </w:rPr>
        <w:t xml:space="preserve">Recommande </w:t>
      </w:r>
      <w:r w:rsidRPr="00AE5254">
        <w:rPr>
          <w:snapToGrid w:val="0"/>
          <w:kern w:val="22"/>
          <w:szCs w:val="22"/>
          <w:lang w:val="fr-CA"/>
        </w:rPr>
        <w:t>que les conclusions sur les questions d</w:t>
      </w:r>
      <w:r>
        <w:rPr>
          <w:snapToGrid w:val="0"/>
          <w:kern w:val="22"/>
          <w:szCs w:val="22"/>
          <w:lang w:val="fr-CA"/>
        </w:rPr>
        <w:t>’</w:t>
      </w:r>
      <w:r w:rsidRPr="00AE5254">
        <w:rPr>
          <w:snapToGrid w:val="0"/>
          <w:kern w:val="22"/>
          <w:szCs w:val="22"/>
          <w:lang w:val="fr-CA"/>
        </w:rPr>
        <w:t>ordre général en matière de conformité</w:t>
      </w:r>
      <w:r w:rsidRPr="00AE5254">
        <w:rPr>
          <w:rStyle w:val="Appelnotedebasdep"/>
          <w:rFonts w:eastAsiaTheme="majorEastAsia"/>
          <w:snapToGrid w:val="0"/>
          <w:kern w:val="22"/>
          <w:szCs w:val="22"/>
          <w:lang w:val="fr-CA"/>
        </w:rPr>
        <w:footnoteReference w:id="1"/>
      </w:r>
      <w:r>
        <w:rPr>
          <w:snapToGrid w:val="0"/>
          <w:kern w:val="22"/>
          <w:szCs w:val="22"/>
          <w:lang w:val="fr-CA"/>
        </w:rPr>
        <w:t xml:space="preserve"> ainsi que les résultats du premier exercice d’évaluation et d’examen de l’efficacité du Protocole, tels que figurant dans la décision </w:t>
      </w:r>
      <w:r w:rsidRPr="0046456A">
        <w:rPr>
          <w:color w:val="000000" w:themeColor="text1"/>
          <w:kern w:val="22"/>
          <w:szCs w:val="22"/>
          <w:lang w:val="fr-CA" w:eastAsia="es-MX"/>
        </w:rPr>
        <w:t>NP</w:t>
      </w:r>
      <w:r>
        <w:rPr>
          <w:color w:val="000000" w:themeColor="text1"/>
          <w:kern w:val="22"/>
          <w:szCs w:val="22"/>
          <w:lang w:val="fr-CA" w:eastAsia="es-MX"/>
        </w:rPr>
        <w:noBreakHyphen/>
      </w:r>
      <w:r w:rsidRPr="0046456A">
        <w:rPr>
          <w:color w:val="000000" w:themeColor="text1"/>
          <w:kern w:val="22"/>
          <w:szCs w:val="22"/>
          <w:lang w:val="fr-CA" w:eastAsia="es-MX"/>
        </w:rPr>
        <w:t>3/</w:t>
      </w:r>
      <w:r w:rsidR="00483F5A">
        <w:rPr>
          <w:color w:val="000000" w:themeColor="text1"/>
          <w:kern w:val="22"/>
          <w:szCs w:val="22"/>
          <w:lang w:val="fr-CA" w:eastAsia="es-MX"/>
        </w:rPr>
        <w:t>1</w:t>
      </w:r>
      <w:r w:rsidRPr="0046456A">
        <w:rPr>
          <w:color w:val="000000" w:themeColor="text1"/>
          <w:kern w:val="22"/>
          <w:szCs w:val="22"/>
          <w:lang w:val="fr-CA" w:eastAsia="es-MX"/>
        </w:rPr>
        <w:t xml:space="preserve">, </w:t>
      </w:r>
      <w:r>
        <w:rPr>
          <w:snapToGrid w:val="0"/>
          <w:kern w:val="22"/>
          <w:szCs w:val="22"/>
          <w:lang w:val="fr-CA"/>
        </w:rPr>
        <w:t>soient pris</w:t>
      </w:r>
      <w:r w:rsidRPr="00AE5254">
        <w:rPr>
          <w:snapToGrid w:val="0"/>
          <w:kern w:val="22"/>
          <w:szCs w:val="22"/>
          <w:lang w:val="fr-CA"/>
        </w:rPr>
        <w:t xml:space="preserve"> en considération dans le contexte du </w:t>
      </w:r>
      <w:r w:rsidR="00483F5A">
        <w:rPr>
          <w:snapToGrid w:val="0"/>
          <w:kern w:val="22"/>
          <w:szCs w:val="22"/>
          <w:lang w:val="fr-CA"/>
        </w:rPr>
        <w:t>C</w:t>
      </w:r>
      <w:r>
        <w:rPr>
          <w:snapToGrid w:val="0"/>
          <w:kern w:val="22"/>
          <w:szCs w:val="22"/>
          <w:lang w:val="fr-CA"/>
        </w:rPr>
        <w:t xml:space="preserve">adre mondial de </w:t>
      </w:r>
      <w:r w:rsidR="00483F5A">
        <w:rPr>
          <w:snapToGrid w:val="0"/>
          <w:kern w:val="22"/>
          <w:szCs w:val="22"/>
          <w:lang w:val="fr-CA"/>
        </w:rPr>
        <w:t>de la biodiversité pour l’après-2020</w:t>
      </w:r>
      <w:r>
        <w:rPr>
          <w:snapToGrid w:val="0"/>
          <w:kern w:val="22"/>
          <w:szCs w:val="22"/>
          <w:lang w:val="fr-CA"/>
        </w:rPr>
        <w:t>;</w:t>
      </w:r>
    </w:p>
    <w:p w:rsidR="0050195B" w:rsidRPr="00401AF1" w:rsidRDefault="00401AF1" w:rsidP="00401AF1">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lang w:val="fr-CA" w:eastAsia="x-none"/>
        </w:rPr>
      </w:pPr>
      <w:r w:rsidRPr="0046456A">
        <w:rPr>
          <w:snapToGrid w:val="0"/>
          <w:color w:val="000000" w:themeColor="text1"/>
          <w:kern w:val="22"/>
          <w:szCs w:val="22"/>
          <w:lang w:val="fr-CA"/>
        </w:rPr>
        <w:t>5.</w:t>
      </w:r>
      <w:r w:rsidRPr="0046456A">
        <w:rPr>
          <w:i/>
          <w:snapToGrid w:val="0"/>
          <w:color w:val="000000" w:themeColor="text1"/>
          <w:kern w:val="22"/>
          <w:szCs w:val="22"/>
          <w:lang w:val="fr-CA"/>
        </w:rPr>
        <w:tab/>
      </w:r>
      <w:r w:rsidRPr="00AE5254">
        <w:rPr>
          <w:rFonts w:eastAsia="Malgun Gothic"/>
          <w:i/>
          <w:snapToGrid w:val="0"/>
          <w:kern w:val="22"/>
          <w:szCs w:val="22"/>
          <w:lang w:val="fr-CA"/>
        </w:rPr>
        <w:t>Demande</w:t>
      </w:r>
      <w:r w:rsidRPr="00AE5254">
        <w:rPr>
          <w:snapToGrid w:val="0"/>
          <w:kern w:val="22"/>
          <w:szCs w:val="22"/>
          <w:lang w:val="fr-CA"/>
        </w:rPr>
        <w:t xml:space="preserve"> que le Comité de conformité examine, à sa prochaine réunion, des moyens de soutenir et d</w:t>
      </w:r>
      <w:r>
        <w:rPr>
          <w:snapToGrid w:val="0"/>
          <w:kern w:val="22"/>
          <w:szCs w:val="22"/>
          <w:lang w:val="fr-CA"/>
        </w:rPr>
        <w:t>’</w:t>
      </w:r>
      <w:r w:rsidRPr="00AE5254">
        <w:rPr>
          <w:snapToGrid w:val="0"/>
          <w:kern w:val="22"/>
          <w:szCs w:val="22"/>
          <w:lang w:val="fr-CA"/>
        </w:rPr>
        <w:t xml:space="preserve">encourager la conformité au Protocole de Nagoya dans le contexte du </w:t>
      </w:r>
      <w:r w:rsidR="00210F86">
        <w:rPr>
          <w:snapToGrid w:val="0"/>
          <w:kern w:val="22"/>
          <w:szCs w:val="22"/>
          <w:lang w:val="fr-CA"/>
        </w:rPr>
        <w:t>C</w:t>
      </w:r>
      <w:bookmarkStart w:id="1" w:name="_GoBack"/>
      <w:bookmarkEnd w:id="1"/>
      <w:r w:rsidRPr="00AE5254">
        <w:rPr>
          <w:snapToGrid w:val="0"/>
          <w:kern w:val="22"/>
          <w:szCs w:val="22"/>
          <w:lang w:val="fr-CA"/>
        </w:rPr>
        <w:t>adre mondial de la biodiversité pour l</w:t>
      </w:r>
      <w:r>
        <w:rPr>
          <w:snapToGrid w:val="0"/>
          <w:kern w:val="22"/>
          <w:szCs w:val="22"/>
          <w:lang w:val="fr-CA"/>
        </w:rPr>
        <w:t>’</w:t>
      </w:r>
      <w:r w:rsidRPr="00AE5254">
        <w:rPr>
          <w:snapToGrid w:val="0"/>
          <w:kern w:val="22"/>
          <w:szCs w:val="22"/>
          <w:lang w:val="fr-CA"/>
        </w:rPr>
        <w:t>après</w:t>
      </w:r>
      <w:r>
        <w:rPr>
          <w:snapToGrid w:val="0"/>
          <w:kern w:val="22"/>
          <w:szCs w:val="22"/>
          <w:lang w:val="fr-CA"/>
        </w:rPr>
        <w:noBreakHyphen/>
      </w:r>
      <w:r w:rsidRPr="00AE5254">
        <w:rPr>
          <w:snapToGrid w:val="0"/>
          <w:kern w:val="22"/>
          <w:szCs w:val="22"/>
          <w:lang w:val="fr-CA"/>
        </w:rPr>
        <w:t>2020</w:t>
      </w:r>
      <w:r w:rsidR="0050195B" w:rsidRPr="00401AF1">
        <w:rPr>
          <w:snapToGrid w:val="0"/>
          <w:color w:val="000000" w:themeColor="text1"/>
          <w:kern w:val="22"/>
          <w:szCs w:val="22"/>
          <w:lang w:val="fr-CA"/>
        </w:rPr>
        <w:t>.</w:t>
      </w:r>
    </w:p>
    <w:p w:rsidR="00C9161D" w:rsidRPr="00A3761B" w:rsidRDefault="00C9161D" w:rsidP="00CE4D1E">
      <w:pPr>
        <w:spacing w:before="120" w:after="120"/>
        <w:jc w:val="center"/>
        <w:rPr>
          <w:color w:val="000000" w:themeColor="text1"/>
          <w:kern w:val="22"/>
        </w:rPr>
      </w:pPr>
      <w:r w:rsidRPr="00A3761B">
        <w:rPr>
          <w:color w:val="000000" w:themeColor="text1"/>
          <w:kern w:val="22"/>
        </w:rPr>
        <w:t>______</w:t>
      </w:r>
      <w:r w:rsidR="00E0325D" w:rsidRPr="00A3761B">
        <w:rPr>
          <w:color w:val="000000" w:themeColor="text1"/>
          <w:kern w:val="22"/>
        </w:rPr>
        <w:t>____</w:t>
      </w:r>
    </w:p>
    <w:p w:rsidR="00B3369F" w:rsidRPr="00A3761B" w:rsidRDefault="00B3369F" w:rsidP="00CE4D1E">
      <w:pPr>
        <w:spacing w:before="120" w:after="120"/>
        <w:rPr>
          <w:color w:val="000000" w:themeColor="text1"/>
          <w:kern w:val="22"/>
        </w:rPr>
      </w:pPr>
    </w:p>
    <w:sectPr w:rsidR="00B3369F" w:rsidRPr="00A3761B"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6D8" w:rsidRDefault="00F216D8" w:rsidP="00CF1848">
      <w:r>
        <w:separator/>
      </w:r>
    </w:p>
  </w:endnote>
  <w:endnote w:type="continuationSeparator" w:id="0">
    <w:p w:rsidR="00F216D8" w:rsidRDefault="00F216D8"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6D8" w:rsidRDefault="00F216D8" w:rsidP="00CF1848">
      <w:r>
        <w:separator/>
      </w:r>
    </w:p>
  </w:footnote>
  <w:footnote w:type="continuationSeparator" w:id="0">
    <w:p w:rsidR="00F216D8" w:rsidRDefault="00F216D8" w:rsidP="00CF1848">
      <w:r>
        <w:continuationSeparator/>
      </w:r>
    </w:p>
  </w:footnote>
  <w:footnote w:id="1">
    <w:p w:rsidR="00401AF1" w:rsidRPr="0046456A" w:rsidRDefault="00401AF1" w:rsidP="00401AF1">
      <w:pPr>
        <w:pStyle w:val="Notedebasdepage"/>
        <w:ind w:firstLine="0"/>
        <w:rPr>
          <w:lang w:val="fr-CA"/>
        </w:rPr>
      </w:pPr>
      <w:r w:rsidRPr="0046456A">
        <w:rPr>
          <w:rStyle w:val="Appelnotedebasdep"/>
          <w:rFonts w:eastAsiaTheme="majorEastAsia"/>
          <w:lang w:val="fr-CA"/>
        </w:rPr>
        <w:footnoteRef/>
      </w:r>
      <w:r w:rsidRPr="0046456A">
        <w:rPr>
          <w:lang w:val="fr-CA"/>
        </w:rPr>
        <w:t xml:space="preserve"> Les conclusions et recommandations du Comité de conformité sur les questions d</w:t>
      </w:r>
      <w:r>
        <w:rPr>
          <w:lang w:val="fr-CA"/>
        </w:rPr>
        <w:t>’</w:t>
      </w:r>
      <w:r w:rsidRPr="0046456A">
        <w:rPr>
          <w:lang w:val="fr-CA"/>
        </w:rPr>
        <w:t>ordre général en matière de conformité, en tant que contribution à l</w:t>
      </w:r>
      <w:r>
        <w:rPr>
          <w:lang w:val="fr-CA"/>
        </w:rPr>
        <w:t>’</w:t>
      </w:r>
      <w:r w:rsidRPr="0046456A">
        <w:rPr>
          <w:lang w:val="fr-CA"/>
        </w:rPr>
        <w:t>exercice d</w:t>
      </w:r>
      <w:r>
        <w:rPr>
          <w:lang w:val="fr-CA"/>
        </w:rPr>
        <w:t>’</w:t>
      </w:r>
      <w:r w:rsidRPr="0046456A">
        <w:rPr>
          <w:lang w:val="fr-CA"/>
        </w:rPr>
        <w:t>évaluation et d</w:t>
      </w:r>
      <w:r>
        <w:rPr>
          <w:lang w:val="fr-CA"/>
        </w:rPr>
        <w:t>’</w:t>
      </w:r>
      <w:r w:rsidRPr="0046456A">
        <w:rPr>
          <w:lang w:val="fr-CA"/>
        </w:rPr>
        <w:t>examen du Protocole de Nagoya, figurent dans l</w:t>
      </w:r>
      <w:r>
        <w:rPr>
          <w:lang w:val="fr-CA"/>
        </w:rPr>
        <w:t>’</w:t>
      </w:r>
      <w:r w:rsidRPr="0046456A">
        <w:rPr>
          <w:lang w:val="fr-CA"/>
        </w:rPr>
        <w:t xml:space="preserve">annexe I du rapport du Comité de conformité au titre du Protocole de Nagoya sur les travaux de sa deuxième réunion </w:t>
      </w:r>
      <w:r>
        <w:rPr>
          <w:lang w:val="fr-CA"/>
        </w:rPr>
        <w:t>(</w:t>
      </w:r>
      <w:r w:rsidRPr="0046456A">
        <w:rPr>
          <w:lang w:val="fr-CA"/>
        </w:rPr>
        <w:t>CBD/</w:t>
      </w:r>
      <w:proofErr w:type="spellStart"/>
      <w:r w:rsidRPr="0046456A">
        <w:rPr>
          <w:lang w:val="fr-CA"/>
        </w:rPr>
        <w:t>NP</w:t>
      </w:r>
      <w:proofErr w:type="spellEnd"/>
      <w:r w:rsidRPr="0046456A">
        <w:rPr>
          <w:lang w:val="fr-CA"/>
        </w:rPr>
        <w:t>/</w:t>
      </w:r>
      <w:proofErr w:type="spellStart"/>
      <w:r w:rsidRPr="0046456A">
        <w:rPr>
          <w:lang w:val="fr-CA"/>
        </w:rPr>
        <w:t>MOP</w:t>
      </w:r>
      <w:proofErr w:type="spellEnd"/>
      <w:r w:rsidRPr="0046456A">
        <w:rPr>
          <w:lang w:val="fr-CA"/>
        </w:rPr>
        <w:t>/3/2</w:t>
      </w:r>
      <w:r>
        <w:rPr>
          <w:lang w:val="fr-CA"/>
        </w:rPr>
        <w:t>)</w:t>
      </w:r>
      <w:r w:rsidRPr="0046456A">
        <w:rPr>
          <w:lang w:val="fr-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4A7BE1" w:rsidRPr="000B28C8" w:rsidRDefault="00A61CBC" w:rsidP="00534681">
        <w:pPr>
          <w:pStyle w:val="En-tte"/>
          <w:rPr>
            <w:lang w:val="fr-FR"/>
          </w:rPr>
        </w:pPr>
        <w:r w:rsidRPr="000B28C8">
          <w:rPr>
            <w:lang w:val="fr-FR"/>
          </w:rPr>
          <w:t>CBD/NP/MOP/DEC/3/15</w:t>
        </w:r>
      </w:p>
    </w:sdtContent>
  </w:sdt>
  <w:p w:rsidR="004A7BE1" w:rsidRPr="00000614" w:rsidRDefault="004A7BE1" w:rsidP="00534681">
    <w:pPr>
      <w:pStyle w:val="En-tte"/>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Pr>
        <w:noProof/>
        <w:lang w:val="fr-FR"/>
      </w:rPr>
      <w:t>2</w:t>
    </w:r>
    <w:r>
      <w:rPr>
        <w:noProof/>
      </w:rPr>
      <w:fldChar w:fldCharType="end"/>
    </w:r>
  </w:p>
  <w:p w:rsidR="004A7BE1" w:rsidRPr="00000614" w:rsidRDefault="004A7BE1">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rsidR="004A7BE1" w:rsidRPr="000B28C8" w:rsidRDefault="00A61CBC" w:rsidP="009505C9">
        <w:pPr>
          <w:pStyle w:val="En-tte"/>
          <w:jc w:val="right"/>
          <w:rPr>
            <w:lang w:val="fr-FR"/>
          </w:rPr>
        </w:pPr>
        <w:r w:rsidRPr="000B28C8">
          <w:rPr>
            <w:lang w:val="fr-FR"/>
          </w:rPr>
          <w:t>CBD/NP/MOP/DEC/3/15</w:t>
        </w:r>
      </w:p>
    </w:sdtContent>
  </w:sdt>
  <w:p w:rsidR="004A7BE1" w:rsidRPr="00000614" w:rsidRDefault="004A7BE1" w:rsidP="009505C9">
    <w:pPr>
      <w:pStyle w:val="En-tte"/>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Pr="00000614">
      <w:rPr>
        <w:noProof/>
        <w:lang w:val="fr-FR"/>
      </w:rPr>
      <w:t>1</w:t>
    </w:r>
    <w:r>
      <w:rPr>
        <w:noProof/>
      </w:rPr>
      <w:fldChar w:fldCharType="end"/>
    </w:r>
  </w:p>
  <w:p w:rsidR="004A7BE1" w:rsidRPr="00000614" w:rsidRDefault="004A7BE1">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1080"/>
        </w:tabs>
        <w:ind w:left="72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01F27"/>
    <w:rsid w:val="000101A5"/>
    <w:rsid w:val="000B28C8"/>
    <w:rsid w:val="000D7918"/>
    <w:rsid w:val="000E673A"/>
    <w:rsid w:val="000F74F5"/>
    <w:rsid w:val="00105372"/>
    <w:rsid w:val="001067D6"/>
    <w:rsid w:val="00131E7A"/>
    <w:rsid w:val="00142D01"/>
    <w:rsid w:val="00150F31"/>
    <w:rsid w:val="0015273A"/>
    <w:rsid w:val="00172AF6"/>
    <w:rsid w:val="00176CEE"/>
    <w:rsid w:val="001F130A"/>
    <w:rsid w:val="002018CB"/>
    <w:rsid w:val="00210F86"/>
    <w:rsid w:val="00214AEC"/>
    <w:rsid w:val="00232D80"/>
    <w:rsid w:val="0025298D"/>
    <w:rsid w:val="00265C4C"/>
    <w:rsid w:val="002950B2"/>
    <w:rsid w:val="002A2B90"/>
    <w:rsid w:val="002B6E2F"/>
    <w:rsid w:val="002E4F77"/>
    <w:rsid w:val="002F5B9D"/>
    <w:rsid w:val="00355E0F"/>
    <w:rsid w:val="00372F74"/>
    <w:rsid w:val="003F7224"/>
    <w:rsid w:val="00401AF1"/>
    <w:rsid w:val="00405146"/>
    <w:rsid w:val="00413179"/>
    <w:rsid w:val="00416B99"/>
    <w:rsid w:val="0042412C"/>
    <w:rsid w:val="00427D21"/>
    <w:rsid w:val="004432B7"/>
    <w:rsid w:val="004644C2"/>
    <w:rsid w:val="00467F9C"/>
    <w:rsid w:val="00483F5A"/>
    <w:rsid w:val="004854BA"/>
    <w:rsid w:val="004A7BE1"/>
    <w:rsid w:val="004D5394"/>
    <w:rsid w:val="0050195B"/>
    <w:rsid w:val="005345E1"/>
    <w:rsid w:val="00534681"/>
    <w:rsid w:val="00582AB9"/>
    <w:rsid w:val="005B46E1"/>
    <w:rsid w:val="005D2BEC"/>
    <w:rsid w:val="005D3F42"/>
    <w:rsid w:val="005D7E5B"/>
    <w:rsid w:val="006122BA"/>
    <w:rsid w:val="0061445E"/>
    <w:rsid w:val="006B2290"/>
    <w:rsid w:val="006F1189"/>
    <w:rsid w:val="00705265"/>
    <w:rsid w:val="00717D88"/>
    <w:rsid w:val="007942D3"/>
    <w:rsid w:val="007B48CE"/>
    <w:rsid w:val="007B6C09"/>
    <w:rsid w:val="007D7862"/>
    <w:rsid w:val="007E09DA"/>
    <w:rsid w:val="00807536"/>
    <w:rsid w:val="00814487"/>
    <w:rsid w:val="008178B6"/>
    <w:rsid w:val="00830BF9"/>
    <w:rsid w:val="00840DC8"/>
    <w:rsid w:val="00865B74"/>
    <w:rsid w:val="00885D4B"/>
    <w:rsid w:val="008B2A20"/>
    <w:rsid w:val="0092753B"/>
    <w:rsid w:val="00930BA1"/>
    <w:rsid w:val="0093169E"/>
    <w:rsid w:val="00932927"/>
    <w:rsid w:val="009415FC"/>
    <w:rsid w:val="009457A0"/>
    <w:rsid w:val="009505C9"/>
    <w:rsid w:val="0095192C"/>
    <w:rsid w:val="00957C09"/>
    <w:rsid w:val="009C200D"/>
    <w:rsid w:val="009C59DB"/>
    <w:rsid w:val="009D4143"/>
    <w:rsid w:val="009F1708"/>
    <w:rsid w:val="00A3761B"/>
    <w:rsid w:val="00A473DD"/>
    <w:rsid w:val="00A61CBC"/>
    <w:rsid w:val="00B3369F"/>
    <w:rsid w:val="00BA1B14"/>
    <w:rsid w:val="00BC08D7"/>
    <w:rsid w:val="00BD0F9D"/>
    <w:rsid w:val="00BF5165"/>
    <w:rsid w:val="00C35537"/>
    <w:rsid w:val="00C47253"/>
    <w:rsid w:val="00C53690"/>
    <w:rsid w:val="00C85379"/>
    <w:rsid w:val="00C9161D"/>
    <w:rsid w:val="00CE4D1E"/>
    <w:rsid w:val="00CE5E87"/>
    <w:rsid w:val="00CF1848"/>
    <w:rsid w:val="00D12044"/>
    <w:rsid w:val="00D22830"/>
    <w:rsid w:val="00D2594F"/>
    <w:rsid w:val="00D40578"/>
    <w:rsid w:val="00D76A18"/>
    <w:rsid w:val="00DA36F7"/>
    <w:rsid w:val="00DD118C"/>
    <w:rsid w:val="00E0325D"/>
    <w:rsid w:val="00E03408"/>
    <w:rsid w:val="00E66235"/>
    <w:rsid w:val="00E750DE"/>
    <w:rsid w:val="00E83C24"/>
    <w:rsid w:val="00E9318D"/>
    <w:rsid w:val="00EB49B2"/>
    <w:rsid w:val="00EE201E"/>
    <w:rsid w:val="00F216D8"/>
    <w:rsid w:val="00F63FE3"/>
    <w:rsid w:val="00F94774"/>
    <w:rsid w:val="00FA04C3"/>
    <w:rsid w:val="00FA4620"/>
    <w:rsid w:val="00FC53DB"/>
    <w:rsid w:val="00FD20DF"/>
    <w:rsid w:val="00FF432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3CFADE4-12F1-4D51-ADEA-01DB5B15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uiPriority w:val="99"/>
    <w:semiHidden/>
    <w:rsid w:val="007E09DA"/>
    <w:pPr>
      <w:spacing w:after="120" w:line="240" w:lineRule="exact"/>
    </w:pPr>
  </w:style>
  <w:style w:type="character" w:customStyle="1" w:styleId="CommentaireCar">
    <w:name w:val="Commentaire Car"/>
    <w:basedOn w:val="Policepardfaut"/>
    <w:link w:val="Commentaire"/>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styleId="Sansinterligne">
    <w:name w:val="No Spacing"/>
    <w:link w:val="SansinterligneCar"/>
    <w:uiPriority w:val="1"/>
    <w:qFormat/>
    <w:rsid w:val="0061445E"/>
    <w:rPr>
      <w:rFonts w:ascii="Calibri" w:eastAsia="Calibri" w:hAnsi="Calibri" w:cs="Times New Roman"/>
      <w:sz w:val="22"/>
      <w:szCs w:val="22"/>
      <w:lang w:val="en-US"/>
    </w:rPr>
  </w:style>
  <w:style w:type="character" w:customStyle="1" w:styleId="SansinterligneCar">
    <w:name w:val="Sans interligne Car"/>
    <w:basedOn w:val="Policepardfaut"/>
    <w:link w:val="Sansinterligne"/>
    <w:uiPriority w:val="1"/>
    <w:rsid w:val="0061445E"/>
    <w:rPr>
      <w:rFonts w:ascii="Calibri" w:eastAsia="Calibri" w:hAnsi="Calibri" w:cs="Times New Roman"/>
      <w:sz w:val="22"/>
      <w:szCs w:val="22"/>
      <w:lang w:val="en-US"/>
    </w:rPr>
  </w:style>
  <w:style w:type="paragraph" w:styleId="Objetducommentaire">
    <w:name w:val="annotation subject"/>
    <w:basedOn w:val="Commentaire"/>
    <w:next w:val="Commentaire"/>
    <w:link w:val="ObjetducommentaireCar"/>
    <w:uiPriority w:val="99"/>
    <w:semiHidden/>
    <w:unhideWhenUsed/>
    <w:rsid w:val="009457A0"/>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9457A0"/>
    <w:rPr>
      <w:rFonts w:ascii="Times New Roman" w:eastAsia="Times New Roman" w:hAnsi="Times New Roman" w:cs="Times New Roman"/>
      <w:b/>
      <w:bCs/>
      <w:sz w:val="20"/>
      <w:szCs w:val="20"/>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50195B"/>
    <w:pPr>
      <w:spacing w:after="160" w:line="240" w:lineRule="exact"/>
      <w:jc w:val="lef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D0AAB56E4D6C4ADE8EAC47103FAA29F4"/>
        <w:category>
          <w:name w:val="General"/>
          <w:gallery w:val="placeholder"/>
        </w:category>
        <w:types>
          <w:type w:val="bbPlcHdr"/>
        </w:types>
        <w:behaviors>
          <w:behavior w:val="content"/>
        </w:behaviors>
        <w:guid w:val="{310A3593-5C6D-4F15-BA4D-99D4285D8AB9}"/>
      </w:docPartPr>
      <w:docPartBody>
        <w:p w:rsidR="00010FC6" w:rsidRDefault="00747B6F" w:rsidP="00747B6F">
          <w:pPr>
            <w:pStyle w:val="D0AAB56E4D6C4ADE8EAC47103FAA29F4"/>
          </w:pPr>
          <w:r w:rsidRPr="007E02EB">
            <w:rPr>
              <w:rStyle w:val="Textedelespacerserv"/>
            </w:rPr>
            <w:t>[Status]</w:t>
          </w:r>
        </w:p>
      </w:docPartBody>
    </w:docPart>
    <w:docPart>
      <w:docPartPr>
        <w:name w:val="BF3C3F00538B446580626CBBAA650050"/>
        <w:category>
          <w:name w:val="General"/>
          <w:gallery w:val="placeholder"/>
        </w:category>
        <w:types>
          <w:type w:val="bbPlcHdr"/>
        </w:types>
        <w:behaviors>
          <w:behavior w:val="content"/>
        </w:behaviors>
        <w:guid w:val="{432FC1AE-B4D5-4236-BF9F-80EC0E531D70}"/>
      </w:docPartPr>
      <w:docPartBody>
        <w:p w:rsidR="00010FC6" w:rsidRDefault="00747B6F" w:rsidP="00747B6F">
          <w:pPr>
            <w:pStyle w:val="BF3C3F00538B446580626CBBAA650050"/>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10FC6"/>
    <w:rsid w:val="001A6589"/>
    <w:rsid w:val="001B6E74"/>
    <w:rsid w:val="00261E9A"/>
    <w:rsid w:val="00500A2B"/>
    <w:rsid w:val="005308E7"/>
    <w:rsid w:val="0058288D"/>
    <w:rsid w:val="006801B3"/>
    <w:rsid w:val="00685CC0"/>
    <w:rsid w:val="00720F63"/>
    <w:rsid w:val="00747B6F"/>
    <w:rsid w:val="007F1B76"/>
    <w:rsid w:val="00810A55"/>
    <w:rsid w:val="008C6619"/>
    <w:rsid w:val="008D420E"/>
    <w:rsid w:val="00904A6D"/>
    <w:rsid w:val="0098642F"/>
    <w:rsid w:val="00C14EC6"/>
    <w:rsid w:val="00CE6602"/>
    <w:rsid w:val="00DD3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7B6F"/>
    <w:rPr>
      <w:color w:val="808080"/>
    </w:rPr>
  </w:style>
  <w:style w:type="paragraph" w:customStyle="1" w:styleId="C444DEE40D7C456B82AF1A09CD132ABF">
    <w:name w:val="C444DEE40D7C456B82AF1A09CD132ABF"/>
    <w:rsid w:val="00CE6602"/>
    <w:pPr>
      <w:spacing w:after="160" w:line="259" w:lineRule="auto"/>
    </w:pPr>
  </w:style>
  <w:style w:type="paragraph" w:customStyle="1" w:styleId="D0AAB56E4D6C4ADE8EAC47103FAA29F4">
    <w:name w:val="D0AAB56E4D6C4ADE8EAC47103FAA29F4"/>
    <w:rsid w:val="00747B6F"/>
    <w:pPr>
      <w:spacing w:after="160" w:line="259" w:lineRule="auto"/>
    </w:pPr>
    <w:rPr>
      <w:lang w:val="en-CA" w:eastAsia="en-CA"/>
    </w:rPr>
  </w:style>
  <w:style w:type="paragraph" w:customStyle="1" w:styleId="BF3C3F00538B446580626CBBAA650050">
    <w:name w:val="BF3C3F00538B446580626CBBAA650050"/>
    <w:rsid w:val="00747B6F"/>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7B8241-816B-4A07-BDFE-56524E76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295</Words>
  <Characters>1625</Characters>
  <Application>Microsoft Office Word</Application>
  <DocSecurity>0</DocSecurity>
  <Lines>13</Lines>
  <Paragraphs>3</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Preparation for the follow-up to the Strategic Plan for Biodiversity 2011-2020</vt:lpstr>
      <vt:lpstr>Preparation for the follow-up to the Strategic Plan for Biodiversity 2011-2020</vt:lpstr>
      <vt:lpstr>Preparation for the follow-up to the Strategic Plan for Biodiversity 2011-2020</vt:lpstr>
    </vt:vector>
  </TitlesOfParts>
  <Company>SCBD</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Préparation du suivi du Plan stratégique 2011-2020 pour la diversité biologique</dc:title>
  <dc:subject>CBD/NP/MOP/DEC/3/15</dc:subject>
  <dc:creator>NP-MOP 3</dc:creator>
  <cp:keywords>Preparation for the follow-up to the Strategic Plan for Biodiversity 2011-2020, Nagoya Protocol on Access and Benefit-sharing, Convention on Biological Diversity</cp:keywords>
  <cp:lastModifiedBy>Louise</cp:lastModifiedBy>
  <cp:revision>3</cp:revision>
  <cp:lastPrinted>2018-12-13T17:53:00Z</cp:lastPrinted>
  <dcterms:created xsi:type="dcterms:W3CDTF">2019-02-20T18:41:00Z</dcterms:created>
  <dcterms:modified xsi:type="dcterms:W3CDTF">2019-02-20T18:50:00Z</dcterms:modified>
  <cp:contentStatus>GÉNÉRALE</cp:contentStatus>
</cp:coreProperties>
</file>