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2D5F92" w14:paraId="3F9A175B" w14:textId="77777777" w:rsidTr="00396CED">
        <w:trPr>
          <w:trHeight w:val="709"/>
        </w:trPr>
        <w:tc>
          <w:tcPr>
            <w:tcW w:w="976" w:type="dxa"/>
            <w:tcBorders>
              <w:bottom w:val="single" w:sz="12" w:space="0" w:color="auto"/>
            </w:tcBorders>
          </w:tcPr>
          <w:p w14:paraId="606AF947" w14:textId="77777777" w:rsidR="002D5F92" w:rsidRDefault="002D5F92" w:rsidP="00396CED">
            <w:r>
              <w:rPr>
                <w:noProof/>
                <w:lang w:val="en-US"/>
              </w:rPr>
              <w:drawing>
                <wp:inline distT="0" distB="0" distL="0" distR="0" wp14:anchorId="02ED7FF1" wp14:editId="6C51E0C4">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02E9FC27" w14:textId="77777777" w:rsidR="002D5F92" w:rsidRDefault="002D5F92" w:rsidP="00396CED">
            <w:r>
              <w:rPr>
                <w:noProof/>
                <w:lang w:val="en-US"/>
              </w:rPr>
              <w:drawing>
                <wp:inline distT="0" distB="0" distL="0" distR="0" wp14:anchorId="1C28C375" wp14:editId="62DF1A78">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657B207C" w14:textId="77777777" w:rsidR="002D5F92" w:rsidRPr="00C9161D" w:rsidRDefault="002D5F92" w:rsidP="00396CED">
            <w:pPr>
              <w:jc w:val="right"/>
              <w:rPr>
                <w:rFonts w:ascii="Arial" w:hAnsi="Arial" w:cs="Arial"/>
                <w:b/>
                <w:sz w:val="32"/>
                <w:szCs w:val="32"/>
              </w:rPr>
            </w:pPr>
            <w:r w:rsidRPr="00C9161D">
              <w:rPr>
                <w:rFonts w:ascii="Arial" w:hAnsi="Arial" w:cs="Arial"/>
                <w:b/>
                <w:sz w:val="32"/>
                <w:szCs w:val="32"/>
              </w:rPr>
              <w:t>CBD</w:t>
            </w:r>
          </w:p>
        </w:tc>
      </w:tr>
      <w:tr w:rsidR="002D5F92" w14:paraId="1C1C40C5" w14:textId="77777777" w:rsidTr="00396CED">
        <w:tc>
          <w:tcPr>
            <w:tcW w:w="6117" w:type="dxa"/>
            <w:gridSpan w:val="2"/>
            <w:tcBorders>
              <w:top w:val="single" w:sz="12" w:space="0" w:color="auto"/>
              <w:bottom w:val="single" w:sz="36" w:space="0" w:color="auto"/>
            </w:tcBorders>
            <w:vAlign w:val="center"/>
          </w:tcPr>
          <w:p w14:paraId="157ED487" w14:textId="77777777" w:rsidR="002D5F92" w:rsidRDefault="002D5F92" w:rsidP="00396CED">
            <w:r>
              <w:rPr>
                <w:noProof/>
                <w:lang w:val="en-US"/>
              </w:rPr>
              <w:drawing>
                <wp:inline distT="0" distB="0" distL="0" distR="0" wp14:anchorId="24076BED" wp14:editId="4BC42004">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3DAC0A0C" w14:textId="77777777" w:rsidR="002D5F92" w:rsidRPr="00C9161D" w:rsidRDefault="002D5F92" w:rsidP="00396CED">
            <w:pPr>
              <w:ind w:left="1215"/>
              <w:rPr>
                <w:szCs w:val="22"/>
              </w:rPr>
            </w:pPr>
            <w:r w:rsidRPr="00C9161D">
              <w:rPr>
                <w:szCs w:val="22"/>
              </w:rPr>
              <w:t>Distr.</w:t>
            </w:r>
          </w:p>
          <w:p w14:paraId="0C0A4162" w14:textId="2C6F097C" w:rsidR="002D5F92" w:rsidRPr="00C9161D" w:rsidRDefault="002954DD" w:rsidP="00396CED">
            <w:pPr>
              <w:ind w:left="1215"/>
              <w:rPr>
                <w:szCs w:val="22"/>
              </w:rPr>
            </w:pPr>
            <w:sdt>
              <w:sdtPr>
                <w:rPr>
                  <w:caps/>
                  <w:szCs w:val="22"/>
                </w:rPr>
                <w:alias w:val="Status"/>
                <w:tag w:val=""/>
                <w:id w:val="307985777"/>
                <w:placeholder>
                  <w:docPart w:val="2DC15644B7F98D4C8758E5797E157481"/>
                </w:placeholder>
                <w:dataBinding w:prefixMappings="xmlns:ns0='http://purl.org/dc/elements/1.1/' xmlns:ns1='http://schemas.openxmlformats.org/package/2006/metadata/core-properties' " w:xpath="/ns1:coreProperties[1]/ns1:contentStatus[1]" w:storeItemID="{6C3C8BC8-F283-45AE-878A-BAB7291924A1}"/>
                <w:text/>
              </w:sdtPr>
              <w:sdtEndPr/>
              <w:sdtContent>
                <w:r w:rsidR="0005027F">
                  <w:rPr>
                    <w:caps/>
                    <w:szCs w:val="22"/>
                  </w:rPr>
                  <w:t>GENERAL</w:t>
                </w:r>
              </w:sdtContent>
            </w:sdt>
          </w:p>
          <w:p w14:paraId="007B09F9" w14:textId="77777777" w:rsidR="002D5F92" w:rsidRPr="00C9161D" w:rsidRDefault="002D5F92" w:rsidP="00396CED">
            <w:pPr>
              <w:ind w:left="1215"/>
              <w:rPr>
                <w:szCs w:val="22"/>
              </w:rPr>
            </w:pPr>
          </w:p>
          <w:p w14:paraId="0B3A3FDF" w14:textId="0D8F8C8E" w:rsidR="002D5F92" w:rsidRPr="00C9161D" w:rsidRDefault="002954DD" w:rsidP="00396CED">
            <w:pPr>
              <w:ind w:left="1215"/>
              <w:rPr>
                <w:szCs w:val="22"/>
              </w:rPr>
            </w:pPr>
            <w:sdt>
              <w:sdtPr>
                <w:rPr>
                  <w:lang w:val="en-US"/>
                </w:rPr>
                <w:alias w:val="Subject"/>
                <w:tag w:val=""/>
                <w:id w:val="2137136483"/>
                <w:placeholder>
                  <w:docPart w:val="63A7474FA73CC342BBD332D23580261D"/>
                </w:placeholder>
                <w:dataBinding w:prefixMappings="xmlns:ns0='http://purl.org/dc/elements/1.1/' xmlns:ns1='http://schemas.openxmlformats.org/package/2006/metadata/core-properties' " w:xpath="/ns1:coreProperties[1]/ns0:subject[1]" w:storeItemID="{6C3C8BC8-F283-45AE-878A-BAB7291924A1}"/>
                <w:text/>
              </w:sdtPr>
              <w:sdtEndPr/>
              <w:sdtContent>
                <w:r>
                  <w:rPr>
                    <w:lang w:val="en-US"/>
                  </w:rPr>
                  <w:t>CBD/NP/</w:t>
                </w:r>
                <w:r w:rsidR="0005027F">
                  <w:rPr>
                    <w:lang w:val="en-US"/>
                  </w:rPr>
                  <w:t>MOP/DEC/3/14</w:t>
                </w:r>
              </w:sdtContent>
            </w:sdt>
          </w:p>
          <w:p w14:paraId="54B0FA25" w14:textId="18A00226" w:rsidR="002D5F92" w:rsidRPr="00C9161D" w:rsidRDefault="0005027F" w:rsidP="00396CED">
            <w:pPr>
              <w:ind w:left="1215"/>
              <w:rPr>
                <w:szCs w:val="22"/>
              </w:rPr>
            </w:pPr>
            <w:r>
              <w:rPr>
                <w:szCs w:val="22"/>
                <w:lang w:val="en-US"/>
              </w:rPr>
              <w:t xml:space="preserve">30 </w:t>
            </w:r>
            <w:r w:rsidR="002D5F92">
              <w:rPr>
                <w:szCs w:val="22"/>
                <w:lang w:val="en-US"/>
              </w:rPr>
              <w:t>November 2018</w:t>
            </w:r>
          </w:p>
          <w:p w14:paraId="24794242" w14:textId="77777777" w:rsidR="002D5F92" w:rsidRPr="00C9161D" w:rsidRDefault="002D5F92" w:rsidP="00396CED">
            <w:pPr>
              <w:ind w:left="1215"/>
              <w:rPr>
                <w:szCs w:val="22"/>
              </w:rPr>
            </w:pPr>
          </w:p>
          <w:p w14:paraId="5AEFB3D8" w14:textId="77777777" w:rsidR="002D5F92" w:rsidRPr="00C9161D" w:rsidRDefault="002D5F92" w:rsidP="00396CED">
            <w:pPr>
              <w:ind w:left="1215"/>
              <w:rPr>
                <w:szCs w:val="22"/>
              </w:rPr>
            </w:pPr>
            <w:r>
              <w:rPr>
                <w:szCs w:val="22"/>
              </w:rPr>
              <w:t xml:space="preserve">ORIGINAL: </w:t>
            </w:r>
            <w:r w:rsidRPr="00C9161D">
              <w:rPr>
                <w:szCs w:val="22"/>
              </w:rPr>
              <w:t>ENGLISH</w:t>
            </w:r>
          </w:p>
          <w:p w14:paraId="38D34574" w14:textId="77777777" w:rsidR="002D5F92" w:rsidRDefault="002D5F92" w:rsidP="00396CED"/>
        </w:tc>
      </w:tr>
    </w:tbl>
    <w:p w14:paraId="4C52CC53" w14:textId="77777777" w:rsidR="005345E1" w:rsidRPr="00E86291" w:rsidRDefault="005345E1" w:rsidP="005345E1">
      <w:pPr>
        <w:suppressLineNumbers/>
        <w:tabs>
          <w:tab w:val="left" w:pos="5580"/>
        </w:tabs>
        <w:suppressAutoHyphens/>
        <w:kinsoku w:val="0"/>
        <w:overflowPunct w:val="0"/>
        <w:autoSpaceDE w:val="0"/>
        <w:autoSpaceDN w:val="0"/>
        <w:ind w:left="170" w:right="3938" w:hanging="170"/>
        <w:jc w:val="left"/>
        <w:rPr>
          <w:rFonts w:eastAsia="Batang"/>
          <w:snapToGrid w:val="0"/>
          <w:kern w:val="22"/>
          <w:szCs w:val="22"/>
        </w:rPr>
      </w:pPr>
      <w:r w:rsidRPr="00E86291">
        <w:rPr>
          <w:rFonts w:eastAsia="Batang"/>
          <w:snapToGrid w:val="0"/>
          <w:kern w:val="22"/>
          <w:szCs w:val="22"/>
        </w:rPr>
        <w:t>CONFERENCE OF THE PARTIES TO THE CONVENTION ON BIOLOGICAL DIVERSITY SERVING AS THE MEETING OF THE PARTIES TO THE NAGOYA PROTOCOL ON ACCESS TO GENETIC RESOURCES AND THE FAIR AND EQUITABLE SHARING OF BENEFITS ARISING FROM THEIR UTILIZATION</w:t>
      </w:r>
    </w:p>
    <w:p w14:paraId="1F755F06" w14:textId="77777777" w:rsidR="005345E1" w:rsidRPr="00E86291" w:rsidRDefault="005345E1" w:rsidP="005345E1">
      <w:pPr>
        <w:suppressLineNumbers/>
        <w:suppressAutoHyphens/>
        <w:kinsoku w:val="0"/>
        <w:overflowPunct w:val="0"/>
        <w:autoSpaceDE w:val="0"/>
        <w:autoSpaceDN w:val="0"/>
        <w:ind w:left="170" w:right="3119" w:hanging="170"/>
        <w:jc w:val="left"/>
        <w:rPr>
          <w:rFonts w:eastAsia="Batang"/>
          <w:snapToGrid w:val="0"/>
          <w:kern w:val="22"/>
          <w:szCs w:val="22"/>
        </w:rPr>
      </w:pPr>
      <w:r w:rsidRPr="00E86291">
        <w:rPr>
          <w:rFonts w:eastAsia="Batang"/>
          <w:snapToGrid w:val="0"/>
          <w:kern w:val="22"/>
          <w:szCs w:val="22"/>
        </w:rPr>
        <w:t>Third meeting</w:t>
      </w:r>
    </w:p>
    <w:p w14:paraId="07FB6C1B" w14:textId="77777777" w:rsidR="006F1189" w:rsidRPr="00E86291" w:rsidRDefault="006F1189" w:rsidP="006F1189">
      <w:pPr>
        <w:suppressLineNumbers/>
        <w:suppressAutoHyphens/>
        <w:kinsoku w:val="0"/>
        <w:overflowPunct w:val="0"/>
        <w:autoSpaceDE w:val="0"/>
        <w:autoSpaceDN w:val="0"/>
        <w:rPr>
          <w:snapToGrid w:val="0"/>
          <w:kern w:val="22"/>
          <w:szCs w:val="22"/>
          <w:lang w:eastAsia="nb-NO"/>
        </w:rPr>
      </w:pPr>
      <w:bookmarkStart w:id="0" w:name="_Hlk505863673"/>
      <w:r w:rsidRPr="00E86291">
        <w:rPr>
          <w:snapToGrid w:val="0"/>
          <w:kern w:val="22"/>
          <w:szCs w:val="22"/>
          <w:lang w:eastAsia="nb-NO"/>
        </w:rPr>
        <w:t>Sharm El-Sheikh, Egypt</w:t>
      </w:r>
      <w:bookmarkEnd w:id="0"/>
      <w:r w:rsidRPr="00E86291">
        <w:rPr>
          <w:snapToGrid w:val="0"/>
          <w:kern w:val="22"/>
          <w:szCs w:val="22"/>
          <w:lang w:eastAsia="nb-NO"/>
        </w:rPr>
        <w:t>, 17-29 November 2018</w:t>
      </w:r>
    </w:p>
    <w:p w14:paraId="0B9BBCE1" w14:textId="7109D7E4" w:rsidR="00C9161D" w:rsidRDefault="005B0E23" w:rsidP="00C9161D">
      <w:pPr>
        <w:rPr>
          <w:szCs w:val="22"/>
        </w:rPr>
      </w:pPr>
      <w:r w:rsidRPr="00E86291">
        <w:rPr>
          <w:szCs w:val="22"/>
        </w:rPr>
        <w:t>Agenda item 18</w:t>
      </w:r>
    </w:p>
    <w:p w14:paraId="682193ED" w14:textId="1AFE2C1B" w:rsidR="0005027F" w:rsidRPr="007E23CD" w:rsidRDefault="00375F2F" w:rsidP="007E23CD">
      <w:pPr>
        <w:pStyle w:val="Heading1"/>
        <w:tabs>
          <w:tab w:val="clear" w:pos="720"/>
        </w:tabs>
        <w:rPr>
          <w:rFonts w:ascii="Times New Roman Bold" w:hAnsi="Times New Roman Bold"/>
          <w:szCs w:val="22"/>
        </w:rPr>
      </w:pPr>
      <w:r w:rsidRPr="007E23CD">
        <w:rPr>
          <w:rFonts w:ascii="Times New Roman Bold" w:hAnsi="Times New Roman Bold"/>
        </w:rPr>
        <w:t>Decision adopted by the Parties to the Nagoya Protocol on Access and Benefit-sharing</w:t>
      </w:r>
    </w:p>
    <w:p w14:paraId="70A9BE08" w14:textId="353E39DF" w:rsidR="00C9161D" w:rsidRPr="000F2F6A" w:rsidRDefault="0005027F" w:rsidP="007E23CD">
      <w:pPr>
        <w:pStyle w:val="recommendationheader"/>
        <w:tabs>
          <w:tab w:val="clear" w:pos="720"/>
        </w:tabs>
        <w:ind w:left="851" w:hanging="567"/>
        <w:jc w:val="left"/>
        <w:rPr>
          <w:caps/>
        </w:rPr>
      </w:pPr>
      <w:r>
        <w:rPr>
          <w:caps/>
          <w:snapToGrid w:val="0"/>
        </w:rPr>
        <w:t>3/14.</w:t>
      </w:r>
      <w:r>
        <w:rPr>
          <w:caps/>
          <w:snapToGrid w:val="0"/>
        </w:rPr>
        <w:tab/>
      </w:r>
      <w:sdt>
        <w:sdtPr>
          <w:rPr>
            <w:caps/>
            <w:snapToGrid w:val="0"/>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2611CB" w:rsidRPr="00E86291">
            <w:rPr>
              <w:caps/>
              <w:snapToGrid w:val="0"/>
            </w:rPr>
            <w:t>S</w:t>
          </w:r>
          <w:r w:rsidRPr="00E86291">
            <w:rPr>
              <w:snapToGrid w:val="0"/>
            </w:rPr>
            <w:t>pecialized international access and benefit sharing instruments in the context of</w:t>
          </w:r>
          <w:r>
            <w:rPr>
              <w:snapToGrid w:val="0"/>
            </w:rPr>
            <w:t xml:space="preserve"> Article 4, paragraph 4, of the Nagoya P</w:t>
          </w:r>
          <w:r w:rsidRPr="00E86291">
            <w:rPr>
              <w:snapToGrid w:val="0"/>
            </w:rPr>
            <w:t>rotocol</w:t>
          </w:r>
        </w:sdtContent>
      </w:sdt>
    </w:p>
    <w:p w14:paraId="7A192A19" w14:textId="0F5EAFB3" w:rsidR="00632A14" w:rsidRPr="00541921" w:rsidRDefault="00632A14" w:rsidP="007E23CD">
      <w:pPr>
        <w:suppressLineNumbers/>
        <w:suppressAutoHyphens/>
        <w:kinsoku w:val="0"/>
        <w:overflowPunct w:val="0"/>
        <w:autoSpaceDE w:val="0"/>
        <w:autoSpaceDN w:val="0"/>
        <w:adjustRightInd w:val="0"/>
        <w:snapToGrid w:val="0"/>
        <w:spacing w:before="120" w:after="120"/>
        <w:ind w:firstLine="720"/>
        <w:rPr>
          <w:i/>
          <w:kern w:val="22"/>
          <w:szCs w:val="22"/>
        </w:rPr>
      </w:pPr>
      <w:r w:rsidRPr="000F2F6A">
        <w:rPr>
          <w:i/>
          <w:kern w:val="22"/>
          <w:szCs w:val="22"/>
        </w:rPr>
        <w:t>The Conference of the Parties serving as the meeting of the Parties to the Nagoya Protocol</w:t>
      </w:r>
      <w:r w:rsidR="002954DD">
        <w:rPr>
          <w:i/>
          <w:kern w:val="22"/>
          <w:szCs w:val="22"/>
        </w:rPr>
        <w:t xml:space="preserve"> </w:t>
      </w:r>
      <w:r w:rsidR="002954DD">
        <w:rPr>
          <w:rFonts w:eastAsia="Arial Unicode MS"/>
          <w:i/>
          <w:snapToGrid w:val="0"/>
          <w:kern w:val="22"/>
          <w:u w:color="000000"/>
          <w:bdr w:val="nil"/>
        </w:rPr>
        <w:t>on Access and Benefit-sharing</w:t>
      </w:r>
      <w:bookmarkStart w:id="1" w:name="_GoBack"/>
      <w:bookmarkEnd w:id="1"/>
      <w:r w:rsidRPr="000F2F6A">
        <w:rPr>
          <w:i/>
          <w:kern w:val="22"/>
          <w:szCs w:val="22"/>
        </w:rPr>
        <w:t>,</w:t>
      </w:r>
    </w:p>
    <w:p w14:paraId="3270FFA3" w14:textId="77777777" w:rsidR="00632A14" w:rsidRPr="00E86291" w:rsidRDefault="00632A14" w:rsidP="00375F2F">
      <w:pPr>
        <w:suppressLineNumbers/>
        <w:suppressAutoHyphens/>
        <w:kinsoku w:val="0"/>
        <w:overflowPunct w:val="0"/>
        <w:autoSpaceDE w:val="0"/>
        <w:autoSpaceDN w:val="0"/>
        <w:adjustRightInd w:val="0"/>
        <w:snapToGrid w:val="0"/>
        <w:spacing w:before="120" w:after="120"/>
        <w:ind w:firstLine="720"/>
        <w:rPr>
          <w:kern w:val="22"/>
          <w:szCs w:val="22"/>
        </w:rPr>
      </w:pPr>
      <w:r w:rsidRPr="00541921">
        <w:rPr>
          <w:i/>
          <w:kern w:val="22"/>
          <w:szCs w:val="22"/>
        </w:rPr>
        <w:t xml:space="preserve">Recognizing </w:t>
      </w:r>
      <w:r w:rsidRPr="00541921">
        <w:rPr>
          <w:kern w:val="22"/>
          <w:szCs w:val="22"/>
        </w:rPr>
        <w:t>the need to strengthen coordination and mutual supportiveness among international instruments on access and benefit-sharing,</w:t>
      </w:r>
    </w:p>
    <w:p w14:paraId="340BE21D" w14:textId="77777777" w:rsidR="00632A14" w:rsidRPr="00E86291" w:rsidRDefault="00632A14" w:rsidP="007E23CD">
      <w:pPr>
        <w:suppressLineNumbers/>
        <w:suppressAutoHyphens/>
        <w:kinsoku w:val="0"/>
        <w:overflowPunct w:val="0"/>
        <w:autoSpaceDE w:val="0"/>
        <w:autoSpaceDN w:val="0"/>
        <w:adjustRightInd w:val="0"/>
        <w:snapToGrid w:val="0"/>
        <w:spacing w:before="120" w:after="120"/>
        <w:ind w:firstLine="720"/>
        <w:rPr>
          <w:kern w:val="22"/>
          <w:szCs w:val="22"/>
        </w:rPr>
      </w:pPr>
      <w:r w:rsidRPr="00E86291">
        <w:rPr>
          <w:i/>
          <w:kern w:val="22"/>
          <w:szCs w:val="22"/>
        </w:rPr>
        <w:t xml:space="preserve">Acknowledging </w:t>
      </w:r>
      <w:r w:rsidRPr="00E86291">
        <w:rPr>
          <w:kern w:val="22"/>
          <w:szCs w:val="22"/>
        </w:rPr>
        <w:t>that any criteria to identify a specialized international access and benefit-sharing instrument and any process for recognition of such an instrument is not intended to create a hierarchy between the Nagoya Protocol and other international instruments,</w:t>
      </w:r>
    </w:p>
    <w:p w14:paraId="46EE3A77" w14:textId="77777777" w:rsidR="00632A14" w:rsidRPr="00541921" w:rsidRDefault="00632A14" w:rsidP="007E23CD">
      <w:pPr>
        <w:suppressLineNumbers/>
        <w:suppressAutoHyphens/>
        <w:kinsoku w:val="0"/>
        <w:overflowPunct w:val="0"/>
        <w:autoSpaceDE w:val="0"/>
        <w:autoSpaceDN w:val="0"/>
        <w:adjustRightInd w:val="0"/>
        <w:snapToGrid w:val="0"/>
        <w:spacing w:before="120" w:after="120"/>
        <w:ind w:firstLine="720"/>
        <w:rPr>
          <w:kern w:val="22"/>
          <w:szCs w:val="22"/>
        </w:rPr>
      </w:pPr>
      <w:r w:rsidRPr="00E86291">
        <w:rPr>
          <w:kern w:val="22"/>
          <w:szCs w:val="22"/>
        </w:rPr>
        <w:t>1.</w:t>
      </w:r>
      <w:r w:rsidRPr="00E86291">
        <w:rPr>
          <w:kern w:val="22"/>
          <w:szCs w:val="22"/>
        </w:rPr>
        <w:tab/>
      </w:r>
      <w:r w:rsidRPr="00E86291">
        <w:rPr>
          <w:i/>
          <w:kern w:val="22"/>
          <w:szCs w:val="22"/>
        </w:rPr>
        <w:t>Takes note</w:t>
      </w:r>
      <w:r w:rsidRPr="00E86291">
        <w:rPr>
          <w:kern w:val="22"/>
          <w:szCs w:val="22"/>
        </w:rPr>
        <w:t xml:space="preserve"> of the study</w:t>
      </w:r>
      <w:r w:rsidRPr="000F2F6A">
        <w:rPr>
          <w:rStyle w:val="FootnoteReference"/>
          <w:rFonts w:eastAsiaTheme="majorEastAsia"/>
          <w:kern w:val="22"/>
          <w:szCs w:val="22"/>
        </w:rPr>
        <w:footnoteReference w:id="1"/>
      </w:r>
      <w:r w:rsidRPr="000F2F6A">
        <w:rPr>
          <w:kern w:val="22"/>
          <w:szCs w:val="22"/>
        </w:rPr>
        <w:t xml:space="preserve"> and potential criteria for specialized international access and benefit-sharing instruments in the context of Article 4, paragraph 4, of the Nagoya Protocol as summarized in the annex below</w:t>
      </w:r>
      <w:r w:rsidRPr="00541921">
        <w:rPr>
          <w:kern w:val="22"/>
          <w:szCs w:val="22"/>
        </w:rPr>
        <w:t xml:space="preserve">, and </w:t>
      </w:r>
      <w:r w:rsidRPr="00541921">
        <w:rPr>
          <w:i/>
          <w:kern w:val="22"/>
          <w:szCs w:val="22"/>
        </w:rPr>
        <w:t>agrees</w:t>
      </w:r>
      <w:r w:rsidRPr="00541921">
        <w:rPr>
          <w:kern w:val="22"/>
          <w:szCs w:val="22"/>
        </w:rPr>
        <w:t xml:space="preserve"> to reconsider these potential criteria at its fourth meeting;</w:t>
      </w:r>
    </w:p>
    <w:p w14:paraId="3C45CF75" w14:textId="77777777" w:rsidR="00632A14" w:rsidRPr="00E86291" w:rsidRDefault="00632A14" w:rsidP="007E23CD">
      <w:pPr>
        <w:suppressLineNumbers/>
        <w:suppressAutoHyphens/>
        <w:kinsoku w:val="0"/>
        <w:overflowPunct w:val="0"/>
        <w:autoSpaceDE w:val="0"/>
        <w:autoSpaceDN w:val="0"/>
        <w:adjustRightInd w:val="0"/>
        <w:snapToGrid w:val="0"/>
        <w:spacing w:before="120" w:after="120"/>
        <w:ind w:firstLine="720"/>
        <w:rPr>
          <w:kern w:val="22"/>
          <w:szCs w:val="22"/>
        </w:rPr>
      </w:pPr>
      <w:r w:rsidRPr="00E86291">
        <w:rPr>
          <w:kern w:val="22"/>
          <w:szCs w:val="22"/>
        </w:rPr>
        <w:t>2.</w:t>
      </w:r>
      <w:r w:rsidRPr="00E86291">
        <w:rPr>
          <w:kern w:val="22"/>
          <w:szCs w:val="22"/>
        </w:rPr>
        <w:tab/>
      </w:r>
      <w:r w:rsidRPr="00E86291">
        <w:rPr>
          <w:i/>
          <w:kern w:val="22"/>
          <w:szCs w:val="22"/>
        </w:rPr>
        <w:t xml:space="preserve">Invites </w:t>
      </w:r>
      <w:r w:rsidRPr="00E86291">
        <w:rPr>
          <w:kern w:val="22"/>
          <w:szCs w:val="22"/>
        </w:rPr>
        <w:t>Parties and other Governments to submit:</w:t>
      </w:r>
    </w:p>
    <w:p w14:paraId="5D348861" w14:textId="77777777" w:rsidR="00632A14" w:rsidRPr="00E86291" w:rsidRDefault="00632A14" w:rsidP="007E23CD">
      <w:pPr>
        <w:suppressLineNumbers/>
        <w:suppressAutoHyphens/>
        <w:kinsoku w:val="0"/>
        <w:overflowPunct w:val="0"/>
        <w:autoSpaceDE w:val="0"/>
        <w:autoSpaceDN w:val="0"/>
        <w:adjustRightInd w:val="0"/>
        <w:snapToGrid w:val="0"/>
        <w:spacing w:before="120" w:after="120"/>
        <w:ind w:firstLine="720"/>
        <w:rPr>
          <w:kern w:val="22"/>
          <w:szCs w:val="22"/>
        </w:rPr>
      </w:pPr>
      <w:r w:rsidRPr="00E86291">
        <w:rPr>
          <w:kern w:val="22"/>
          <w:szCs w:val="22"/>
        </w:rPr>
        <w:t>(a)</w:t>
      </w:r>
      <w:r w:rsidRPr="00E86291">
        <w:rPr>
          <w:kern w:val="22"/>
          <w:szCs w:val="22"/>
        </w:rPr>
        <w:tab/>
        <w:t>Information on how specialized international access and benefit-sharing instruments are addressed in their domestic measures;</w:t>
      </w:r>
    </w:p>
    <w:p w14:paraId="4360D904" w14:textId="77777777" w:rsidR="00632A14" w:rsidRPr="00E86291" w:rsidRDefault="00632A14" w:rsidP="007E23CD">
      <w:pPr>
        <w:suppressLineNumbers/>
        <w:suppressAutoHyphens/>
        <w:kinsoku w:val="0"/>
        <w:overflowPunct w:val="0"/>
        <w:autoSpaceDE w:val="0"/>
        <w:autoSpaceDN w:val="0"/>
        <w:adjustRightInd w:val="0"/>
        <w:snapToGrid w:val="0"/>
        <w:spacing w:before="120" w:after="120"/>
        <w:ind w:firstLine="720"/>
        <w:rPr>
          <w:kern w:val="22"/>
          <w:szCs w:val="22"/>
        </w:rPr>
      </w:pPr>
      <w:r w:rsidRPr="00E86291">
        <w:rPr>
          <w:kern w:val="22"/>
          <w:szCs w:val="22"/>
        </w:rPr>
        <w:t>(b)</w:t>
      </w:r>
      <w:r w:rsidRPr="00E86291">
        <w:rPr>
          <w:kern w:val="22"/>
          <w:szCs w:val="22"/>
        </w:rPr>
        <w:tab/>
        <w:t>Views on the potential criteria contained in the study, taking into account Article 4, paragraphs 1 to 3, of the Protocol;</w:t>
      </w:r>
    </w:p>
    <w:p w14:paraId="757237E1" w14:textId="77777777" w:rsidR="00632A14" w:rsidRPr="00E86291" w:rsidRDefault="00632A14" w:rsidP="007E23CD">
      <w:pPr>
        <w:suppressLineNumbers/>
        <w:suppressAutoHyphens/>
        <w:kinsoku w:val="0"/>
        <w:overflowPunct w:val="0"/>
        <w:autoSpaceDE w:val="0"/>
        <w:autoSpaceDN w:val="0"/>
        <w:adjustRightInd w:val="0"/>
        <w:snapToGrid w:val="0"/>
        <w:spacing w:before="120" w:after="120"/>
        <w:ind w:firstLine="720"/>
        <w:rPr>
          <w:kern w:val="22"/>
          <w:szCs w:val="22"/>
        </w:rPr>
      </w:pPr>
      <w:r w:rsidRPr="00E86291">
        <w:rPr>
          <w:kern w:val="22"/>
          <w:szCs w:val="22"/>
        </w:rPr>
        <w:t>3.</w:t>
      </w:r>
      <w:r w:rsidRPr="00E86291">
        <w:rPr>
          <w:kern w:val="22"/>
          <w:szCs w:val="22"/>
        </w:rPr>
        <w:tab/>
      </w:r>
      <w:r w:rsidRPr="00E86291">
        <w:rPr>
          <w:i/>
          <w:kern w:val="22"/>
          <w:szCs w:val="22"/>
        </w:rPr>
        <w:t>Requests</w:t>
      </w:r>
      <w:r w:rsidRPr="00E86291">
        <w:rPr>
          <w:kern w:val="22"/>
          <w:szCs w:val="22"/>
        </w:rPr>
        <w:t xml:space="preserve"> the Executive Secretary to continue to follow developments in relevant international forums;</w:t>
      </w:r>
    </w:p>
    <w:p w14:paraId="39D6B33E" w14:textId="77777777" w:rsidR="00632A14" w:rsidRPr="00E86291" w:rsidRDefault="00632A14" w:rsidP="007E23CD">
      <w:pPr>
        <w:suppressLineNumbers/>
        <w:suppressAutoHyphens/>
        <w:kinsoku w:val="0"/>
        <w:overflowPunct w:val="0"/>
        <w:autoSpaceDE w:val="0"/>
        <w:autoSpaceDN w:val="0"/>
        <w:adjustRightInd w:val="0"/>
        <w:snapToGrid w:val="0"/>
        <w:spacing w:before="120" w:after="120"/>
        <w:ind w:firstLine="720"/>
        <w:rPr>
          <w:kern w:val="22"/>
          <w:szCs w:val="22"/>
        </w:rPr>
      </w:pPr>
      <w:r w:rsidRPr="00E86291">
        <w:rPr>
          <w:kern w:val="22"/>
          <w:szCs w:val="22"/>
        </w:rPr>
        <w:t>4.</w:t>
      </w:r>
      <w:r w:rsidRPr="00E86291">
        <w:rPr>
          <w:kern w:val="22"/>
          <w:szCs w:val="22"/>
        </w:rPr>
        <w:tab/>
      </w:r>
      <w:r w:rsidRPr="00E86291">
        <w:rPr>
          <w:i/>
          <w:kern w:val="22"/>
          <w:szCs w:val="22"/>
        </w:rPr>
        <w:t>Also requests</w:t>
      </w:r>
      <w:r w:rsidRPr="00E86291">
        <w:rPr>
          <w:kern w:val="22"/>
          <w:szCs w:val="22"/>
        </w:rPr>
        <w:t xml:space="preserve"> the Executive Secretary to synthesize the information and views submitted, including the information from developments in relevant international forums, and make it available for consideration by the Subsidiary Body on Implementation at its third meeting;</w:t>
      </w:r>
    </w:p>
    <w:p w14:paraId="7CA718C7" w14:textId="77777777" w:rsidR="00632A14" w:rsidRPr="00E86291" w:rsidRDefault="00632A14" w:rsidP="007E23CD">
      <w:pPr>
        <w:suppressLineNumbers/>
        <w:suppressAutoHyphens/>
        <w:kinsoku w:val="0"/>
        <w:overflowPunct w:val="0"/>
        <w:autoSpaceDE w:val="0"/>
        <w:autoSpaceDN w:val="0"/>
        <w:adjustRightInd w:val="0"/>
        <w:snapToGrid w:val="0"/>
        <w:spacing w:before="120" w:after="120"/>
        <w:ind w:firstLine="720"/>
        <w:rPr>
          <w:kern w:val="22"/>
          <w:szCs w:val="22"/>
        </w:rPr>
      </w:pPr>
      <w:r w:rsidRPr="00E86291">
        <w:rPr>
          <w:kern w:val="22"/>
          <w:szCs w:val="22"/>
        </w:rPr>
        <w:t>5.</w:t>
      </w:r>
      <w:r w:rsidRPr="00E86291">
        <w:rPr>
          <w:kern w:val="22"/>
          <w:szCs w:val="22"/>
        </w:rPr>
        <w:tab/>
      </w:r>
      <w:r w:rsidRPr="00E86291">
        <w:rPr>
          <w:i/>
          <w:kern w:val="22"/>
          <w:szCs w:val="22"/>
        </w:rPr>
        <w:t>Requests</w:t>
      </w:r>
      <w:r w:rsidRPr="00E86291">
        <w:rPr>
          <w:kern w:val="22"/>
          <w:szCs w:val="22"/>
        </w:rPr>
        <w:t xml:space="preserve"> the Subsidiary Body on Implementation at its third meeting to consider the synthesis referred to in paragraph 4 above and to make a recommendation to the Conference of the Parties serving as the meeting of the Parties to the Nagoya Protocol at its fourth meeting;</w:t>
      </w:r>
    </w:p>
    <w:p w14:paraId="316E8088" w14:textId="77777777" w:rsidR="00632A14" w:rsidRPr="00E86291" w:rsidRDefault="00632A14" w:rsidP="007E23CD">
      <w:pPr>
        <w:suppressLineNumbers/>
        <w:suppressAutoHyphens/>
        <w:kinsoku w:val="0"/>
        <w:overflowPunct w:val="0"/>
        <w:autoSpaceDE w:val="0"/>
        <w:autoSpaceDN w:val="0"/>
        <w:adjustRightInd w:val="0"/>
        <w:snapToGrid w:val="0"/>
        <w:spacing w:before="120" w:after="120"/>
        <w:ind w:firstLine="720"/>
        <w:rPr>
          <w:kern w:val="22"/>
          <w:szCs w:val="22"/>
        </w:rPr>
      </w:pPr>
      <w:r w:rsidRPr="00E86291">
        <w:rPr>
          <w:kern w:val="22"/>
          <w:szCs w:val="22"/>
        </w:rPr>
        <w:lastRenderedPageBreak/>
        <w:t>6.</w:t>
      </w:r>
      <w:r w:rsidRPr="00E86291">
        <w:rPr>
          <w:kern w:val="22"/>
          <w:szCs w:val="22"/>
        </w:rPr>
        <w:tab/>
      </w:r>
      <w:r w:rsidRPr="00E86291">
        <w:rPr>
          <w:i/>
          <w:kern w:val="22"/>
          <w:szCs w:val="22"/>
        </w:rPr>
        <w:t>Decides</w:t>
      </w:r>
      <w:r w:rsidRPr="00E86291">
        <w:rPr>
          <w:kern w:val="22"/>
          <w:szCs w:val="22"/>
        </w:rPr>
        <w:t xml:space="preserve"> to include a standing item on “cooperation with other international organizations” on the agenda of its future meetings to take stock of developments in relevant international forums, including any information on specialized international access and benefit-sharing instruments recognized by another intergovernmental body and/or by a Party or group of Parties, with a view to enhancing mutual supportiveness between the Protocol and specialized international access and benefit-sharing instruments;</w:t>
      </w:r>
    </w:p>
    <w:p w14:paraId="7745AD28" w14:textId="77777777" w:rsidR="00632A14" w:rsidRPr="00E86291" w:rsidRDefault="00632A14" w:rsidP="007E23CD">
      <w:pPr>
        <w:suppressLineNumbers/>
        <w:suppressAutoHyphens/>
        <w:kinsoku w:val="0"/>
        <w:overflowPunct w:val="0"/>
        <w:autoSpaceDE w:val="0"/>
        <w:autoSpaceDN w:val="0"/>
        <w:adjustRightInd w:val="0"/>
        <w:snapToGrid w:val="0"/>
        <w:spacing w:before="120" w:after="120"/>
        <w:ind w:firstLine="720"/>
        <w:rPr>
          <w:kern w:val="22"/>
          <w:szCs w:val="22"/>
        </w:rPr>
      </w:pPr>
      <w:r w:rsidRPr="00E86291">
        <w:rPr>
          <w:kern w:val="22"/>
          <w:szCs w:val="22"/>
        </w:rPr>
        <w:t>7.</w:t>
      </w:r>
      <w:r w:rsidRPr="00E86291">
        <w:rPr>
          <w:kern w:val="22"/>
          <w:szCs w:val="22"/>
        </w:rPr>
        <w:tab/>
      </w:r>
      <w:r w:rsidRPr="00E86291">
        <w:rPr>
          <w:i/>
          <w:kern w:val="22"/>
          <w:szCs w:val="22"/>
        </w:rPr>
        <w:t>Invites</w:t>
      </w:r>
      <w:r w:rsidRPr="00E86291">
        <w:rPr>
          <w:kern w:val="22"/>
          <w:szCs w:val="22"/>
        </w:rPr>
        <w:t xml:space="preserve"> Parties and other Governments to coordinate at the national level regarding access and benefit-sharing issues addressed in different international forums, as appropriate, in order to support a coherent international regime on access and benefit-sharing;</w:t>
      </w:r>
    </w:p>
    <w:p w14:paraId="4710C9DF" w14:textId="77777777" w:rsidR="00632A14" w:rsidRPr="00E86291" w:rsidRDefault="00632A14" w:rsidP="007E23CD">
      <w:pPr>
        <w:suppressLineNumbers/>
        <w:suppressAutoHyphens/>
        <w:kinsoku w:val="0"/>
        <w:overflowPunct w:val="0"/>
        <w:autoSpaceDE w:val="0"/>
        <w:autoSpaceDN w:val="0"/>
        <w:adjustRightInd w:val="0"/>
        <w:snapToGrid w:val="0"/>
        <w:spacing w:before="120" w:after="120"/>
        <w:ind w:firstLine="720"/>
        <w:rPr>
          <w:bCs/>
          <w:kern w:val="22"/>
          <w:szCs w:val="22"/>
        </w:rPr>
      </w:pPr>
      <w:r w:rsidRPr="00E86291">
        <w:rPr>
          <w:kern w:val="22"/>
          <w:szCs w:val="22"/>
        </w:rPr>
        <w:t>8.</w:t>
      </w:r>
      <w:r w:rsidRPr="00E86291">
        <w:rPr>
          <w:kern w:val="22"/>
          <w:szCs w:val="22"/>
        </w:rPr>
        <w:tab/>
      </w:r>
      <w:r w:rsidRPr="00E86291">
        <w:rPr>
          <w:i/>
          <w:kern w:val="22"/>
          <w:szCs w:val="22"/>
        </w:rPr>
        <w:t>Invites</w:t>
      </w:r>
      <w:r w:rsidRPr="00E86291">
        <w:rPr>
          <w:kern w:val="22"/>
          <w:szCs w:val="22"/>
        </w:rPr>
        <w:t xml:space="preserve"> Parties and other Governments which are or may become Parties to the Nagoya Protocol and to a specialized international access and benefit-sharing instrument, as appropriate, to take steps to implement both instruments in a mutually supportive manner, including with the participation of indigenous peoples and local communities, where relevant or applicable, according to their national circumstances.</w:t>
      </w:r>
    </w:p>
    <w:p w14:paraId="6A1D510B" w14:textId="5E822F2A" w:rsidR="00632A14" w:rsidRPr="00E86291" w:rsidRDefault="00632A14" w:rsidP="00632A14">
      <w:pPr>
        <w:keepNext/>
        <w:suppressLineNumbers/>
        <w:suppressAutoHyphens/>
        <w:kinsoku w:val="0"/>
        <w:overflowPunct w:val="0"/>
        <w:autoSpaceDE w:val="0"/>
        <w:autoSpaceDN w:val="0"/>
        <w:adjustRightInd w:val="0"/>
        <w:snapToGrid w:val="0"/>
        <w:spacing w:before="240" w:after="120"/>
        <w:jc w:val="center"/>
        <w:outlineLvl w:val="2"/>
        <w:rPr>
          <w:i/>
          <w:kern w:val="22"/>
          <w:szCs w:val="22"/>
        </w:rPr>
      </w:pPr>
      <w:r w:rsidRPr="00E86291">
        <w:rPr>
          <w:i/>
          <w:kern w:val="22"/>
          <w:szCs w:val="22"/>
        </w:rPr>
        <w:t>Annex</w:t>
      </w:r>
    </w:p>
    <w:p w14:paraId="2E0EA5C8" w14:textId="77777777" w:rsidR="00F34F4F" w:rsidRPr="00107981" w:rsidRDefault="00632A14" w:rsidP="007E23CD">
      <w:pPr>
        <w:ind w:right="360"/>
        <w:jc w:val="center"/>
        <w:rPr>
          <w:rFonts w:eastAsia="Calibri"/>
          <w:b/>
          <w:color w:val="000000"/>
          <w:kern w:val="22"/>
          <w:szCs w:val="22"/>
          <w:u w:color="000000"/>
        </w:rPr>
      </w:pPr>
      <w:r w:rsidRPr="00E86291">
        <w:rPr>
          <w:rFonts w:eastAsia="Calibri"/>
          <w:b/>
          <w:color w:val="000000"/>
          <w:kern w:val="22"/>
          <w:szCs w:val="22"/>
          <w:u w:color="000000"/>
        </w:rPr>
        <w:t>Potential criteria for specialized international access and benefit-sharing instruments in the context of Article 4, paragraph 4, of the Nagoya Protocol on Access to Genetic Resources and the Fair and Equitable Sharing of Benefits Arising from their Utilization</w:t>
      </w:r>
    </w:p>
    <w:p w14:paraId="01BAF575" w14:textId="1C9C2A47" w:rsidR="00632A14" w:rsidRPr="00E86291" w:rsidRDefault="00327B3D" w:rsidP="00632A14">
      <w:pPr>
        <w:tabs>
          <w:tab w:val="left" w:pos="763"/>
        </w:tabs>
        <w:ind w:right="360"/>
        <w:jc w:val="center"/>
        <w:rPr>
          <w:rFonts w:eastAsia="Calibri"/>
          <w:b/>
          <w:color w:val="000000"/>
          <w:kern w:val="22"/>
          <w:szCs w:val="22"/>
          <w:u w:color="000000"/>
        </w:rPr>
      </w:pPr>
      <w:r w:rsidRPr="00E86291">
        <w:rPr>
          <w:rFonts w:eastAsia="Calibri"/>
          <w:b/>
          <w:color w:val="000000"/>
          <w:kern w:val="22"/>
          <w:szCs w:val="22"/>
          <w:u w:color="000000"/>
        </w:rPr>
        <w:t xml:space="preserve"> </w:t>
      </w:r>
    </w:p>
    <w:p w14:paraId="2D60D2AB" w14:textId="229168C6" w:rsidR="00F34F4F" w:rsidRPr="00E86291" w:rsidRDefault="008C6B31" w:rsidP="007E23CD">
      <w:pPr>
        <w:pStyle w:val="FootnoteText"/>
        <w:rPr>
          <w:sz w:val="22"/>
          <w:szCs w:val="22"/>
        </w:rPr>
      </w:pPr>
      <w:r w:rsidRPr="00E86291">
        <w:rPr>
          <w:bCs/>
          <w:kern w:val="22"/>
          <w:sz w:val="22"/>
          <w:szCs w:val="22"/>
        </w:rPr>
        <w:t xml:space="preserve">The following </w:t>
      </w:r>
      <w:r w:rsidR="005F5E29">
        <w:rPr>
          <w:bCs/>
          <w:kern w:val="22"/>
          <w:sz w:val="22"/>
          <w:szCs w:val="22"/>
        </w:rPr>
        <w:t>is</w:t>
      </w:r>
      <w:r w:rsidRPr="00E86291">
        <w:rPr>
          <w:bCs/>
          <w:kern w:val="22"/>
          <w:sz w:val="22"/>
          <w:szCs w:val="22"/>
        </w:rPr>
        <w:t xml:space="preserve"> a summary of the potential</w:t>
      </w:r>
      <w:r w:rsidR="00553F58" w:rsidRPr="00E86291">
        <w:rPr>
          <w:rFonts w:eastAsia="Calibri"/>
          <w:color w:val="000000"/>
          <w:kern w:val="22"/>
          <w:sz w:val="22"/>
          <w:szCs w:val="22"/>
          <w:u w:color="000000"/>
        </w:rPr>
        <w:t xml:space="preserve"> criteria for specialized international access and benefit-sharing instruments in the context of Article 4, paragraph 4, of the Nagoya Protocol on Access to Genetic Resources and the Fair and Equitable Sharing of Benefits Arising from their Utilization, as described in the </w:t>
      </w:r>
      <w:r w:rsidR="00142F5D" w:rsidRPr="00E86291">
        <w:rPr>
          <w:rFonts w:eastAsia="Calibri"/>
          <w:color w:val="000000"/>
          <w:kern w:val="22"/>
          <w:sz w:val="22"/>
          <w:szCs w:val="22"/>
          <w:u w:color="000000"/>
        </w:rPr>
        <w:t xml:space="preserve">study contained in document </w:t>
      </w:r>
      <w:r w:rsidR="00553F58" w:rsidRPr="00E86291">
        <w:rPr>
          <w:rFonts w:eastAsia="Calibri"/>
          <w:color w:val="000000"/>
          <w:kern w:val="22"/>
          <w:sz w:val="22"/>
          <w:szCs w:val="22"/>
          <w:u w:color="000000"/>
        </w:rPr>
        <w:t>CBD/SBI/2/INF/17</w:t>
      </w:r>
      <w:r w:rsidR="00F34F4F" w:rsidRPr="00E86291">
        <w:rPr>
          <w:rFonts w:eastAsia="Calibri"/>
          <w:color w:val="000000"/>
          <w:kern w:val="22"/>
          <w:sz w:val="22"/>
          <w:szCs w:val="22"/>
          <w:u w:color="000000"/>
        </w:rPr>
        <w:t>.</w:t>
      </w:r>
      <w:r w:rsidR="00F34F4F" w:rsidRPr="00E86291">
        <w:rPr>
          <w:bCs/>
          <w:kern w:val="22"/>
          <w:sz w:val="22"/>
          <w:szCs w:val="22"/>
        </w:rPr>
        <w:t xml:space="preserve"> The potential criteria are under discussion and have not been agreed by Parties to the Protocol.</w:t>
      </w:r>
    </w:p>
    <w:p w14:paraId="7C67308A" w14:textId="4A864A01" w:rsidR="00632A14" w:rsidRPr="00E86291" w:rsidRDefault="00632A14" w:rsidP="007E23CD">
      <w:pPr>
        <w:pStyle w:val="ListParagraph"/>
        <w:suppressLineNumbers/>
        <w:suppressAutoHyphens/>
        <w:kinsoku w:val="0"/>
        <w:overflowPunct w:val="0"/>
        <w:autoSpaceDE w:val="0"/>
        <w:autoSpaceDN w:val="0"/>
        <w:adjustRightInd w:val="0"/>
        <w:snapToGrid w:val="0"/>
        <w:spacing w:before="120" w:after="120"/>
        <w:ind w:left="0" w:firstLine="720"/>
        <w:contextualSpacing w:val="0"/>
        <w:rPr>
          <w:kern w:val="22"/>
          <w:szCs w:val="22"/>
        </w:rPr>
      </w:pPr>
      <w:r w:rsidRPr="00E86291">
        <w:rPr>
          <w:bCs/>
          <w:kern w:val="22"/>
          <w:szCs w:val="22"/>
        </w:rPr>
        <w:t>1.</w:t>
      </w:r>
      <w:r w:rsidRPr="00E86291">
        <w:rPr>
          <w:bCs/>
          <w:kern w:val="22"/>
          <w:szCs w:val="22"/>
        </w:rPr>
        <w:tab/>
      </w:r>
      <w:proofErr w:type="spellStart"/>
      <w:r w:rsidRPr="00E86291">
        <w:rPr>
          <w:bCs/>
          <w:i/>
          <w:iCs/>
          <w:kern w:val="22"/>
          <w:szCs w:val="22"/>
        </w:rPr>
        <w:t>Intergovernmentally</w:t>
      </w:r>
      <w:proofErr w:type="spellEnd"/>
      <w:r w:rsidRPr="00E86291">
        <w:rPr>
          <w:bCs/>
          <w:i/>
          <w:iCs/>
          <w:kern w:val="22"/>
          <w:szCs w:val="22"/>
        </w:rPr>
        <w:t xml:space="preserve"> agreed</w:t>
      </w:r>
      <w:r w:rsidRPr="00E86291">
        <w:rPr>
          <w:bCs/>
          <w:kern w:val="22"/>
          <w:szCs w:val="22"/>
        </w:rPr>
        <w:t xml:space="preserve"> — </w:t>
      </w:r>
      <w:r w:rsidRPr="00E86291">
        <w:rPr>
          <w:kern w:val="22"/>
          <w:szCs w:val="22"/>
        </w:rPr>
        <w:t>The instrument would be developed and agreed through an intergovernmental process. The instrument may be binding or non-binding.</w:t>
      </w:r>
    </w:p>
    <w:p w14:paraId="1DBE1054" w14:textId="3D103D58" w:rsidR="00632A14" w:rsidRPr="00E86291" w:rsidRDefault="00632A14" w:rsidP="007E23CD">
      <w:pPr>
        <w:pStyle w:val="ListParagraph"/>
        <w:suppressLineNumbers/>
        <w:suppressAutoHyphens/>
        <w:kinsoku w:val="0"/>
        <w:overflowPunct w:val="0"/>
        <w:autoSpaceDE w:val="0"/>
        <w:autoSpaceDN w:val="0"/>
        <w:adjustRightInd w:val="0"/>
        <w:snapToGrid w:val="0"/>
        <w:spacing w:before="120" w:after="120"/>
        <w:ind w:left="0" w:firstLine="720"/>
        <w:contextualSpacing w:val="0"/>
        <w:rPr>
          <w:b/>
          <w:kern w:val="22"/>
          <w:szCs w:val="22"/>
        </w:rPr>
      </w:pPr>
      <w:r w:rsidRPr="00E86291">
        <w:rPr>
          <w:bCs/>
          <w:kern w:val="22"/>
          <w:szCs w:val="22"/>
        </w:rPr>
        <w:t>2.</w:t>
      </w:r>
      <w:r w:rsidRPr="00E86291">
        <w:rPr>
          <w:bCs/>
          <w:kern w:val="22"/>
          <w:szCs w:val="22"/>
        </w:rPr>
        <w:tab/>
      </w:r>
      <w:r w:rsidRPr="00E86291">
        <w:rPr>
          <w:bCs/>
          <w:i/>
          <w:iCs/>
          <w:kern w:val="22"/>
          <w:szCs w:val="22"/>
        </w:rPr>
        <w:t>Specialized</w:t>
      </w:r>
      <w:r w:rsidRPr="00E86291">
        <w:rPr>
          <w:bCs/>
          <w:kern w:val="22"/>
          <w:szCs w:val="22"/>
        </w:rPr>
        <w:t xml:space="preserve"> </w:t>
      </w:r>
      <w:r w:rsidRPr="00E86291">
        <w:rPr>
          <w:kern w:val="22"/>
          <w:szCs w:val="22"/>
        </w:rPr>
        <w:t>— The instrument would:</w:t>
      </w:r>
    </w:p>
    <w:p w14:paraId="1F852A2E" w14:textId="77777777" w:rsidR="00632A14" w:rsidRPr="00E86291" w:rsidRDefault="00632A14" w:rsidP="00477BBB">
      <w:pPr>
        <w:suppressLineNumbers/>
        <w:suppressAutoHyphens/>
        <w:kinsoku w:val="0"/>
        <w:overflowPunct w:val="0"/>
        <w:autoSpaceDE w:val="0"/>
        <w:autoSpaceDN w:val="0"/>
        <w:adjustRightInd w:val="0"/>
        <w:snapToGrid w:val="0"/>
        <w:spacing w:after="120"/>
        <w:ind w:firstLine="720"/>
        <w:rPr>
          <w:kern w:val="22"/>
          <w:szCs w:val="22"/>
        </w:rPr>
      </w:pPr>
      <w:r w:rsidRPr="00E86291">
        <w:rPr>
          <w:kern w:val="22"/>
          <w:szCs w:val="22"/>
        </w:rPr>
        <w:t>(a)</w:t>
      </w:r>
      <w:r w:rsidRPr="00E86291">
        <w:rPr>
          <w:kern w:val="22"/>
          <w:szCs w:val="22"/>
        </w:rPr>
        <w:tab/>
        <w:t>Apply to a specific set of genetic resources and/or traditional knowledge associated with genetic resources which would otherwise fall under the scope of the Nagoya Protocol;</w:t>
      </w:r>
    </w:p>
    <w:p w14:paraId="52AFDB03" w14:textId="77777777" w:rsidR="00632A14" w:rsidRPr="00E86291" w:rsidRDefault="00632A14" w:rsidP="007E23CD">
      <w:pPr>
        <w:suppressLineNumbers/>
        <w:suppressAutoHyphens/>
        <w:kinsoku w:val="0"/>
        <w:overflowPunct w:val="0"/>
        <w:autoSpaceDE w:val="0"/>
        <w:autoSpaceDN w:val="0"/>
        <w:adjustRightInd w:val="0"/>
        <w:snapToGrid w:val="0"/>
        <w:spacing w:after="120"/>
        <w:ind w:firstLine="720"/>
        <w:rPr>
          <w:kern w:val="22"/>
          <w:szCs w:val="22"/>
        </w:rPr>
      </w:pPr>
      <w:r w:rsidRPr="00E86291">
        <w:rPr>
          <w:kern w:val="22"/>
          <w:szCs w:val="22"/>
        </w:rPr>
        <w:t>(b)</w:t>
      </w:r>
      <w:r w:rsidRPr="00E86291">
        <w:rPr>
          <w:kern w:val="22"/>
          <w:szCs w:val="22"/>
        </w:rPr>
        <w:tab/>
        <w:t>Apply to specific uses of genetic resources and/or traditional knowledge associated with genetic resources which require a differentiated and hence specialized approach.</w:t>
      </w:r>
    </w:p>
    <w:p w14:paraId="3F71D3B0" w14:textId="42FC5E28" w:rsidR="00632A14" w:rsidRPr="00E86291" w:rsidRDefault="00632A14" w:rsidP="007E23CD">
      <w:pPr>
        <w:suppressLineNumbers/>
        <w:suppressAutoHyphens/>
        <w:kinsoku w:val="0"/>
        <w:overflowPunct w:val="0"/>
        <w:autoSpaceDE w:val="0"/>
        <w:autoSpaceDN w:val="0"/>
        <w:adjustRightInd w:val="0"/>
        <w:snapToGrid w:val="0"/>
        <w:spacing w:before="120" w:after="120"/>
        <w:ind w:firstLine="720"/>
        <w:rPr>
          <w:b/>
          <w:kern w:val="22"/>
          <w:szCs w:val="22"/>
        </w:rPr>
      </w:pPr>
      <w:r w:rsidRPr="00E86291">
        <w:rPr>
          <w:bCs/>
          <w:kern w:val="22"/>
          <w:szCs w:val="22"/>
        </w:rPr>
        <w:t>3.</w:t>
      </w:r>
      <w:r w:rsidRPr="00E86291">
        <w:rPr>
          <w:bCs/>
          <w:kern w:val="22"/>
          <w:szCs w:val="22"/>
        </w:rPr>
        <w:tab/>
      </w:r>
      <w:r w:rsidRPr="00E86291">
        <w:rPr>
          <w:bCs/>
          <w:i/>
          <w:iCs/>
          <w:kern w:val="22"/>
          <w:szCs w:val="22"/>
        </w:rPr>
        <w:t>Mutually supportive</w:t>
      </w:r>
      <w:r w:rsidRPr="00E86291">
        <w:rPr>
          <w:bCs/>
          <w:kern w:val="22"/>
          <w:szCs w:val="22"/>
        </w:rPr>
        <w:t xml:space="preserve"> — </w:t>
      </w:r>
      <w:r w:rsidRPr="00E86291">
        <w:rPr>
          <w:kern w:val="22"/>
          <w:szCs w:val="22"/>
        </w:rPr>
        <w:t>The instrument would be consistent with and supportive of, and not run counter to the objectives of the Convention on Biological Diversity and the Nagoya Protocol, including with respect to:</w:t>
      </w:r>
    </w:p>
    <w:p w14:paraId="0CD2D95D" w14:textId="77777777" w:rsidR="00632A14" w:rsidRPr="00E86291" w:rsidRDefault="00632A14" w:rsidP="00477BBB">
      <w:pPr>
        <w:suppressLineNumbers/>
        <w:suppressAutoHyphens/>
        <w:kinsoku w:val="0"/>
        <w:overflowPunct w:val="0"/>
        <w:autoSpaceDE w:val="0"/>
        <w:autoSpaceDN w:val="0"/>
        <w:adjustRightInd w:val="0"/>
        <w:snapToGrid w:val="0"/>
        <w:spacing w:after="120"/>
        <w:ind w:firstLine="720"/>
        <w:rPr>
          <w:kern w:val="22"/>
          <w:szCs w:val="22"/>
        </w:rPr>
      </w:pPr>
      <w:r w:rsidRPr="00E86291">
        <w:rPr>
          <w:kern w:val="22"/>
          <w:szCs w:val="22"/>
        </w:rPr>
        <w:t>(a)</w:t>
      </w:r>
      <w:r w:rsidRPr="00E86291">
        <w:rPr>
          <w:kern w:val="22"/>
          <w:szCs w:val="22"/>
        </w:rPr>
        <w:tab/>
        <w:t>Consistency with biodiversity conservation and sustainable use objectives;</w:t>
      </w:r>
    </w:p>
    <w:p w14:paraId="0FE970C5" w14:textId="77777777" w:rsidR="00632A14" w:rsidRPr="00E86291" w:rsidRDefault="00632A14" w:rsidP="007E23CD">
      <w:pPr>
        <w:suppressLineNumbers/>
        <w:suppressAutoHyphens/>
        <w:kinsoku w:val="0"/>
        <w:overflowPunct w:val="0"/>
        <w:autoSpaceDE w:val="0"/>
        <w:autoSpaceDN w:val="0"/>
        <w:adjustRightInd w:val="0"/>
        <w:snapToGrid w:val="0"/>
        <w:spacing w:after="120"/>
        <w:ind w:firstLine="720"/>
        <w:rPr>
          <w:kern w:val="22"/>
          <w:szCs w:val="22"/>
        </w:rPr>
      </w:pPr>
      <w:r w:rsidRPr="00E86291">
        <w:rPr>
          <w:kern w:val="22"/>
          <w:szCs w:val="22"/>
        </w:rPr>
        <w:t>(b)</w:t>
      </w:r>
      <w:r w:rsidRPr="00E86291">
        <w:rPr>
          <w:kern w:val="22"/>
          <w:szCs w:val="22"/>
        </w:rPr>
        <w:tab/>
        <w:t>Fairness and equity in the sharing of benefits;</w:t>
      </w:r>
    </w:p>
    <w:p w14:paraId="099800F3" w14:textId="77777777" w:rsidR="00632A14" w:rsidRPr="00E86291" w:rsidRDefault="00632A14" w:rsidP="007E23CD">
      <w:pPr>
        <w:suppressLineNumbers/>
        <w:suppressAutoHyphens/>
        <w:kinsoku w:val="0"/>
        <w:overflowPunct w:val="0"/>
        <w:autoSpaceDE w:val="0"/>
        <w:autoSpaceDN w:val="0"/>
        <w:adjustRightInd w:val="0"/>
        <w:snapToGrid w:val="0"/>
        <w:spacing w:after="120"/>
        <w:ind w:firstLine="720"/>
        <w:rPr>
          <w:kern w:val="22"/>
          <w:szCs w:val="22"/>
        </w:rPr>
      </w:pPr>
      <w:r w:rsidRPr="00E86291">
        <w:rPr>
          <w:kern w:val="22"/>
          <w:szCs w:val="22"/>
        </w:rPr>
        <w:t>(c)</w:t>
      </w:r>
      <w:r w:rsidRPr="00E86291">
        <w:rPr>
          <w:kern w:val="22"/>
          <w:szCs w:val="22"/>
        </w:rPr>
        <w:tab/>
        <w:t>Legal certainty with respect to access to genetic resources or traditional knowledge associated with genetic resources and to benefit-sharing;</w:t>
      </w:r>
    </w:p>
    <w:p w14:paraId="2769136A" w14:textId="77777777" w:rsidR="00632A14" w:rsidRPr="00E86291" w:rsidRDefault="00632A14" w:rsidP="007E23CD">
      <w:pPr>
        <w:suppressLineNumbers/>
        <w:suppressAutoHyphens/>
        <w:kinsoku w:val="0"/>
        <w:overflowPunct w:val="0"/>
        <w:autoSpaceDE w:val="0"/>
        <w:autoSpaceDN w:val="0"/>
        <w:adjustRightInd w:val="0"/>
        <w:snapToGrid w:val="0"/>
        <w:spacing w:after="120"/>
        <w:ind w:firstLine="720"/>
        <w:rPr>
          <w:kern w:val="22"/>
          <w:szCs w:val="22"/>
        </w:rPr>
      </w:pPr>
      <w:r w:rsidRPr="00E86291">
        <w:rPr>
          <w:kern w:val="22"/>
          <w:szCs w:val="22"/>
        </w:rPr>
        <w:t>(d)</w:t>
      </w:r>
      <w:r w:rsidRPr="00E86291">
        <w:rPr>
          <w:kern w:val="22"/>
          <w:szCs w:val="22"/>
        </w:rPr>
        <w:tab/>
        <w:t>Contribution to sustainable development, as reflected in internationally agreed goals;</w:t>
      </w:r>
    </w:p>
    <w:p w14:paraId="2EEF0772" w14:textId="77777777" w:rsidR="0005027F" w:rsidRDefault="00632A14" w:rsidP="007E23CD">
      <w:pPr>
        <w:suppressLineNumbers/>
        <w:suppressAutoHyphens/>
        <w:kinsoku w:val="0"/>
        <w:overflowPunct w:val="0"/>
        <w:autoSpaceDE w:val="0"/>
        <w:autoSpaceDN w:val="0"/>
        <w:adjustRightInd w:val="0"/>
        <w:snapToGrid w:val="0"/>
        <w:spacing w:after="120"/>
        <w:ind w:firstLine="720"/>
        <w:rPr>
          <w:szCs w:val="22"/>
        </w:rPr>
      </w:pPr>
      <w:r w:rsidRPr="00E86291">
        <w:rPr>
          <w:kern w:val="22"/>
          <w:szCs w:val="22"/>
        </w:rPr>
        <w:t>(e)</w:t>
      </w:r>
      <w:r w:rsidRPr="00E86291">
        <w:rPr>
          <w:kern w:val="22"/>
          <w:szCs w:val="22"/>
        </w:rPr>
        <w:tab/>
        <w:t>Other general principles of law, including good faith, effectiveness and legitimate expectations.</w:t>
      </w:r>
    </w:p>
    <w:p w14:paraId="7063E017" w14:textId="12188743" w:rsidR="00FA7CB3" w:rsidRPr="00E86291" w:rsidRDefault="00FA7CB3" w:rsidP="007E23CD">
      <w:pPr>
        <w:jc w:val="center"/>
        <w:rPr>
          <w:szCs w:val="22"/>
        </w:rPr>
      </w:pPr>
      <w:r w:rsidRPr="00541921">
        <w:rPr>
          <w:szCs w:val="22"/>
        </w:rPr>
        <w:t>__________</w:t>
      </w:r>
    </w:p>
    <w:sectPr w:rsidR="00FA7CB3" w:rsidRPr="00E86291" w:rsidSect="009C200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9ECF7" w14:textId="77777777" w:rsidR="00FA5276" w:rsidRDefault="00FA5276" w:rsidP="00CF1848">
      <w:r>
        <w:separator/>
      </w:r>
    </w:p>
  </w:endnote>
  <w:endnote w:type="continuationSeparator" w:id="0">
    <w:p w14:paraId="6BE58B42" w14:textId="77777777" w:rsidR="00FA5276" w:rsidRDefault="00FA5276"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D8A11" w14:textId="77777777" w:rsidR="00FA5276" w:rsidRDefault="00FA5276" w:rsidP="00CF1848">
      <w:r>
        <w:separator/>
      </w:r>
    </w:p>
  </w:footnote>
  <w:footnote w:type="continuationSeparator" w:id="0">
    <w:p w14:paraId="24FAE19D" w14:textId="77777777" w:rsidR="00FA5276" w:rsidRDefault="00FA5276" w:rsidP="00CF1848">
      <w:r>
        <w:continuationSeparator/>
      </w:r>
    </w:p>
  </w:footnote>
  <w:footnote w:id="1">
    <w:p w14:paraId="05695C64" w14:textId="77777777" w:rsidR="00A00BE5" w:rsidRPr="00541921" w:rsidRDefault="00A00BE5" w:rsidP="00632A14">
      <w:pPr>
        <w:pStyle w:val="FootnoteText"/>
        <w:kinsoku w:val="0"/>
        <w:overflowPunct w:val="0"/>
        <w:autoSpaceDE w:val="0"/>
        <w:autoSpaceDN w:val="0"/>
        <w:ind w:firstLine="0"/>
        <w:jc w:val="left"/>
        <w:rPr>
          <w:szCs w:val="18"/>
          <w:lang w:val="en-CA"/>
        </w:rPr>
      </w:pPr>
      <w:r w:rsidRPr="00E86291">
        <w:rPr>
          <w:rStyle w:val="FootnoteReference"/>
          <w:rFonts w:eastAsiaTheme="majorEastAsia"/>
          <w:sz w:val="18"/>
          <w:szCs w:val="18"/>
        </w:rPr>
        <w:footnoteRef/>
      </w:r>
      <w:r w:rsidRPr="00541921">
        <w:rPr>
          <w:szCs w:val="18"/>
        </w:rPr>
        <w:t xml:space="preserve"> “Study into criteria to identify a specialized international access and benefit-sharing instrument, and a possible process for its recognition” (CBD/SBI/2/INF/17).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2147F03" w14:textId="14BA7DFF" w:rsidR="00A00BE5" w:rsidRPr="002954DD" w:rsidRDefault="002954DD" w:rsidP="00E86291">
        <w:pPr>
          <w:pStyle w:val="Header"/>
          <w:tabs>
            <w:tab w:val="clear" w:pos="4320"/>
            <w:tab w:val="clear" w:pos="8640"/>
          </w:tabs>
          <w:jc w:val="left"/>
          <w:rPr>
            <w:noProof/>
            <w:kern w:val="22"/>
            <w:lang w:val="fr-FR"/>
          </w:rPr>
        </w:pPr>
        <w:r>
          <w:rPr>
            <w:noProof/>
            <w:kern w:val="22"/>
            <w:lang w:val="fr-FR"/>
          </w:rPr>
          <w:t>CBD/NP/MOP/DEC/3/14</w:t>
        </w:r>
      </w:p>
    </w:sdtContent>
  </w:sdt>
  <w:p w14:paraId="57597240" w14:textId="2BA661D0" w:rsidR="00A00BE5" w:rsidRPr="002954DD" w:rsidRDefault="00A00BE5" w:rsidP="00E86291">
    <w:pPr>
      <w:pStyle w:val="Header"/>
      <w:tabs>
        <w:tab w:val="clear" w:pos="4320"/>
        <w:tab w:val="clear" w:pos="8640"/>
      </w:tabs>
      <w:jc w:val="left"/>
      <w:rPr>
        <w:noProof/>
        <w:kern w:val="22"/>
        <w:lang w:val="fr-FR"/>
      </w:rPr>
    </w:pPr>
    <w:r w:rsidRPr="002954DD">
      <w:rPr>
        <w:noProof/>
        <w:kern w:val="22"/>
        <w:lang w:val="fr-FR"/>
      </w:rPr>
      <w:t xml:space="preserve">Page </w:t>
    </w:r>
    <w:r w:rsidRPr="007E23CD">
      <w:rPr>
        <w:noProof/>
        <w:kern w:val="22"/>
      </w:rPr>
      <w:fldChar w:fldCharType="begin"/>
    </w:r>
    <w:r w:rsidRPr="002954DD">
      <w:rPr>
        <w:noProof/>
        <w:kern w:val="22"/>
        <w:lang w:val="fr-FR"/>
      </w:rPr>
      <w:instrText xml:space="preserve"> PAGE   \* MERGEFORMAT </w:instrText>
    </w:r>
    <w:r w:rsidRPr="007E23CD">
      <w:rPr>
        <w:noProof/>
        <w:kern w:val="22"/>
      </w:rPr>
      <w:fldChar w:fldCharType="separate"/>
    </w:r>
    <w:r w:rsidR="00E86291" w:rsidRPr="002954DD">
      <w:rPr>
        <w:noProof/>
        <w:kern w:val="22"/>
        <w:lang w:val="fr-FR"/>
      </w:rPr>
      <w:t>2</w:t>
    </w:r>
    <w:r w:rsidRPr="007E23CD">
      <w:rPr>
        <w:noProof/>
        <w:kern w:val="22"/>
      </w:rPr>
      <w:fldChar w:fldCharType="end"/>
    </w:r>
  </w:p>
  <w:p w14:paraId="1D80EB20" w14:textId="77777777" w:rsidR="00A00BE5" w:rsidRPr="002954DD" w:rsidRDefault="00A00BE5" w:rsidP="00E86291">
    <w:pPr>
      <w:pStyle w:val="Header"/>
      <w:tabs>
        <w:tab w:val="clear" w:pos="4320"/>
        <w:tab w:val="clear" w:pos="8640"/>
      </w:tabs>
      <w:jc w:val="left"/>
      <w:rPr>
        <w:noProof/>
        <w:kern w:val="2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39C61189" w14:textId="46290CDE" w:rsidR="00A00BE5" w:rsidRPr="007E23CD" w:rsidRDefault="002954DD" w:rsidP="009505C9">
        <w:pPr>
          <w:pStyle w:val="Header"/>
          <w:jc w:val="right"/>
          <w:rPr>
            <w:lang w:val="fr-FR"/>
          </w:rPr>
        </w:pPr>
        <w:r>
          <w:rPr>
            <w:lang w:val="fr-FR"/>
          </w:rPr>
          <w:t>CBD/NP/MOP/DEC/3/14</w:t>
        </w:r>
      </w:p>
    </w:sdtContent>
  </w:sdt>
  <w:p w14:paraId="7E9B8683" w14:textId="12EB0436" w:rsidR="00A00BE5" w:rsidRPr="00000614" w:rsidRDefault="00A00BE5" w:rsidP="009505C9">
    <w:pPr>
      <w:pStyle w:val="Header"/>
      <w:jc w:val="righ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Pr>
        <w:noProof/>
        <w:lang w:val="fr-FR"/>
      </w:rPr>
      <w:t>3</w:t>
    </w:r>
    <w:r>
      <w:rPr>
        <w:noProof/>
      </w:rPr>
      <w:fldChar w:fldCharType="end"/>
    </w:r>
  </w:p>
  <w:p w14:paraId="2F845650" w14:textId="77777777" w:rsidR="00A00BE5" w:rsidRPr="00000614" w:rsidRDefault="00A00BE5">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15026"/>
    <w:rsid w:val="0005027F"/>
    <w:rsid w:val="000D43C2"/>
    <w:rsid w:val="000E673A"/>
    <w:rsid w:val="000F2F6A"/>
    <w:rsid w:val="000F74F5"/>
    <w:rsid w:val="00105372"/>
    <w:rsid w:val="00107981"/>
    <w:rsid w:val="00131E7A"/>
    <w:rsid w:val="00142F5D"/>
    <w:rsid w:val="00172AF6"/>
    <w:rsid w:val="00176CEE"/>
    <w:rsid w:val="002611CB"/>
    <w:rsid w:val="00271476"/>
    <w:rsid w:val="002901C4"/>
    <w:rsid w:val="002954DD"/>
    <w:rsid w:val="002D5F92"/>
    <w:rsid w:val="00327B3D"/>
    <w:rsid w:val="00372F74"/>
    <w:rsid w:val="00375F2F"/>
    <w:rsid w:val="003B21BB"/>
    <w:rsid w:val="003D6962"/>
    <w:rsid w:val="003F7224"/>
    <w:rsid w:val="00405146"/>
    <w:rsid w:val="00407C18"/>
    <w:rsid w:val="0042412C"/>
    <w:rsid w:val="00427D21"/>
    <w:rsid w:val="004433C2"/>
    <w:rsid w:val="004644C2"/>
    <w:rsid w:val="00464FF7"/>
    <w:rsid w:val="00467F9C"/>
    <w:rsid w:val="00477BBB"/>
    <w:rsid w:val="00484B6E"/>
    <w:rsid w:val="005201DE"/>
    <w:rsid w:val="00530E2B"/>
    <w:rsid w:val="005345E1"/>
    <w:rsid w:val="00534681"/>
    <w:rsid w:val="00541921"/>
    <w:rsid w:val="00553F58"/>
    <w:rsid w:val="005654DB"/>
    <w:rsid w:val="005B0E23"/>
    <w:rsid w:val="005F5E29"/>
    <w:rsid w:val="006122BA"/>
    <w:rsid w:val="0061445E"/>
    <w:rsid w:val="00632A14"/>
    <w:rsid w:val="006B2290"/>
    <w:rsid w:val="006D4CB3"/>
    <w:rsid w:val="006D52E4"/>
    <w:rsid w:val="006F1189"/>
    <w:rsid w:val="00717D88"/>
    <w:rsid w:val="007648AF"/>
    <w:rsid w:val="007942D3"/>
    <w:rsid w:val="007B6C09"/>
    <w:rsid w:val="007E09DA"/>
    <w:rsid w:val="007E23CD"/>
    <w:rsid w:val="00810015"/>
    <w:rsid w:val="008122BF"/>
    <w:rsid w:val="00813C15"/>
    <w:rsid w:val="008178B6"/>
    <w:rsid w:val="00852713"/>
    <w:rsid w:val="0085653F"/>
    <w:rsid w:val="00856C29"/>
    <w:rsid w:val="00865B74"/>
    <w:rsid w:val="008C6B31"/>
    <w:rsid w:val="0090105E"/>
    <w:rsid w:val="0091043C"/>
    <w:rsid w:val="00930BA1"/>
    <w:rsid w:val="0093169E"/>
    <w:rsid w:val="009505C9"/>
    <w:rsid w:val="0097115D"/>
    <w:rsid w:val="009C200D"/>
    <w:rsid w:val="00A00BE5"/>
    <w:rsid w:val="00A13576"/>
    <w:rsid w:val="00A41B97"/>
    <w:rsid w:val="00B03DE4"/>
    <w:rsid w:val="00B3369F"/>
    <w:rsid w:val="00BE502E"/>
    <w:rsid w:val="00C33685"/>
    <w:rsid w:val="00C35537"/>
    <w:rsid w:val="00C9161D"/>
    <w:rsid w:val="00CF1848"/>
    <w:rsid w:val="00D12044"/>
    <w:rsid w:val="00D76A18"/>
    <w:rsid w:val="00DD118C"/>
    <w:rsid w:val="00E229A8"/>
    <w:rsid w:val="00E61C41"/>
    <w:rsid w:val="00E66235"/>
    <w:rsid w:val="00E83C24"/>
    <w:rsid w:val="00E86291"/>
    <w:rsid w:val="00E9318D"/>
    <w:rsid w:val="00F27A1E"/>
    <w:rsid w:val="00F34F4F"/>
    <w:rsid w:val="00F94774"/>
    <w:rsid w:val="00FA5276"/>
    <w:rsid w:val="00FA7CB3"/>
    <w:rsid w:val="00FC53DB"/>
    <w:rsid w:val="00FF7526"/>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59608F0"/>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5654DB"/>
    <w:pPr>
      <w:spacing w:after="160" w:line="240" w:lineRule="exact"/>
      <w:jc w:val="left"/>
    </w:pPr>
    <w:rPr>
      <w:rFonts w:asciiTheme="minorHAnsi" w:eastAsiaTheme="minorEastAsia" w:hAnsiTheme="minorHAnsi" w:cstheme="minorBidi"/>
      <w:vertAlign w:val="superscript"/>
      <w:lang w:val="fr-CA"/>
    </w:rPr>
  </w:style>
  <w:style w:type="character" w:customStyle="1" w:styleId="StyleFootnoteReferencenumberFootnoteReferenceSuperscript-EF">
    <w:name w:val="Style Footnote ReferencenumberFootnote Reference Superscript-E F..."/>
    <w:rsid w:val="005654DB"/>
    <w:rPr>
      <w:kern w:val="22"/>
      <w:sz w:val="18"/>
      <w:u w:val="none"/>
      <w:vertAlign w:val="superscript"/>
    </w:rPr>
  </w:style>
  <w:style w:type="paragraph" w:customStyle="1" w:styleId="item-compilation">
    <w:name w:val="item-compilation"/>
    <w:basedOn w:val="Normal"/>
    <w:qFormat/>
    <w:rsid w:val="005654DB"/>
    <w:pPr>
      <w:jc w:val="center"/>
    </w:pPr>
    <w:rPr>
      <w:rFonts w:eastAsia="Malgun Gothic"/>
      <w:b/>
      <w:lang w:eastAsia="x-none"/>
    </w:rPr>
  </w:style>
  <w:style w:type="paragraph" w:styleId="CommentSubject">
    <w:name w:val="annotation subject"/>
    <w:basedOn w:val="CommentText"/>
    <w:next w:val="CommentText"/>
    <w:link w:val="CommentSubjectChar"/>
    <w:uiPriority w:val="99"/>
    <w:semiHidden/>
    <w:unhideWhenUsed/>
    <w:rsid w:val="002611CB"/>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2611CB"/>
    <w:rPr>
      <w:rFonts w:ascii="Times New Roman" w:eastAsia="Times New Roman" w:hAnsi="Times New Roman" w:cs="Times New Roman"/>
      <w:b/>
      <w:bCs/>
      <w:sz w:val="20"/>
      <w:szCs w:val="20"/>
      <w:lang w:val="en-GB"/>
    </w:rPr>
  </w:style>
  <w:style w:type="table" w:customStyle="1" w:styleId="TableGrid1">
    <w:name w:val="Table Grid1"/>
    <w:basedOn w:val="TableNormal"/>
    <w:next w:val="TableGrid"/>
    <w:uiPriority w:val="59"/>
    <w:rsid w:val="002D5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2DC15644B7F98D4C8758E5797E157481"/>
        <w:category>
          <w:name w:val="General"/>
          <w:gallery w:val="placeholder"/>
        </w:category>
        <w:types>
          <w:type w:val="bbPlcHdr"/>
        </w:types>
        <w:behaviors>
          <w:behavior w:val="content"/>
        </w:behaviors>
        <w:guid w:val="{39FF0650-E4A7-204C-982D-3F078967EBA4}"/>
      </w:docPartPr>
      <w:docPartBody>
        <w:p w:rsidR="00A82670" w:rsidRDefault="00B32C92" w:rsidP="00B32C92">
          <w:pPr>
            <w:pStyle w:val="2DC15644B7F98D4C8758E5797E157481"/>
          </w:pPr>
          <w:r w:rsidRPr="007E02EB">
            <w:rPr>
              <w:rStyle w:val="PlaceholderText"/>
            </w:rPr>
            <w:t>[Status]</w:t>
          </w:r>
        </w:p>
      </w:docPartBody>
    </w:docPart>
    <w:docPart>
      <w:docPartPr>
        <w:name w:val="63A7474FA73CC342BBD332D23580261D"/>
        <w:category>
          <w:name w:val="General"/>
          <w:gallery w:val="placeholder"/>
        </w:category>
        <w:types>
          <w:type w:val="bbPlcHdr"/>
        </w:types>
        <w:behaviors>
          <w:behavior w:val="content"/>
        </w:behaviors>
        <w:guid w:val="{DE807755-5FD0-F147-BADC-543311CA452D}"/>
      </w:docPartPr>
      <w:docPartBody>
        <w:p w:rsidR="00A82670" w:rsidRDefault="00B32C92" w:rsidP="00B32C92">
          <w:pPr>
            <w:pStyle w:val="63A7474FA73CC342BBD332D23580261D"/>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1D6DAB"/>
    <w:rsid w:val="00261E9A"/>
    <w:rsid w:val="00450D4E"/>
    <w:rsid w:val="00500A2B"/>
    <w:rsid w:val="005461E8"/>
    <w:rsid w:val="0058288D"/>
    <w:rsid w:val="006801B3"/>
    <w:rsid w:val="00720F63"/>
    <w:rsid w:val="007C521A"/>
    <w:rsid w:val="007E0EA4"/>
    <w:rsid w:val="007F1B76"/>
    <w:rsid w:val="00810A55"/>
    <w:rsid w:val="008C6619"/>
    <w:rsid w:val="008D420E"/>
    <w:rsid w:val="0098642F"/>
    <w:rsid w:val="00A82670"/>
    <w:rsid w:val="00B32C92"/>
    <w:rsid w:val="00B92240"/>
    <w:rsid w:val="00CE6602"/>
    <w:rsid w:val="00D21909"/>
    <w:rsid w:val="00F64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2C92"/>
    <w:rPr>
      <w:color w:val="808080"/>
    </w:rPr>
  </w:style>
  <w:style w:type="paragraph" w:customStyle="1" w:styleId="C444DEE40D7C456B82AF1A09CD132ABF">
    <w:name w:val="C444DEE40D7C456B82AF1A09CD132ABF"/>
    <w:rsid w:val="00CE6602"/>
    <w:pPr>
      <w:spacing w:after="160" w:line="259" w:lineRule="auto"/>
    </w:pPr>
  </w:style>
  <w:style w:type="paragraph" w:customStyle="1" w:styleId="CA9595D5FE5E224CAFF20229EE416AB3">
    <w:name w:val="CA9595D5FE5E224CAFF20229EE416AB3"/>
    <w:rsid w:val="00B92240"/>
    <w:pPr>
      <w:spacing w:after="0" w:line="240" w:lineRule="auto"/>
    </w:pPr>
    <w:rPr>
      <w:sz w:val="24"/>
      <w:szCs w:val="24"/>
      <w:lang w:val="en-CA"/>
    </w:rPr>
  </w:style>
  <w:style w:type="paragraph" w:customStyle="1" w:styleId="2E032891AF14B1479165D8F901946528">
    <w:name w:val="2E032891AF14B1479165D8F901946528"/>
    <w:rsid w:val="00B32C92"/>
    <w:pPr>
      <w:spacing w:after="0" w:line="240" w:lineRule="auto"/>
    </w:pPr>
    <w:rPr>
      <w:sz w:val="24"/>
      <w:szCs w:val="24"/>
      <w:lang w:val="en-CA"/>
    </w:rPr>
  </w:style>
  <w:style w:type="paragraph" w:customStyle="1" w:styleId="8A048DDAE2A2844086DFD02517D0057B">
    <w:name w:val="8A048DDAE2A2844086DFD02517D0057B"/>
    <w:rsid w:val="00B32C92"/>
    <w:pPr>
      <w:spacing w:after="0" w:line="240" w:lineRule="auto"/>
    </w:pPr>
    <w:rPr>
      <w:sz w:val="24"/>
      <w:szCs w:val="24"/>
      <w:lang w:val="en-CA"/>
    </w:rPr>
  </w:style>
  <w:style w:type="paragraph" w:customStyle="1" w:styleId="D3A6E767E35F0C41A0E7BE2518F65063">
    <w:name w:val="D3A6E767E35F0C41A0E7BE2518F65063"/>
    <w:rsid w:val="00B32C92"/>
    <w:pPr>
      <w:spacing w:after="0" w:line="240" w:lineRule="auto"/>
    </w:pPr>
    <w:rPr>
      <w:sz w:val="24"/>
      <w:szCs w:val="24"/>
      <w:lang w:val="en-CA"/>
    </w:rPr>
  </w:style>
  <w:style w:type="paragraph" w:customStyle="1" w:styleId="EEA95782999BEF45931B75C1E76394D6">
    <w:name w:val="EEA95782999BEF45931B75C1E76394D6"/>
    <w:rsid w:val="00B32C92"/>
    <w:pPr>
      <w:spacing w:after="0" w:line="240" w:lineRule="auto"/>
    </w:pPr>
    <w:rPr>
      <w:sz w:val="24"/>
      <w:szCs w:val="24"/>
      <w:lang w:val="en-CA"/>
    </w:rPr>
  </w:style>
  <w:style w:type="paragraph" w:customStyle="1" w:styleId="2DC15644B7F98D4C8758E5797E157481">
    <w:name w:val="2DC15644B7F98D4C8758E5797E157481"/>
    <w:rsid w:val="00B32C92"/>
    <w:pPr>
      <w:spacing w:after="0" w:line="240" w:lineRule="auto"/>
    </w:pPr>
    <w:rPr>
      <w:sz w:val="24"/>
      <w:szCs w:val="24"/>
      <w:lang w:val="en-CA"/>
    </w:rPr>
  </w:style>
  <w:style w:type="paragraph" w:customStyle="1" w:styleId="63A7474FA73CC342BBD332D23580261D">
    <w:name w:val="63A7474FA73CC342BBD332D23580261D"/>
    <w:rsid w:val="00B32C92"/>
    <w:pPr>
      <w:spacing w:after="0" w:line="240" w:lineRule="auto"/>
    </w:pPr>
    <w:rPr>
      <w:sz w:val="24"/>
      <w:szCs w:val="24"/>
      <w:lang w:val="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50CC04-92FF-46AC-99A6-3768A8D44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Specialized international access and benefit sharing instruments in the context of Article 4, paragraph 4, of the Nagoya Protocol</vt:lpstr>
    </vt:vector>
  </TitlesOfParts>
  <Company>SCBD</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Specialized international access and benefit sharing instruments in the context of Article 4, paragraph 4, of the Nagoya Protocol</dc:title>
  <dc:subject>CBD/NP/MOP/DEC/3/14</dc:subject>
  <dc:creator>COP 14/WG 1</dc:creator>
  <cp:keywords>Specialized international access and benefit sharing instruments in the context of Article 4, paragraph 4, of the Nagoya Protocol, Nagoya Protocol on Access to Genetic Resources and the Fair and Equitable Sharing of Benefits Arising from their Utilization, Convention on Biological Diversity</cp:keywords>
  <cp:lastModifiedBy>Veronique Lefebvre</cp:lastModifiedBy>
  <cp:revision>3</cp:revision>
  <cp:lastPrinted>2018-11-20T08:33:00Z</cp:lastPrinted>
  <dcterms:created xsi:type="dcterms:W3CDTF">2019-01-15T19:27:00Z</dcterms:created>
  <dcterms:modified xsi:type="dcterms:W3CDTF">2019-01-25T21:49:00Z</dcterms:modified>
  <cp:contentStatus>GENERAL</cp:contentStatus>
</cp:coreProperties>
</file>