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082A47" w:rsidRPr="00CB72D0" w14:paraId="4F22E77B" w14:textId="77777777" w:rsidTr="00A757FD">
        <w:trPr>
          <w:trHeight w:val="709"/>
        </w:trPr>
        <w:tc>
          <w:tcPr>
            <w:tcW w:w="976" w:type="dxa"/>
            <w:tcBorders>
              <w:bottom w:val="single" w:sz="12" w:space="0" w:color="auto"/>
            </w:tcBorders>
          </w:tcPr>
          <w:p w14:paraId="1A42274A" w14:textId="77777777" w:rsidR="00082A47" w:rsidRPr="006A1EA0" w:rsidRDefault="00082A47" w:rsidP="00A757FD">
            <w:pPr>
              <w:rPr>
                <w:kern w:val="22"/>
              </w:rPr>
            </w:pPr>
            <w:r w:rsidRPr="006A1EA0">
              <w:rPr>
                <w:noProof/>
                <w:kern w:val="22"/>
              </w:rPr>
              <w:drawing>
                <wp:inline distT="0" distB="0" distL="0" distR="0" wp14:anchorId="6C4FD0CF" wp14:editId="4D0A9121">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76E9F894" w14:textId="77777777" w:rsidR="00082A47" w:rsidRPr="006A1EA0" w:rsidRDefault="00082A47" w:rsidP="00A757FD">
            <w:pPr>
              <w:rPr>
                <w:kern w:val="22"/>
              </w:rPr>
            </w:pPr>
            <w:r w:rsidRPr="006A1EA0">
              <w:rPr>
                <w:noProof/>
                <w:kern w:val="22"/>
              </w:rPr>
              <w:drawing>
                <wp:inline distT="0" distB="0" distL="0" distR="0" wp14:anchorId="296E899D" wp14:editId="10A211B9">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08F23689" w14:textId="77777777" w:rsidR="00082A47" w:rsidRPr="006A1EA0" w:rsidRDefault="00082A47" w:rsidP="00A757FD">
            <w:pPr>
              <w:jc w:val="right"/>
              <w:rPr>
                <w:rFonts w:ascii="Arial" w:hAnsi="Arial" w:cs="Arial"/>
                <w:b/>
                <w:kern w:val="22"/>
                <w:sz w:val="32"/>
                <w:szCs w:val="32"/>
              </w:rPr>
            </w:pPr>
            <w:r w:rsidRPr="006A1EA0">
              <w:rPr>
                <w:rFonts w:ascii="Arial" w:hAnsi="Arial" w:cs="Arial"/>
                <w:b/>
                <w:kern w:val="22"/>
                <w:sz w:val="32"/>
                <w:szCs w:val="32"/>
              </w:rPr>
              <w:t>CBD</w:t>
            </w:r>
          </w:p>
        </w:tc>
      </w:tr>
      <w:tr w:rsidR="00082A47" w:rsidRPr="00CB72D0" w14:paraId="04A941D9" w14:textId="77777777" w:rsidTr="00A757FD">
        <w:tc>
          <w:tcPr>
            <w:tcW w:w="6117" w:type="dxa"/>
            <w:gridSpan w:val="2"/>
            <w:tcBorders>
              <w:top w:val="single" w:sz="12" w:space="0" w:color="auto"/>
              <w:bottom w:val="single" w:sz="36" w:space="0" w:color="auto"/>
            </w:tcBorders>
            <w:vAlign w:val="center"/>
          </w:tcPr>
          <w:p w14:paraId="09173EFE" w14:textId="77777777" w:rsidR="00082A47" w:rsidRPr="006A1EA0" w:rsidRDefault="00082A47" w:rsidP="00A757FD">
            <w:pPr>
              <w:rPr>
                <w:kern w:val="22"/>
              </w:rPr>
            </w:pPr>
            <w:r w:rsidRPr="006A1EA0">
              <w:rPr>
                <w:noProof/>
                <w:kern w:val="22"/>
              </w:rPr>
              <w:drawing>
                <wp:inline distT="0" distB="0" distL="0" distR="0" wp14:anchorId="348E96D6" wp14:editId="5D3D6529">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BD83990" w14:textId="77777777" w:rsidR="00082A47" w:rsidRPr="006A1EA0" w:rsidRDefault="00082A47" w:rsidP="006A1EA0">
            <w:pPr>
              <w:ind w:left="1215"/>
              <w:jc w:val="left"/>
              <w:rPr>
                <w:kern w:val="22"/>
                <w:szCs w:val="22"/>
              </w:rPr>
            </w:pPr>
            <w:r w:rsidRPr="006A1EA0">
              <w:rPr>
                <w:kern w:val="22"/>
                <w:szCs w:val="22"/>
              </w:rPr>
              <w:t>Distr.</w:t>
            </w:r>
          </w:p>
          <w:p w14:paraId="1125385C" w14:textId="7EE85200" w:rsidR="00082A47" w:rsidRPr="006A1EA0" w:rsidRDefault="006A1EA0" w:rsidP="006A1EA0">
            <w:pPr>
              <w:ind w:left="1215"/>
              <w:jc w:val="left"/>
              <w:rPr>
                <w:kern w:val="22"/>
                <w:szCs w:val="22"/>
              </w:rPr>
            </w:pPr>
            <w:sdt>
              <w:sdtPr>
                <w:rPr>
                  <w:kern w:val="22"/>
                  <w:szCs w:val="22"/>
                </w:rPr>
                <w:alias w:val="Status"/>
                <w:tag w:val=""/>
                <w:id w:val="307985777"/>
                <w:placeholder>
                  <w:docPart w:val="B4ADB14CCEFE45749346C5DBFD659901"/>
                </w:placeholder>
                <w:dataBinding w:prefixMappings="xmlns:ns0='http://purl.org/dc/elements/1.1/' xmlns:ns1='http://schemas.openxmlformats.org/package/2006/metadata/core-properties' " w:xpath="/ns1:coreProperties[1]/ns1:contentStatus[1]" w:storeItemID="{6C3C8BC8-F283-45AE-878A-BAB7291924A1}"/>
                <w:text/>
              </w:sdtPr>
              <w:sdtEndPr/>
              <w:sdtContent>
                <w:r w:rsidR="00CF6F04" w:rsidRPr="006A1EA0">
                  <w:rPr>
                    <w:kern w:val="22"/>
                    <w:szCs w:val="22"/>
                  </w:rPr>
                  <w:t>GENERAL</w:t>
                </w:r>
              </w:sdtContent>
            </w:sdt>
          </w:p>
          <w:p w14:paraId="5BEFDC3D" w14:textId="77777777" w:rsidR="00082A47" w:rsidRPr="006A1EA0" w:rsidRDefault="00082A47" w:rsidP="006A1EA0">
            <w:pPr>
              <w:ind w:left="1215"/>
              <w:jc w:val="left"/>
              <w:rPr>
                <w:kern w:val="22"/>
                <w:szCs w:val="22"/>
              </w:rPr>
            </w:pPr>
          </w:p>
          <w:p w14:paraId="1BE1008E" w14:textId="628419E3" w:rsidR="00082A47" w:rsidRPr="006A1EA0" w:rsidRDefault="006A1EA0" w:rsidP="006A1EA0">
            <w:pPr>
              <w:ind w:left="1215"/>
              <w:jc w:val="left"/>
              <w:rPr>
                <w:kern w:val="22"/>
                <w:szCs w:val="22"/>
              </w:rPr>
            </w:pPr>
            <w:sdt>
              <w:sdtPr>
                <w:rPr>
                  <w:kern w:val="22"/>
                </w:rPr>
                <w:alias w:val="Subject"/>
                <w:tag w:val=""/>
                <w:id w:val="2137136483"/>
                <w:placeholder>
                  <w:docPart w:val="0317CE0013004BE4B0EF51DBDE9EE6B4"/>
                </w:placeholder>
                <w:dataBinding w:prefixMappings="xmlns:ns0='http://purl.org/dc/elements/1.1/' xmlns:ns1='http://schemas.openxmlformats.org/package/2006/metadata/core-properties' " w:xpath="/ns1:coreProperties[1]/ns0:subject[1]" w:storeItemID="{6C3C8BC8-F283-45AE-878A-BAB7291924A1}"/>
                <w:text/>
              </w:sdtPr>
              <w:sdtEndPr/>
              <w:sdtContent>
                <w:r w:rsidR="00CF6F04" w:rsidRPr="006A1EA0">
                  <w:rPr>
                    <w:kern w:val="22"/>
                  </w:rPr>
                  <w:t>CBD/NP/MOP/DEC/3/9</w:t>
                </w:r>
              </w:sdtContent>
            </w:sdt>
          </w:p>
          <w:p w14:paraId="21DF0CBF" w14:textId="74A3A2F2" w:rsidR="00082A47" w:rsidRPr="006A1EA0" w:rsidRDefault="00CF6F04" w:rsidP="006A1EA0">
            <w:pPr>
              <w:ind w:left="1215"/>
              <w:jc w:val="left"/>
              <w:rPr>
                <w:kern w:val="22"/>
                <w:szCs w:val="22"/>
              </w:rPr>
            </w:pPr>
            <w:r w:rsidRPr="006A1EA0">
              <w:rPr>
                <w:kern w:val="22"/>
                <w:szCs w:val="22"/>
              </w:rPr>
              <w:t xml:space="preserve">30 </w:t>
            </w:r>
            <w:r w:rsidR="00082A47" w:rsidRPr="006A1EA0">
              <w:rPr>
                <w:kern w:val="22"/>
                <w:szCs w:val="22"/>
              </w:rPr>
              <w:t>November 2018</w:t>
            </w:r>
          </w:p>
          <w:p w14:paraId="04F8C7F8" w14:textId="77777777" w:rsidR="00082A47" w:rsidRPr="006A1EA0" w:rsidRDefault="00082A47" w:rsidP="006A1EA0">
            <w:pPr>
              <w:ind w:left="1215"/>
              <w:jc w:val="left"/>
              <w:rPr>
                <w:kern w:val="22"/>
                <w:szCs w:val="22"/>
              </w:rPr>
            </w:pPr>
          </w:p>
          <w:p w14:paraId="571C1AA2" w14:textId="77777777" w:rsidR="00082A47" w:rsidRPr="006A1EA0" w:rsidRDefault="00082A47" w:rsidP="006A1EA0">
            <w:pPr>
              <w:ind w:left="1215"/>
              <w:jc w:val="left"/>
              <w:rPr>
                <w:kern w:val="22"/>
                <w:szCs w:val="22"/>
              </w:rPr>
            </w:pPr>
            <w:r w:rsidRPr="006A1EA0">
              <w:rPr>
                <w:kern w:val="22"/>
                <w:szCs w:val="22"/>
              </w:rPr>
              <w:t>ORIGINAL: ENGLISH</w:t>
            </w:r>
          </w:p>
          <w:p w14:paraId="6C3692C3" w14:textId="77777777" w:rsidR="00082A47" w:rsidRPr="006A1EA0" w:rsidRDefault="00082A47" w:rsidP="006A1EA0">
            <w:pPr>
              <w:jc w:val="left"/>
              <w:rPr>
                <w:kern w:val="22"/>
              </w:rPr>
            </w:pPr>
          </w:p>
        </w:tc>
      </w:tr>
    </w:tbl>
    <w:p w14:paraId="4C52CC53" w14:textId="77777777" w:rsidR="005345E1" w:rsidRPr="00CB72D0" w:rsidRDefault="005345E1" w:rsidP="005345E1">
      <w:pPr>
        <w:suppressLineNumbers/>
        <w:tabs>
          <w:tab w:val="left" w:pos="5580"/>
        </w:tabs>
        <w:suppressAutoHyphens/>
        <w:kinsoku w:val="0"/>
        <w:overflowPunct w:val="0"/>
        <w:autoSpaceDE w:val="0"/>
        <w:autoSpaceDN w:val="0"/>
        <w:ind w:left="170" w:right="3938" w:hanging="170"/>
        <w:jc w:val="left"/>
        <w:rPr>
          <w:rFonts w:eastAsia="Batang"/>
          <w:snapToGrid w:val="0"/>
          <w:kern w:val="22"/>
        </w:rPr>
      </w:pPr>
      <w:r w:rsidRPr="00CB72D0">
        <w:rPr>
          <w:rFonts w:eastAsia="Batang"/>
          <w:snapToGrid w:val="0"/>
          <w:kern w:val="22"/>
        </w:rPr>
        <w:t>CONFERENCE OF THE PARTIES TO THE CONVENTION ON BIOLOGICAL DIVERSITY SERVING AS THE MEETING OF THE PARTIES TO THE NAGOYA PROTOCOL ON ACCESS TO GENETIC RESOURCES AND THE FAIR AND EQUITABLE SHARING OF BENEFITS ARISING FROM THEIR UTILIZATION</w:t>
      </w:r>
    </w:p>
    <w:p w14:paraId="1F755F06" w14:textId="77777777" w:rsidR="005345E1" w:rsidRPr="00CB72D0" w:rsidRDefault="005345E1" w:rsidP="005345E1">
      <w:pPr>
        <w:suppressLineNumbers/>
        <w:suppressAutoHyphens/>
        <w:kinsoku w:val="0"/>
        <w:overflowPunct w:val="0"/>
        <w:autoSpaceDE w:val="0"/>
        <w:autoSpaceDN w:val="0"/>
        <w:ind w:left="170" w:right="3119" w:hanging="170"/>
        <w:jc w:val="left"/>
        <w:rPr>
          <w:rFonts w:eastAsia="Batang"/>
          <w:snapToGrid w:val="0"/>
          <w:kern w:val="22"/>
        </w:rPr>
      </w:pPr>
      <w:r w:rsidRPr="00CB72D0">
        <w:rPr>
          <w:rFonts w:eastAsia="Batang"/>
          <w:snapToGrid w:val="0"/>
          <w:kern w:val="22"/>
        </w:rPr>
        <w:t>Third meeting</w:t>
      </w:r>
    </w:p>
    <w:p w14:paraId="07FB6C1B" w14:textId="77777777" w:rsidR="006F1189" w:rsidRPr="00CB72D0" w:rsidRDefault="006F1189" w:rsidP="006F1189">
      <w:pPr>
        <w:suppressLineNumbers/>
        <w:suppressAutoHyphens/>
        <w:kinsoku w:val="0"/>
        <w:overflowPunct w:val="0"/>
        <w:autoSpaceDE w:val="0"/>
        <w:autoSpaceDN w:val="0"/>
        <w:rPr>
          <w:snapToGrid w:val="0"/>
          <w:kern w:val="22"/>
          <w:szCs w:val="22"/>
          <w:lang w:eastAsia="nb-NO"/>
        </w:rPr>
      </w:pPr>
      <w:bookmarkStart w:id="0" w:name="_Hlk505863673"/>
      <w:r w:rsidRPr="00CB72D0">
        <w:rPr>
          <w:snapToGrid w:val="0"/>
          <w:kern w:val="22"/>
          <w:szCs w:val="22"/>
          <w:lang w:eastAsia="nb-NO"/>
        </w:rPr>
        <w:t>Sharm El-Sheikh, Egypt</w:t>
      </w:r>
      <w:bookmarkEnd w:id="0"/>
      <w:r w:rsidRPr="00CB72D0">
        <w:rPr>
          <w:snapToGrid w:val="0"/>
          <w:kern w:val="22"/>
          <w:szCs w:val="22"/>
          <w:lang w:eastAsia="nb-NO"/>
        </w:rPr>
        <w:t>, 17-29 November 2018</w:t>
      </w:r>
    </w:p>
    <w:p w14:paraId="0B9BBCE1" w14:textId="2A00E356" w:rsidR="00C9161D" w:rsidRPr="00CB72D0" w:rsidRDefault="00F63FE3" w:rsidP="00C9161D">
      <w:pPr>
        <w:rPr>
          <w:kern w:val="22"/>
        </w:rPr>
      </w:pPr>
      <w:r w:rsidRPr="00CB72D0">
        <w:rPr>
          <w:kern w:val="22"/>
        </w:rPr>
        <w:t>Agenda item 13</w:t>
      </w:r>
    </w:p>
    <w:p w14:paraId="444260FE" w14:textId="6BDDF314" w:rsidR="00CF6F04" w:rsidRPr="006A1EA0" w:rsidRDefault="00EB1DBA" w:rsidP="006A1EA0">
      <w:pPr>
        <w:pStyle w:val="Heading1"/>
        <w:tabs>
          <w:tab w:val="clear" w:pos="720"/>
        </w:tabs>
        <w:rPr>
          <w:rFonts w:ascii="Times New Roman Bold" w:hAnsi="Times New Roman Bold"/>
          <w:kern w:val="22"/>
          <w:szCs w:val="22"/>
        </w:rPr>
      </w:pPr>
      <w:bookmarkStart w:id="1" w:name="_Hlk532291362"/>
      <w:r w:rsidRPr="006A1EA0">
        <w:rPr>
          <w:rFonts w:ascii="Times New Roman Bold" w:hAnsi="Times New Roman Bold"/>
          <w:kern w:val="22"/>
        </w:rPr>
        <w:t>Decision adopted by the Parties to the Nagoya Protocol on Access and Benefit-sharing</w:t>
      </w:r>
    </w:p>
    <w:bookmarkEnd w:id="1"/>
    <w:p w14:paraId="70A9BE08" w14:textId="4F098BEA" w:rsidR="00C9161D" w:rsidRPr="006A1EA0" w:rsidRDefault="006A1EA0" w:rsidP="00B076A8">
      <w:pPr>
        <w:spacing w:before="240" w:after="120"/>
        <w:jc w:val="center"/>
        <w:rPr>
          <w:b/>
          <w:kern w:val="22"/>
        </w:rPr>
      </w:pPr>
      <w:sdt>
        <w:sdtPr>
          <w:rPr>
            <w:rStyle w:val="Heading2Char"/>
            <w:rFonts w:ascii="Times New Roman Bold" w:hAnsi="Times New Roman Bold"/>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CF6F04" w:rsidRPr="00CB72D0">
            <w:rPr>
              <w:rStyle w:val="Heading2Char"/>
              <w:rFonts w:ascii="Times New Roman Bold" w:hAnsi="Times New Roman Bold"/>
              <w:kern w:val="22"/>
            </w:rPr>
            <w:t>3/9.</w:t>
          </w:r>
          <w:r w:rsidR="00CF6F04" w:rsidRPr="00CB72D0">
            <w:rPr>
              <w:rStyle w:val="Heading2Char"/>
              <w:rFonts w:ascii="Times New Roman Bold" w:hAnsi="Times New Roman Bold"/>
              <w:kern w:val="22"/>
            </w:rPr>
            <w:tab/>
            <w:t>Enhancing integration under the Convention and its Protocols with respect to provisions related to access and benefit-sharing</w:t>
          </w:r>
        </w:sdtContent>
      </w:sdt>
    </w:p>
    <w:p w14:paraId="0EB4A662" w14:textId="15AF883C" w:rsidR="009415FC" w:rsidRPr="00CB72D0" w:rsidRDefault="009415FC" w:rsidP="009415FC">
      <w:pPr>
        <w:pStyle w:val="Para1"/>
        <w:numPr>
          <w:ilvl w:val="0"/>
          <w:numId w:val="0"/>
        </w:numPr>
        <w:ind w:firstLine="720"/>
        <w:rPr>
          <w:kern w:val="22"/>
          <w:szCs w:val="22"/>
        </w:rPr>
      </w:pPr>
      <w:r w:rsidRPr="00CB72D0">
        <w:rPr>
          <w:i/>
          <w:kern w:val="22"/>
          <w:szCs w:val="22"/>
        </w:rPr>
        <w:t>The Conference of the Parties serving as the meeting of the Parties to the Nagoya Protocol</w:t>
      </w:r>
      <w:r w:rsidR="00815396" w:rsidRPr="00CB72D0">
        <w:rPr>
          <w:i/>
          <w:kern w:val="22"/>
          <w:szCs w:val="22"/>
        </w:rPr>
        <w:t xml:space="preserve"> on Access and Benefit-sharing</w:t>
      </w:r>
      <w:r w:rsidRPr="00CB72D0">
        <w:rPr>
          <w:kern w:val="22"/>
          <w:szCs w:val="22"/>
        </w:rPr>
        <w:t>,</w:t>
      </w:r>
    </w:p>
    <w:p w14:paraId="435FB4AD" w14:textId="53BE002B" w:rsidR="009415FC" w:rsidRPr="00CB72D0" w:rsidRDefault="009415FC" w:rsidP="009415FC">
      <w:pPr>
        <w:pStyle w:val="Para1"/>
        <w:numPr>
          <w:ilvl w:val="0"/>
          <w:numId w:val="0"/>
        </w:numPr>
        <w:ind w:firstLine="720"/>
        <w:rPr>
          <w:kern w:val="22"/>
          <w:szCs w:val="22"/>
        </w:rPr>
      </w:pPr>
      <w:r w:rsidRPr="00CB72D0">
        <w:rPr>
          <w:i/>
          <w:kern w:val="22"/>
          <w:szCs w:val="22"/>
        </w:rPr>
        <w:t xml:space="preserve">Recalling </w:t>
      </w:r>
      <w:r w:rsidR="00F854B1" w:rsidRPr="00CB72D0">
        <w:rPr>
          <w:kern w:val="22"/>
          <w:szCs w:val="22"/>
        </w:rPr>
        <w:t>decision</w:t>
      </w:r>
      <w:r w:rsidR="00F854B1" w:rsidRPr="00CB72D0">
        <w:rPr>
          <w:i/>
          <w:kern w:val="22"/>
          <w:szCs w:val="22"/>
        </w:rPr>
        <w:t xml:space="preserve"> </w:t>
      </w:r>
      <w:hyperlink r:id="rId12" w:history="1">
        <w:r w:rsidRPr="00CB72D0">
          <w:rPr>
            <w:rStyle w:val="Hyperlink"/>
            <w:kern w:val="22"/>
            <w:sz w:val="22"/>
            <w:szCs w:val="22"/>
          </w:rPr>
          <w:t>XII/13</w:t>
        </w:r>
      </w:hyperlink>
      <w:r w:rsidR="00F854B1" w:rsidRPr="00CB72D0">
        <w:rPr>
          <w:kern w:val="22"/>
          <w:szCs w:val="22"/>
        </w:rPr>
        <w:t xml:space="preserve"> of the Conference of the Parties</w:t>
      </w:r>
      <w:r w:rsidRPr="00CB72D0">
        <w:rPr>
          <w:kern w:val="22"/>
          <w:szCs w:val="22"/>
        </w:rPr>
        <w:t xml:space="preserve"> regarding possible ways and means to promote integrated approaches to issues at the interface between the access and benefit-sharing-related provisions of the Convention and the provisions of the Nagoya Protocol</w:t>
      </w:r>
      <w:r w:rsidR="00F854B1" w:rsidRPr="00CB72D0">
        <w:rPr>
          <w:kern w:val="22"/>
          <w:szCs w:val="22"/>
        </w:rPr>
        <w:t xml:space="preserve"> on Access to Genetic Resources and the Fair and Equitable Sharing of Benefits Arising from Their Utilization,</w:t>
      </w:r>
    </w:p>
    <w:p w14:paraId="49A317BB" w14:textId="22B53482" w:rsidR="009415FC" w:rsidRPr="00CB72D0" w:rsidRDefault="009415FC" w:rsidP="009415FC">
      <w:pPr>
        <w:pStyle w:val="Para1"/>
        <w:numPr>
          <w:ilvl w:val="0"/>
          <w:numId w:val="0"/>
        </w:numPr>
        <w:ind w:firstLine="720"/>
        <w:rPr>
          <w:kern w:val="22"/>
          <w:szCs w:val="22"/>
        </w:rPr>
      </w:pPr>
      <w:r w:rsidRPr="00CB72D0">
        <w:rPr>
          <w:i/>
          <w:kern w:val="22"/>
          <w:szCs w:val="22"/>
        </w:rPr>
        <w:t>Takes note</w:t>
      </w:r>
      <w:r w:rsidRPr="00CB72D0">
        <w:rPr>
          <w:kern w:val="22"/>
          <w:szCs w:val="22"/>
        </w:rPr>
        <w:t xml:space="preserve"> of the proposed ways and means for enhanced integration</w:t>
      </w:r>
      <w:r w:rsidR="0072485E" w:rsidRPr="00CB72D0">
        <w:rPr>
          <w:kern w:val="22"/>
          <w:szCs w:val="22"/>
        </w:rPr>
        <w:t>,</w:t>
      </w:r>
      <w:r w:rsidR="003832F1" w:rsidRPr="00CB72D0">
        <w:rPr>
          <w:rStyle w:val="FootnoteReference"/>
          <w:kern w:val="22"/>
          <w:szCs w:val="22"/>
        </w:rPr>
        <w:footnoteReference w:id="1"/>
      </w:r>
      <w:r w:rsidRPr="00CB72D0">
        <w:rPr>
          <w:kern w:val="22"/>
          <w:szCs w:val="22"/>
        </w:rPr>
        <w:t xml:space="preserve"> and </w:t>
      </w:r>
      <w:r w:rsidRPr="00CB72D0">
        <w:rPr>
          <w:i/>
          <w:kern w:val="22"/>
          <w:szCs w:val="22"/>
        </w:rPr>
        <w:t>welcomes</w:t>
      </w:r>
      <w:r w:rsidRPr="00CB72D0">
        <w:rPr>
          <w:kern w:val="22"/>
          <w:szCs w:val="22"/>
        </w:rPr>
        <w:t xml:space="preserve"> decision 14</w:t>
      </w:r>
      <w:r w:rsidR="00CF6F04" w:rsidRPr="00CB72D0">
        <w:rPr>
          <w:kern w:val="22"/>
          <w:szCs w:val="22"/>
        </w:rPr>
        <w:t xml:space="preserve">/31 </w:t>
      </w:r>
      <w:r w:rsidRPr="00CB72D0">
        <w:rPr>
          <w:kern w:val="22"/>
          <w:szCs w:val="22"/>
        </w:rPr>
        <w:t>of the Conference of the Parties</w:t>
      </w:r>
      <w:r w:rsidR="00F854B1" w:rsidRPr="00CB72D0">
        <w:rPr>
          <w:kern w:val="22"/>
          <w:szCs w:val="22"/>
        </w:rPr>
        <w:t>.</w:t>
      </w:r>
      <w:bookmarkStart w:id="2" w:name="_GoBack"/>
      <w:bookmarkEnd w:id="2"/>
    </w:p>
    <w:p w14:paraId="02531827" w14:textId="134D78E0" w:rsidR="00C9161D" w:rsidRPr="00CB72D0" w:rsidRDefault="00C9161D" w:rsidP="00C9161D">
      <w:pPr>
        <w:jc w:val="center"/>
        <w:rPr>
          <w:kern w:val="22"/>
          <w:szCs w:val="22"/>
        </w:rPr>
      </w:pPr>
      <w:r w:rsidRPr="00CB72D0">
        <w:rPr>
          <w:kern w:val="22"/>
          <w:szCs w:val="22"/>
        </w:rPr>
        <w:t>______</w:t>
      </w:r>
      <w:r w:rsidR="00D239BA" w:rsidRPr="00CB72D0">
        <w:rPr>
          <w:kern w:val="22"/>
          <w:szCs w:val="22"/>
        </w:rPr>
        <w:t>____</w:t>
      </w:r>
    </w:p>
    <w:p w14:paraId="48D24824" w14:textId="77777777" w:rsidR="00B3369F" w:rsidRPr="00CB72D0" w:rsidRDefault="00B3369F" w:rsidP="00C9161D">
      <w:pPr>
        <w:rPr>
          <w:kern w:val="22"/>
          <w:szCs w:val="22"/>
        </w:rPr>
      </w:pPr>
    </w:p>
    <w:sectPr w:rsidR="00B3369F" w:rsidRPr="00CB72D0"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95863" w14:textId="77777777" w:rsidR="00EF2543" w:rsidRDefault="00EF2543" w:rsidP="00CF1848">
      <w:r>
        <w:separator/>
      </w:r>
    </w:p>
  </w:endnote>
  <w:endnote w:type="continuationSeparator" w:id="0">
    <w:p w14:paraId="0C33EFDB" w14:textId="77777777" w:rsidR="00EF2543" w:rsidRDefault="00EF254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D87CB" w14:textId="77777777" w:rsidR="00EF2543" w:rsidRDefault="00EF2543" w:rsidP="00CF1848">
      <w:r>
        <w:separator/>
      </w:r>
    </w:p>
  </w:footnote>
  <w:footnote w:type="continuationSeparator" w:id="0">
    <w:p w14:paraId="24C3DEB2" w14:textId="77777777" w:rsidR="00EF2543" w:rsidRDefault="00EF2543" w:rsidP="00CF1848">
      <w:r>
        <w:continuationSeparator/>
      </w:r>
    </w:p>
  </w:footnote>
  <w:footnote w:id="1">
    <w:p w14:paraId="2CA6CFFA" w14:textId="7BA92DB2" w:rsidR="00605D2E" w:rsidRPr="00B076A8" w:rsidRDefault="00605D2E" w:rsidP="005722F4">
      <w:pPr>
        <w:pStyle w:val="FootnoteText"/>
        <w:ind w:firstLine="0"/>
        <w:jc w:val="left"/>
        <w:rPr>
          <w:kern w:val="18"/>
          <w:szCs w:val="18"/>
        </w:rPr>
      </w:pPr>
      <w:r w:rsidRPr="00B076A8">
        <w:rPr>
          <w:rStyle w:val="FootnoteReference"/>
          <w:kern w:val="18"/>
          <w:sz w:val="18"/>
          <w:szCs w:val="18"/>
        </w:rPr>
        <w:footnoteRef/>
      </w:r>
      <w:r w:rsidRPr="00B076A8">
        <w:rPr>
          <w:kern w:val="18"/>
          <w:szCs w:val="18"/>
        </w:rPr>
        <w:t xml:space="preserve"> See </w:t>
      </w:r>
      <w:hyperlink r:id="rId1" w:history="1">
        <w:r w:rsidRPr="005722F4">
          <w:rPr>
            <w:rStyle w:val="Hyperlink"/>
            <w:kern w:val="18"/>
            <w:szCs w:val="18"/>
          </w:rPr>
          <w:t>CBD/</w:t>
        </w:r>
        <w:proofErr w:type="spellStart"/>
        <w:r w:rsidRPr="005722F4">
          <w:rPr>
            <w:rStyle w:val="Hyperlink"/>
            <w:kern w:val="18"/>
            <w:szCs w:val="18"/>
          </w:rPr>
          <w:t>SBI</w:t>
        </w:r>
        <w:proofErr w:type="spellEnd"/>
        <w:r w:rsidRPr="005722F4">
          <w:rPr>
            <w:rStyle w:val="Hyperlink"/>
            <w:kern w:val="18"/>
            <w:szCs w:val="18"/>
          </w:rPr>
          <w:t>/2/22</w:t>
        </w:r>
      </w:hyperlink>
      <w:r w:rsidRPr="00B076A8">
        <w:rPr>
          <w:kern w:val="18"/>
          <w:szCs w:val="18"/>
        </w:rPr>
        <w:t>, sect. I, recommendation 2/14, Part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1CAC194C" w:rsidR="00605D2E" w:rsidRPr="006A1EA0" w:rsidRDefault="00CF6F04" w:rsidP="00534681">
        <w:pPr>
          <w:pStyle w:val="Header"/>
          <w:rPr>
            <w:lang w:val="fr-FR"/>
          </w:rPr>
        </w:pPr>
        <w:r w:rsidRPr="006A1EA0">
          <w:rPr>
            <w:lang w:val="fr-FR"/>
          </w:rPr>
          <w:t>CBD/</w:t>
        </w:r>
        <w:proofErr w:type="spellStart"/>
        <w:r w:rsidRPr="006A1EA0">
          <w:rPr>
            <w:lang w:val="fr-FR"/>
          </w:rPr>
          <w:t>NP</w:t>
        </w:r>
        <w:proofErr w:type="spellEnd"/>
        <w:r w:rsidRPr="006A1EA0">
          <w:rPr>
            <w:lang w:val="fr-FR"/>
          </w:rPr>
          <w:t>/</w:t>
        </w:r>
        <w:proofErr w:type="spellStart"/>
        <w:r w:rsidRPr="006A1EA0">
          <w:rPr>
            <w:lang w:val="fr-FR"/>
          </w:rPr>
          <w:t>MOP</w:t>
        </w:r>
        <w:proofErr w:type="spellEnd"/>
        <w:r w:rsidRPr="006A1EA0">
          <w:rPr>
            <w:lang w:val="fr-FR"/>
          </w:rPr>
          <w:t>/DEC/3/9</w:t>
        </w:r>
      </w:p>
    </w:sdtContent>
  </w:sdt>
  <w:p w14:paraId="57597240" w14:textId="0D45520C" w:rsidR="00605D2E" w:rsidRPr="00000614" w:rsidRDefault="00605D2E"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Pr>
        <w:noProof/>
        <w:lang w:val="fr-FR"/>
      </w:rPr>
      <w:t>2</w:t>
    </w:r>
    <w:r>
      <w:rPr>
        <w:noProof/>
      </w:rPr>
      <w:fldChar w:fldCharType="end"/>
    </w:r>
  </w:p>
  <w:p w14:paraId="1D80EB20" w14:textId="77777777" w:rsidR="00605D2E" w:rsidRPr="00000614" w:rsidRDefault="00605D2E">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13E4756A" w:rsidR="00605D2E" w:rsidRPr="006A1EA0" w:rsidRDefault="00CF6F04" w:rsidP="009505C9">
        <w:pPr>
          <w:pStyle w:val="Header"/>
          <w:jc w:val="right"/>
          <w:rPr>
            <w:lang w:val="fr-FR"/>
          </w:rPr>
        </w:pPr>
        <w:r w:rsidRPr="006A1EA0">
          <w:rPr>
            <w:lang w:val="fr-FR"/>
          </w:rPr>
          <w:t>CBD/</w:t>
        </w:r>
        <w:proofErr w:type="spellStart"/>
        <w:r w:rsidRPr="006A1EA0">
          <w:rPr>
            <w:lang w:val="fr-FR"/>
          </w:rPr>
          <w:t>NP</w:t>
        </w:r>
        <w:proofErr w:type="spellEnd"/>
        <w:r w:rsidRPr="006A1EA0">
          <w:rPr>
            <w:lang w:val="fr-FR"/>
          </w:rPr>
          <w:t>/</w:t>
        </w:r>
        <w:proofErr w:type="spellStart"/>
        <w:r w:rsidRPr="006A1EA0">
          <w:rPr>
            <w:lang w:val="fr-FR"/>
          </w:rPr>
          <w:t>MOP</w:t>
        </w:r>
        <w:proofErr w:type="spellEnd"/>
        <w:r w:rsidRPr="006A1EA0">
          <w:rPr>
            <w:lang w:val="fr-FR"/>
          </w:rPr>
          <w:t>/DEC/3/9</w:t>
        </w:r>
      </w:p>
    </w:sdtContent>
  </w:sdt>
  <w:p w14:paraId="7E9B8683" w14:textId="77777777" w:rsidR="00605D2E" w:rsidRPr="00000614" w:rsidRDefault="00605D2E"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1</w:t>
    </w:r>
    <w:r>
      <w:rPr>
        <w:noProof/>
      </w:rPr>
      <w:fldChar w:fldCharType="end"/>
    </w:r>
  </w:p>
  <w:p w14:paraId="2F845650" w14:textId="77777777" w:rsidR="00605D2E" w:rsidRPr="00000614" w:rsidRDefault="00605D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1080"/>
        </w:tabs>
        <w:ind w:left="72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revisionView w:markup="0"/>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82A47"/>
    <w:rsid w:val="000E673A"/>
    <w:rsid w:val="000F68DB"/>
    <w:rsid w:val="000F6D29"/>
    <w:rsid w:val="000F74F5"/>
    <w:rsid w:val="00105372"/>
    <w:rsid w:val="00131E7A"/>
    <w:rsid w:val="00142D01"/>
    <w:rsid w:val="00172AF6"/>
    <w:rsid w:val="00176CEE"/>
    <w:rsid w:val="001D318A"/>
    <w:rsid w:val="00232D80"/>
    <w:rsid w:val="002A357E"/>
    <w:rsid w:val="0032163E"/>
    <w:rsid w:val="00330032"/>
    <w:rsid w:val="003374E6"/>
    <w:rsid w:val="00355E0F"/>
    <w:rsid w:val="00372F74"/>
    <w:rsid w:val="003832F1"/>
    <w:rsid w:val="003F59D2"/>
    <w:rsid w:val="003F7224"/>
    <w:rsid w:val="00405146"/>
    <w:rsid w:val="00413179"/>
    <w:rsid w:val="0042412C"/>
    <w:rsid w:val="00427D21"/>
    <w:rsid w:val="004644C2"/>
    <w:rsid w:val="00467F9C"/>
    <w:rsid w:val="004748DE"/>
    <w:rsid w:val="004A7BE1"/>
    <w:rsid w:val="00501156"/>
    <w:rsid w:val="005205B7"/>
    <w:rsid w:val="005345E1"/>
    <w:rsid w:val="00534681"/>
    <w:rsid w:val="005722F4"/>
    <w:rsid w:val="00605D2E"/>
    <w:rsid w:val="006122BA"/>
    <w:rsid w:val="0061445E"/>
    <w:rsid w:val="006A1EA0"/>
    <w:rsid w:val="006A478A"/>
    <w:rsid w:val="006B2290"/>
    <w:rsid w:val="006B6DFA"/>
    <w:rsid w:val="006F1189"/>
    <w:rsid w:val="00717D88"/>
    <w:rsid w:val="0072485E"/>
    <w:rsid w:val="007942D3"/>
    <w:rsid w:val="007B6C09"/>
    <w:rsid w:val="007E09DA"/>
    <w:rsid w:val="00807536"/>
    <w:rsid w:val="00814487"/>
    <w:rsid w:val="00815396"/>
    <w:rsid w:val="008178B6"/>
    <w:rsid w:val="00865B74"/>
    <w:rsid w:val="008C296F"/>
    <w:rsid w:val="008D3CCF"/>
    <w:rsid w:val="00930BA1"/>
    <w:rsid w:val="0093169E"/>
    <w:rsid w:val="009415FC"/>
    <w:rsid w:val="009457A0"/>
    <w:rsid w:val="009505C9"/>
    <w:rsid w:val="0096570E"/>
    <w:rsid w:val="009C200D"/>
    <w:rsid w:val="00A92E2F"/>
    <w:rsid w:val="00B076A8"/>
    <w:rsid w:val="00B21016"/>
    <w:rsid w:val="00B3369F"/>
    <w:rsid w:val="00C35537"/>
    <w:rsid w:val="00C70AEA"/>
    <w:rsid w:val="00C9161D"/>
    <w:rsid w:val="00CA6ED7"/>
    <w:rsid w:val="00CB72D0"/>
    <w:rsid w:val="00CF1848"/>
    <w:rsid w:val="00CF6F04"/>
    <w:rsid w:val="00D12044"/>
    <w:rsid w:val="00D239BA"/>
    <w:rsid w:val="00D2594F"/>
    <w:rsid w:val="00D703D8"/>
    <w:rsid w:val="00D76A18"/>
    <w:rsid w:val="00DD118C"/>
    <w:rsid w:val="00E15F3E"/>
    <w:rsid w:val="00E66235"/>
    <w:rsid w:val="00E83C24"/>
    <w:rsid w:val="00E9318D"/>
    <w:rsid w:val="00EB1DBA"/>
    <w:rsid w:val="00EE24D3"/>
    <w:rsid w:val="00EF2543"/>
    <w:rsid w:val="00F632BE"/>
    <w:rsid w:val="00F63FE3"/>
    <w:rsid w:val="00F854B1"/>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styleId="CommentSubject">
    <w:name w:val="annotation subject"/>
    <w:basedOn w:val="CommentText"/>
    <w:next w:val="CommentText"/>
    <w:link w:val="CommentSubjectChar"/>
    <w:uiPriority w:val="99"/>
    <w:semiHidden/>
    <w:unhideWhenUsed/>
    <w:rsid w:val="009457A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457A0"/>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D703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2/cop-12-dec-13-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05b3/3c25/2cc04a53ad3360ce1a1b940e/sbi-02-22-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B4ADB14CCEFE45749346C5DBFD659901"/>
        <w:category>
          <w:name w:val="General"/>
          <w:gallery w:val="placeholder"/>
        </w:category>
        <w:types>
          <w:type w:val="bbPlcHdr"/>
        </w:types>
        <w:behaviors>
          <w:behavior w:val="content"/>
        </w:behaviors>
        <w:guid w:val="{ED4D83F4-EED5-402E-84CD-A8BCFD0D824B}"/>
      </w:docPartPr>
      <w:docPartBody>
        <w:p w:rsidR="00AC1067" w:rsidRDefault="00FB1210" w:rsidP="00FB1210">
          <w:pPr>
            <w:pStyle w:val="B4ADB14CCEFE45749346C5DBFD659901"/>
          </w:pPr>
          <w:r w:rsidRPr="007E02EB">
            <w:rPr>
              <w:rStyle w:val="PlaceholderText"/>
            </w:rPr>
            <w:t>[Status]</w:t>
          </w:r>
        </w:p>
      </w:docPartBody>
    </w:docPart>
    <w:docPart>
      <w:docPartPr>
        <w:name w:val="0317CE0013004BE4B0EF51DBDE9EE6B4"/>
        <w:category>
          <w:name w:val="General"/>
          <w:gallery w:val="placeholder"/>
        </w:category>
        <w:types>
          <w:type w:val="bbPlcHdr"/>
        </w:types>
        <w:behaviors>
          <w:behavior w:val="content"/>
        </w:behaviors>
        <w:guid w:val="{1A219974-0597-456C-8E68-3E009D1B4848}"/>
      </w:docPartPr>
      <w:docPartBody>
        <w:p w:rsidR="00AC1067" w:rsidRDefault="00FB1210" w:rsidP="00FB1210">
          <w:pPr>
            <w:pStyle w:val="0317CE0013004BE4B0EF51DBDE9EE6B4"/>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A6589"/>
    <w:rsid w:val="00261E9A"/>
    <w:rsid w:val="00500A2B"/>
    <w:rsid w:val="005308E7"/>
    <w:rsid w:val="0058288D"/>
    <w:rsid w:val="006551DC"/>
    <w:rsid w:val="006801B3"/>
    <w:rsid w:val="00685CC0"/>
    <w:rsid w:val="00720F63"/>
    <w:rsid w:val="00792D62"/>
    <w:rsid w:val="007F1B76"/>
    <w:rsid w:val="00810A55"/>
    <w:rsid w:val="008C6619"/>
    <w:rsid w:val="008D420E"/>
    <w:rsid w:val="0098642F"/>
    <w:rsid w:val="00AC1067"/>
    <w:rsid w:val="00CE6602"/>
    <w:rsid w:val="00FB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210"/>
    <w:rPr>
      <w:color w:val="808080"/>
    </w:rPr>
  </w:style>
  <w:style w:type="paragraph" w:customStyle="1" w:styleId="C444DEE40D7C456B82AF1A09CD132ABF">
    <w:name w:val="C444DEE40D7C456B82AF1A09CD132ABF"/>
    <w:rsid w:val="00CE6602"/>
    <w:pPr>
      <w:spacing w:after="160" w:line="259" w:lineRule="auto"/>
    </w:pPr>
  </w:style>
  <w:style w:type="paragraph" w:customStyle="1" w:styleId="B4ADB14CCEFE45749346C5DBFD659901">
    <w:name w:val="B4ADB14CCEFE45749346C5DBFD659901"/>
    <w:rsid w:val="00FB1210"/>
    <w:pPr>
      <w:spacing w:after="160" w:line="259" w:lineRule="auto"/>
    </w:pPr>
    <w:rPr>
      <w:lang w:val="en-CA" w:eastAsia="en-CA"/>
    </w:rPr>
  </w:style>
  <w:style w:type="paragraph" w:customStyle="1" w:styleId="0317CE0013004BE4B0EF51DBDE9EE6B4">
    <w:name w:val="0317CE0013004BE4B0EF51DBDE9EE6B4"/>
    <w:rsid w:val="00FB1210"/>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8F370B-9D86-4114-9EE4-A667A14E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3/9.	Enhancing integration under the Convention and its Protocols with respect to provisions related to access and benefit-sharing</vt:lpstr>
    </vt:vector>
  </TitlesOfParts>
  <Company>SCBD</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	Enhancing integration under the Convention and its Protocols with respect to provisions related to access and benefit-sharing</dc:title>
  <dc:subject>CBD/NP/MOP/DEC/3/9</dc:subject>
  <dc:creator>NP MOP 3</dc:creator>
  <cp:keywords>Enhancing integration under the Convention and its Protocols with respect to provisions related to access and benefit-sharing, Nagoya Protocol on Access to Genetic Resources and the Fair and Equitable Sharing of Benefits Arising from Their Utilization, Convention on Biological Diversity</cp:keywords>
  <cp:lastModifiedBy>Orestes Plasencia</cp:lastModifiedBy>
  <cp:revision>2</cp:revision>
  <cp:lastPrinted>2018-11-28T18:48:00Z</cp:lastPrinted>
  <dcterms:created xsi:type="dcterms:W3CDTF">2019-01-22T20:23:00Z</dcterms:created>
  <dcterms:modified xsi:type="dcterms:W3CDTF">2019-01-22T20:23:00Z</dcterms:modified>
  <cp:contentStatus>GENERAL</cp:contentStatus>
</cp:coreProperties>
</file>