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318AA" w:rsidRPr="00B44F83" w:rsidTr="00A757FD">
        <w:trPr>
          <w:trHeight w:val="709"/>
        </w:trPr>
        <w:tc>
          <w:tcPr>
            <w:tcW w:w="976" w:type="dxa"/>
            <w:tcBorders>
              <w:bottom w:val="single" w:sz="12" w:space="0" w:color="auto"/>
            </w:tcBorders>
          </w:tcPr>
          <w:p w:rsidR="004318AA" w:rsidRPr="00D66970" w:rsidRDefault="004318AA" w:rsidP="00A757FD">
            <w:pPr>
              <w:rPr>
                <w:kern w:val="22"/>
              </w:rPr>
            </w:pPr>
            <w:r w:rsidRPr="00D66970">
              <w:rPr>
                <w:noProof/>
                <w:kern w:val="22"/>
                <w:lang w:val="fr-CA" w:eastAsia="fr-CA"/>
              </w:rPr>
              <w:drawing>
                <wp:inline distT="0" distB="0" distL="0" distR="0" wp14:anchorId="1EFF4A00" wp14:editId="42C698C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4318AA" w:rsidRPr="00D66970" w:rsidRDefault="004318AA" w:rsidP="00A757FD">
            <w:pPr>
              <w:rPr>
                <w:kern w:val="22"/>
              </w:rPr>
            </w:pPr>
            <w:r w:rsidRPr="00D66970">
              <w:rPr>
                <w:noProof/>
                <w:kern w:val="22"/>
                <w:lang w:val="fr-CA" w:eastAsia="fr-CA"/>
              </w:rPr>
              <w:drawing>
                <wp:inline distT="0" distB="0" distL="0" distR="0" wp14:anchorId="57DFB54D" wp14:editId="3C3B2E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4318AA" w:rsidRPr="00D66970" w:rsidRDefault="004318AA" w:rsidP="00A757FD">
            <w:pPr>
              <w:jc w:val="right"/>
              <w:rPr>
                <w:rFonts w:ascii="Arial" w:hAnsi="Arial" w:cs="Arial"/>
                <w:b/>
                <w:kern w:val="22"/>
                <w:sz w:val="32"/>
                <w:szCs w:val="32"/>
              </w:rPr>
            </w:pPr>
            <w:r w:rsidRPr="00D66970">
              <w:rPr>
                <w:rFonts w:ascii="Arial" w:hAnsi="Arial" w:cs="Arial"/>
                <w:b/>
                <w:kern w:val="22"/>
                <w:sz w:val="32"/>
                <w:szCs w:val="32"/>
              </w:rPr>
              <w:t>CBD</w:t>
            </w:r>
          </w:p>
        </w:tc>
      </w:tr>
      <w:tr w:rsidR="004318AA" w:rsidRPr="00B44F83" w:rsidTr="00A757FD">
        <w:tc>
          <w:tcPr>
            <w:tcW w:w="6117" w:type="dxa"/>
            <w:gridSpan w:val="2"/>
            <w:tcBorders>
              <w:top w:val="single" w:sz="12" w:space="0" w:color="auto"/>
              <w:bottom w:val="single" w:sz="36" w:space="0" w:color="auto"/>
            </w:tcBorders>
            <w:vAlign w:val="center"/>
          </w:tcPr>
          <w:p w:rsidR="004318AA" w:rsidRPr="00D66970" w:rsidRDefault="009472CD" w:rsidP="00A757FD">
            <w:pPr>
              <w:rPr>
                <w:kern w:val="22"/>
              </w:rPr>
            </w:pPr>
            <w:r w:rsidRPr="00012BE7">
              <w:rPr>
                <w:noProof/>
                <w:lang w:val="fr-CA" w:eastAsia="fr-CA"/>
              </w:rPr>
              <w:drawing>
                <wp:inline distT="0" distB="0" distL="0" distR="0" wp14:anchorId="23957A39" wp14:editId="387E9D4C">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4318AA" w:rsidRPr="00D66970" w:rsidRDefault="004318AA" w:rsidP="00A757FD">
            <w:pPr>
              <w:ind w:left="1215"/>
              <w:rPr>
                <w:kern w:val="22"/>
                <w:szCs w:val="22"/>
              </w:rPr>
            </w:pPr>
            <w:r w:rsidRPr="00D66970">
              <w:rPr>
                <w:kern w:val="22"/>
                <w:szCs w:val="22"/>
              </w:rPr>
              <w:t>Distr.</w:t>
            </w:r>
          </w:p>
          <w:p w:rsidR="004318AA" w:rsidRPr="00D66970" w:rsidRDefault="00426D82" w:rsidP="00A757FD">
            <w:pPr>
              <w:ind w:left="1215"/>
              <w:rPr>
                <w:kern w:val="22"/>
                <w:szCs w:val="22"/>
              </w:rPr>
            </w:pPr>
            <w:sdt>
              <w:sdtPr>
                <w:rPr>
                  <w:caps/>
                  <w:kern w:val="22"/>
                  <w:szCs w:val="22"/>
                </w:rPr>
                <w:alias w:val="Status"/>
                <w:tag w:val=""/>
                <w:id w:val="307985777"/>
                <w:placeholder>
                  <w:docPart w:val="F6DB7317FFF84D769053DBF6C0270782"/>
                </w:placeholder>
                <w:dataBinding w:prefixMappings="xmlns:ns0='http://purl.org/dc/elements/1.1/' xmlns:ns1='http://schemas.openxmlformats.org/package/2006/metadata/core-properties' " w:xpath="/ns1:coreProperties[1]/ns1:contentStatus[1]" w:storeItemID="{6C3C8BC8-F283-45AE-878A-BAB7291924A1}"/>
                <w:text/>
              </w:sdtPr>
              <w:sdtEndPr/>
              <w:sdtContent>
                <w:proofErr w:type="spellStart"/>
                <w:r w:rsidR="009472CD">
                  <w:rPr>
                    <w:caps/>
                    <w:kern w:val="22"/>
                    <w:szCs w:val="22"/>
                  </w:rPr>
                  <w:t>GÉNÉRALE</w:t>
                </w:r>
                <w:proofErr w:type="spellEnd"/>
              </w:sdtContent>
            </w:sdt>
          </w:p>
          <w:p w:rsidR="004318AA" w:rsidRPr="00D66970" w:rsidRDefault="004318AA" w:rsidP="00A757FD">
            <w:pPr>
              <w:ind w:left="1215"/>
              <w:rPr>
                <w:kern w:val="22"/>
                <w:szCs w:val="22"/>
              </w:rPr>
            </w:pPr>
          </w:p>
          <w:p w:rsidR="004318AA" w:rsidRPr="00D66970" w:rsidRDefault="00426D82" w:rsidP="00A757FD">
            <w:pPr>
              <w:ind w:left="1215"/>
              <w:rPr>
                <w:kern w:val="22"/>
                <w:szCs w:val="22"/>
              </w:rPr>
            </w:pPr>
            <w:sdt>
              <w:sdtPr>
                <w:rPr>
                  <w:kern w:val="22"/>
                </w:rPr>
                <w:alias w:val="Subject"/>
                <w:tag w:val=""/>
                <w:id w:val="2137136483"/>
                <w:placeholder>
                  <w:docPart w:val="32342F7C786B41278AA75C26508F2A53"/>
                </w:placeholder>
                <w:dataBinding w:prefixMappings="xmlns:ns0='http://purl.org/dc/elements/1.1/' xmlns:ns1='http://schemas.openxmlformats.org/package/2006/metadata/core-properties' " w:xpath="/ns1:coreProperties[1]/ns0:subject[1]" w:storeItemID="{6C3C8BC8-F283-45AE-878A-BAB7291924A1}"/>
                <w:text/>
              </w:sdtPr>
              <w:sdtEndPr/>
              <w:sdtContent>
                <w:r w:rsidR="0003192F">
                  <w:rPr>
                    <w:kern w:val="22"/>
                  </w:rPr>
                  <w:t>CBD/NP/</w:t>
                </w:r>
                <w:r w:rsidR="003159F6">
                  <w:rPr>
                    <w:kern w:val="22"/>
                  </w:rPr>
                  <w:t>MOP/DEC/3/7</w:t>
                </w:r>
              </w:sdtContent>
            </w:sdt>
          </w:p>
          <w:p w:rsidR="004318AA" w:rsidRPr="00D66970" w:rsidRDefault="00977A4E" w:rsidP="00A757FD">
            <w:pPr>
              <w:ind w:left="1215"/>
              <w:rPr>
                <w:kern w:val="22"/>
                <w:szCs w:val="22"/>
              </w:rPr>
            </w:pPr>
            <w:r w:rsidRPr="00D66970">
              <w:rPr>
                <w:kern w:val="22"/>
                <w:szCs w:val="22"/>
              </w:rPr>
              <w:t xml:space="preserve">30 </w:t>
            </w:r>
            <w:proofErr w:type="spellStart"/>
            <w:r w:rsidR="009472CD">
              <w:rPr>
                <w:kern w:val="22"/>
                <w:szCs w:val="22"/>
              </w:rPr>
              <w:t>novembre</w:t>
            </w:r>
            <w:proofErr w:type="spellEnd"/>
            <w:r w:rsidR="004318AA" w:rsidRPr="00D66970">
              <w:rPr>
                <w:kern w:val="22"/>
                <w:szCs w:val="22"/>
              </w:rPr>
              <w:t xml:space="preserve"> 2018</w:t>
            </w:r>
          </w:p>
          <w:p w:rsidR="004318AA" w:rsidRPr="00D66970" w:rsidRDefault="004318AA" w:rsidP="00A757FD">
            <w:pPr>
              <w:ind w:left="1215"/>
              <w:rPr>
                <w:kern w:val="22"/>
                <w:szCs w:val="22"/>
              </w:rPr>
            </w:pPr>
          </w:p>
          <w:p w:rsidR="009472CD" w:rsidRDefault="009472CD" w:rsidP="00A757FD">
            <w:pPr>
              <w:ind w:left="1215"/>
              <w:rPr>
                <w:kern w:val="22"/>
                <w:szCs w:val="22"/>
              </w:rPr>
            </w:pPr>
            <w:proofErr w:type="spellStart"/>
            <w:r>
              <w:rPr>
                <w:kern w:val="22"/>
                <w:szCs w:val="22"/>
              </w:rPr>
              <w:t>FRANÇAIS</w:t>
            </w:r>
            <w:proofErr w:type="spellEnd"/>
          </w:p>
          <w:p w:rsidR="004318AA" w:rsidRPr="00D66970" w:rsidRDefault="004318AA" w:rsidP="00A757FD">
            <w:pPr>
              <w:ind w:left="1215"/>
              <w:rPr>
                <w:kern w:val="22"/>
                <w:szCs w:val="22"/>
              </w:rPr>
            </w:pPr>
            <w:r w:rsidRPr="00D66970">
              <w:rPr>
                <w:kern w:val="22"/>
                <w:szCs w:val="22"/>
              </w:rPr>
              <w:t>ORIGINAL</w:t>
            </w:r>
            <w:r w:rsidR="009472CD">
              <w:rPr>
                <w:kern w:val="22"/>
                <w:szCs w:val="22"/>
              </w:rPr>
              <w:t xml:space="preserve"> </w:t>
            </w:r>
            <w:r w:rsidRPr="00D66970">
              <w:rPr>
                <w:kern w:val="22"/>
                <w:szCs w:val="22"/>
              </w:rPr>
              <w:t xml:space="preserve">: </w:t>
            </w:r>
            <w:proofErr w:type="spellStart"/>
            <w:r w:rsidR="009472CD">
              <w:rPr>
                <w:kern w:val="22"/>
                <w:szCs w:val="22"/>
              </w:rPr>
              <w:t>ANGLAIS</w:t>
            </w:r>
            <w:proofErr w:type="spellEnd"/>
          </w:p>
          <w:p w:rsidR="004318AA" w:rsidRPr="00D66970" w:rsidRDefault="004318AA" w:rsidP="00A757FD">
            <w:pPr>
              <w:rPr>
                <w:kern w:val="22"/>
              </w:rPr>
            </w:pPr>
          </w:p>
        </w:tc>
      </w:tr>
    </w:tbl>
    <w:p w:rsidR="009472CD" w:rsidRPr="00012BE7" w:rsidRDefault="009472CD" w:rsidP="009472CD">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fr-CA"/>
        </w:rPr>
      </w:pPr>
      <w:r w:rsidRPr="00012BE7">
        <w:rPr>
          <w:snapToGrid w:val="0"/>
          <w:kern w:val="22"/>
          <w:lang w:val="fr-CA"/>
        </w:rPr>
        <w:t>CONFÉRENCE DES PARTIES À LA CONVENTION SUR LA DIVERSITÉ BIOLOGIQUE SIÉGEANT EN TANT QUE RÉUNION DES PARTIES AU PROTOCOLE DE NAGOYA SUR L’ACCÈS AUX RESSOURCES GÉNÉTIQUES ET LE PARTAGE JUSTE ET ÉQUITABLE DES AVANTAGES DÉCOULANT DE LEUR UTILISATION</w:t>
      </w:r>
    </w:p>
    <w:p w:rsidR="009472CD" w:rsidRPr="00012BE7" w:rsidRDefault="009472CD" w:rsidP="009472CD">
      <w:pPr>
        <w:suppressLineNumbers/>
        <w:suppressAutoHyphens/>
        <w:kinsoku w:val="0"/>
        <w:overflowPunct w:val="0"/>
        <w:autoSpaceDE w:val="0"/>
        <w:autoSpaceDN w:val="0"/>
        <w:ind w:left="170" w:right="3119" w:hanging="170"/>
        <w:jc w:val="left"/>
        <w:rPr>
          <w:rFonts w:eastAsia="Batang"/>
          <w:snapToGrid w:val="0"/>
          <w:kern w:val="22"/>
          <w:szCs w:val="22"/>
          <w:lang w:val="fr-CA"/>
        </w:rPr>
      </w:pPr>
      <w:r w:rsidRPr="00012BE7">
        <w:rPr>
          <w:snapToGrid w:val="0"/>
          <w:color w:val="000000"/>
          <w:kern w:val="22"/>
          <w:lang w:val="fr-CA"/>
        </w:rPr>
        <w:t>Troisième réunion</w:t>
      </w:r>
    </w:p>
    <w:p w:rsidR="009472CD" w:rsidRPr="00012BE7" w:rsidRDefault="009472CD" w:rsidP="009472CD">
      <w:pPr>
        <w:suppressLineNumbers/>
        <w:suppressAutoHyphens/>
        <w:kinsoku w:val="0"/>
        <w:overflowPunct w:val="0"/>
        <w:autoSpaceDE w:val="0"/>
        <w:autoSpaceDN w:val="0"/>
        <w:rPr>
          <w:snapToGrid w:val="0"/>
          <w:kern w:val="22"/>
          <w:szCs w:val="22"/>
          <w:lang w:val="fr-CA" w:eastAsia="nb-NO"/>
        </w:rPr>
      </w:pPr>
      <w:bookmarkStart w:id="0" w:name="_Hlk505863673"/>
      <w:r w:rsidRPr="00012BE7">
        <w:rPr>
          <w:noProof/>
          <w:snapToGrid w:val="0"/>
          <w:kern w:val="22"/>
          <w:szCs w:val="22"/>
          <w:lang w:val="fr-CA" w:eastAsia="nb-NO"/>
        </w:rPr>
        <w:t>Charm el</w:t>
      </w:r>
      <w:r w:rsidRPr="00012BE7">
        <w:rPr>
          <w:noProof/>
          <w:snapToGrid w:val="0"/>
          <w:kern w:val="22"/>
          <w:szCs w:val="22"/>
          <w:lang w:val="fr-CA" w:eastAsia="nb-NO"/>
        </w:rPr>
        <w:noBreakHyphen/>
        <w:t>Cheikh (Égypt</w:t>
      </w:r>
      <w:bookmarkEnd w:id="0"/>
      <w:r w:rsidRPr="00012BE7">
        <w:rPr>
          <w:noProof/>
          <w:snapToGrid w:val="0"/>
          <w:kern w:val="22"/>
          <w:szCs w:val="22"/>
          <w:lang w:val="fr-CA" w:eastAsia="nb-NO"/>
        </w:rPr>
        <w:t>e</w:t>
      </w:r>
      <w:r w:rsidRPr="00012BE7">
        <w:rPr>
          <w:snapToGrid w:val="0"/>
          <w:kern w:val="22"/>
          <w:szCs w:val="22"/>
          <w:lang w:val="fr-CA" w:eastAsia="nb-NO"/>
        </w:rPr>
        <w:t>), 17</w:t>
      </w:r>
      <w:r w:rsidRPr="00012BE7">
        <w:rPr>
          <w:snapToGrid w:val="0"/>
          <w:kern w:val="22"/>
          <w:szCs w:val="22"/>
          <w:lang w:val="fr-CA" w:eastAsia="nb-NO"/>
        </w:rPr>
        <w:noBreakHyphen/>
        <w:t>29 novembre 2018</w:t>
      </w:r>
    </w:p>
    <w:p w:rsidR="00C9161D" w:rsidRPr="009472CD" w:rsidRDefault="009472CD" w:rsidP="009472CD">
      <w:pPr>
        <w:rPr>
          <w:kern w:val="22"/>
          <w:lang w:val="fr-CA"/>
        </w:rPr>
      </w:pPr>
      <w:r>
        <w:rPr>
          <w:snapToGrid w:val="0"/>
          <w:kern w:val="22"/>
          <w:szCs w:val="22"/>
          <w:lang w:val="fr-CA"/>
        </w:rPr>
        <w:t>Point 1</w:t>
      </w:r>
      <w:r w:rsidR="003633D4">
        <w:rPr>
          <w:snapToGrid w:val="0"/>
          <w:kern w:val="22"/>
          <w:szCs w:val="22"/>
          <w:lang w:val="fr-CA"/>
        </w:rPr>
        <w:t>4</w:t>
      </w:r>
      <w:r w:rsidRPr="00012BE7">
        <w:rPr>
          <w:snapToGrid w:val="0"/>
          <w:kern w:val="22"/>
          <w:szCs w:val="22"/>
          <w:lang w:val="fr-CA"/>
        </w:rPr>
        <w:t xml:space="preserve"> de l’ordre du jou</w:t>
      </w:r>
      <w:r>
        <w:rPr>
          <w:snapToGrid w:val="0"/>
          <w:kern w:val="22"/>
          <w:szCs w:val="22"/>
          <w:lang w:val="fr-CA"/>
        </w:rPr>
        <w:t>r</w:t>
      </w:r>
    </w:p>
    <w:p w:rsidR="00977A4E" w:rsidRPr="009472CD" w:rsidRDefault="009472CD" w:rsidP="00D66970">
      <w:pPr>
        <w:pStyle w:val="Titre1"/>
        <w:tabs>
          <w:tab w:val="clear" w:pos="720"/>
        </w:tabs>
        <w:rPr>
          <w:rFonts w:ascii="Times New Roman Bold" w:hAnsi="Times New Roman Bold"/>
          <w:kern w:val="22"/>
          <w:szCs w:val="22"/>
          <w:lang w:val="fr-CA"/>
        </w:rPr>
      </w:pPr>
      <w:r w:rsidRPr="009472CD">
        <w:rPr>
          <w:rFonts w:ascii="Times New Roman Bold" w:hAnsi="Times New Roman Bold"/>
          <w:kern w:val="22"/>
          <w:lang w:val="fr-CA"/>
        </w:rPr>
        <w:t>DÉCISION ADOPTÉE PAR LES PARTIES AU PROTOCOLE DE NAGOYA SUR L’ACC</w:t>
      </w:r>
      <w:r>
        <w:rPr>
          <w:rFonts w:ascii="Times New Roman Bold" w:hAnsi="Times New Roman Bold"/>
          <w:kern w:val="22"/>
          <w:lang w:val="fr-CA"/>
        </w:rPr>
        <w:t>ÈS ET LE PARTAGE DES AVANTAGES</w:t>
      </w:r>
    </w:p>
    <w:p w:rsidR="00C9161D" w:rsidRPr="009472CD" w:rsidRDefault="00426D82" w:rsidP="00D66970">
      <w:pPr>
        <w:pStyle w:val="recommendationheader"/>
        <w:rPr>
          <w:b w:val="0"/>
          <w:caps/>
          <w:kern w:val="22"/>
          <w:lang w:val="fr-CA"/>
        </w:rPr>
      </w:pPr>
      <w:sdt>
        <w:sdtPr>
          <w:rPr>
            <w:caps/>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9472CD" w:rsidRPr="009472CD">
            <w:rPr>
              <w:caps/>
              <w:lang w:val="fr-CA"/>
            </w:rPr>
            <w:t>3/7.</w:t>
          </w:r>
          <w:r w:rsidR="009472CD" w:rsidRPr="009472CD">
            <w:rPr>
              <w:caps/>
              <w:lang w:val="fr-CA"/>
            </w:rPr>
            <w:tab/>
          </w:r>
          <w:r w:rsidR="009472CD">
            <w:rPr>
              <w:lang w:val="fr-CA"/>
            </w:rPr>
            <w:t>C</w:t>
          </w:r>
          <w:r w:rsidR="009472CD" w:rsidRPr="009472CD">
            <w:rPr>
              <w:lang w:val="fr-CA"/>
            </w:rPr>
            <w:t>oopération avec d’autres conventions, organisations et initiatives internationales</w:t>
          </w:r>
        </w:sdtContent>
      </w:sdt>
    </w:p>
    <w:p w:rsidR="009472CD" w:rsidRPr="00F344B9" w:rsidRDefault="009472CD" w:rsidP="009472CD">
      <w:pPr>
        <w:pStyle w:val="Para1"/>
        <w:numPr>
          <w:ilvl w:val="0"/>
          <w:numId w:val="0"/>
        </w:numPr>
        <w:ind w:firstLine="720"/>
        <w:rPr>
          <w:lang w:val="fr-CA"/>
        </w:rPr>
      </w:pPr>
      <w:bookmarkStart w:id="1" w:name="_Hlk530975177"/>
      <w:r w:rsidRPr="00F344B9">
        <w:rPr>
          <w:i/>
          <w:lang w:val="fr-CA"/>
        </w:rPr>
        <w:t>La Conférence des Parties siégeant en tant que réunion des Parties au Protocole de Nagoya</w:t>
      </w:r>
      <w:r w:rsidR="00206997">
        <w:rPr>
          <w:i/>
          <w:lang w:val="fr-CA"/>
        </w:rPr>
        <w:t xml:space="preserve"> sur l’accès et la partage des avantages</w:t>
      </w:r>
      <w:r w:rsidRPr="00F344B9">
        <w:rPr>
          <w:i/>
          <w:lang w:val="fr-CA"/>
        </w:rPr>
        <w:t xml:space="preserve">, </w:t>
      </w:r>
    </w:p>
    <w:p w:rsidR="009472CD" w:rsidRPr="00F344B9" w:rsidRDefault="009472CD" w:rsidP="009472CD">
      <w:pPr>
        <w:pStyle w:val="Para1"/>
        <w:numPr>
          <w:ilvl w:val="0"/>
          <w:numId w:val="0"/>
        </w:numPr>
        <w:ind w:firstLine="720"/>
        <w:rPr>
          <w:lang w:val="fr-CA"/>
        </w:rPr>
      </w:pPr>
      <w:r w:rsidRPr="00F344B9">
        <w:rPr>
          <w:i/>
          <w:lang w:val="fr-CA"/>
        </w:rPr>
        <w:t>Reconnaissant</w:t>
      </w:r>
      <w:r w:rsidRPr="00F344B9">
        <w:rPr>
          <w:lang w:val="fr-CA"/>
        </w:rPr>
        <w:t xml:space="preserve"> l</w:t>
      </w:r>
      <w:r>
        <w:rPr>
          <w:lang w:val="fr-CA"/>
        </w:rPr>
        <w:t>’</w:t>
      </w:r>
      <w:r w:rsidRPr="00F344B9">
        <w:rPr>
          <w:lang w:val="fr-CA"/>
        </w:rPr>
        <w:t>importance de la coopération avec d</w:t>
      </w:r>
      <w:r>
        <w:rPr>
          <w:lang w:val="fr-CA"/>
        </w:rPr>
        <w:t>’</w:t>
      </w:r>
      <w:r w:rsidRPr="00F344B9">
        <w:rPr>
          <w:lang w:val="fr-CA"/>
        </w:rPr>
        <w:t>autres organisations, conventions et initiatives internationales sur des questions relatives à l</w:t>
      </w:r>
      <w:r>
        <w:rPr>
          <w:lang w:val="fr-CA"/>
        </w:rPr>
        <w:t>’</w:t>
      </w:r>
      <w:r w:rsidRPr="00F344B9">
        <w:rPr>
          <w:lang w:val="fr-CA"/>
        </w:rPr>
        <w:t xml:space="preserve">accès et au partage des avantages, et </w:t>
      </w:r>
      <w:r w:rsidRPr="00F344B9">
        <w:rPr>
          <w:i/>
          <w:lang w:val="fr-CA"/>
        </w:rPr>
        <w:t>saluant</w:t>
      </w:r>
      <w:r w:rsidRPr="00F344B9">
        <w:rPr>
          <w:lang w:val="fr-CA"/>
        </w:rPr>
        <w:t xml:space="preserve"> les activités de coopération entreprises par la Secrétaire exécutive,</w:t>
      </w:r>
    </w:p>
    <w:p w:rsidR="009472CD" w:rsidRPr="00F344B9" w:rsidRDefault="009472CD" w:rsidP="009472CD">
      <w:pPr>
        <w:pStyle w:val="Para1"/>
        <w:numPr>
          <w:ilvl w:val="0"/>
          <w:numId w:val="0"/>
        </w:numPr>
        <w:ind w:firstLine="720"/>
        <w:rPr>
          <w:lang w:val="fr-CA"/>
        </w:rPr>
      </w:pPr>
      <w:r w:rsidRPr="00F344B9">
        <w:rPr>
          <w:i/>
          <w:lang w:val="fr-CA"/>
        </w:rPr>
        <w:t xml:space="preserve">Rappelant </w:t>
      </w:r>
      <w:r w:rsidRPr="00F344B9">
        <w:rPr>
          <w:lang w:val="fr-CA"/>
        </w:rPr>
        <w:t>le préambule du Protocole de Nagoya dans lequel les Parties au Protocole reconnaissent que les instruments internationaux relatifs à l</w:t>
      </w:r>
      <w:r>
        <w:rPr>
          <w:lang w:val="fr-CA"/>
        </w:rPr>
        <w:t>’</w:t>
      </w:r>
      <w:r w:rsidRPr="00F344B9">
        <w:rPr>
          <w:lang w:val="fr-CA"/>
        </w:rPr>
        <w:t>accès et au partage des avantages devraient être complémentaires afin d</w:t>
      </w:r>
      <w:r>
        <w:rPr>
          <w:lang w:val="fr-CA"/>
        </w:rPr>
        <w:t>’</w:t>
      </w:r>
      <w:r w:rsidRPr="00F344B9">
        <w:rPr>
          <w:lang w:val="fr-CA"/>
        </w:rPr>
        <w:t>atteindre les objectifs de la Convention</w:t>
      </w:r>
      <w:r w:rsidRPr="00F344B9">
        <w:rPr>
          <w:i/>
          <w:lang w:val="fr-CA"/>
        </w:rPr>
        <w:t>,</w:t>
      </w:r>
      <w:r w:rsidRPr="00F344B9">
        <w:rPr>
          <w:lang w:val="fr-CA"/>
        </w:rPr>
        <w:t xml:space="preserve"> </w:t>
      </w:r>
    </w:p>
    <w:p w:rsidR="009472CD" w:rsidRPr="00206997" w:rsidRDefault="009472CD" w:rsidP="00206997">
      <w:pPr>
        <w:pStyle w:val="Para1"/>
        <w:numPr>
          <w:ilvl w:val="0"/>
          <w:numId w:val="0"/>
        </w:numPr>
        <w:ind w:firstLine="720"/>
        <w:rPr>
          <w:lang w:val="fr-CA"/>
        </w:rPr>
      </w:pPr>
      <w:r w:rsidRPr="00F344B9">
        <w:rPr>
          <w:i/>
          <w:lang w:val="fr-CA"/>
        </w:rPr>
        <w:t xml:space="preserve">Rappelant également </w:t>
      </w:r>
      <w:r w:rsidRPr="00F344B9">
        <w:rPr>
          <w:lang w:val="fr-CA"/>
        </w:rPr>
        <w:t xml:space="preserve">que le préambule du Protocole de Nagoya se réfère au Traité international sur les ressources </w:t>
      </w:r>
      <w:r w:rsidRPr="00F344B9">
        <w:rPr>
          <w:noProof/>
          <w:lang w:val="fr-CA"/>
        </w:rPr>
        <w:t>phytogénétiques pour l</w:t>
      </w:r>
      <w:r>
        <w:rPr>
          <w:noProof/>
          <w:lang w:val="fr-CA"/>
        </w:rPr>
        <w:t>’</w:t>
      </w:r>
      <w:r w:rsidRPr="00F344B9">
        <w:rPr>
          <w:noProof/>
          <w:lang w:val="fr-CA"/>
        </w:rPr>
        <w:t>alimentation et l</w:t>
      </w:r>
      <w:r>
        <w:rPr>
          <w:noProof/>
          <w:lang w:val="fr-CA"/>
        </w:rPr>
        <w:t>’</w:t>
      </w:r>
      <w:r w:rsidRPr="00F344B9">
        <w:rPr>
          <w:noProof/>
          <w:lang w:val="fr-CA"/>
        </w:rPr>
        <w:t>agriculture, à la Commission des ressources génétiques pour l</w:t>
      </w:r>
      <w:r>
        <w:rPr>
          <w:noProof/>
          <w:lang w:val="fr-CA"/>
        </w:rPr>
        <w:t>’</w:t>
      </w:r>
      <w:r w:rsidRPr="00F344B9">
        <w:rPr>
          <w:noProof/>
          <w:lang w:val="fr-CA"/>
        </w:rPr>
        <w:t>alimentation et l</w:t>
      </w:r>
      <w:r>
        <w:rPr>
          <w:noProof/>
          <w:lang w:val="fr-CA"/>
        </w:rPr>
        <w:t>’</w:t>
      </w:r>
      <w:r w:rsidRPr="00F344B9">
        <w:rPr>
          <w:noProof/>
          <w:lang w:val="fr-CA"/>
        </w:rPr>
        <w:t>agriculture</w:t>
      </w:r>
      <w:r w:rsidRPr="00F344B9">
        <w:rPr>
          <w:lang w:val="fr-CA"/>
        </w:rPr>
        <w:t xml:space="preserve"> de l</w:t>
      </w:r>
      <w:r>
        <w:rPr>
          <w:lang w:val="fr-CA"/>
        </w:rPr>
        <w:t>’</w:t>
      </w:r>
      <w:r w:rsidRPr="00F344B9">
        <w:rPr>
          <w:lang w:val="fr-CA"/>
        </w:rPr>
        <w:t>Organisation des Nations Unies pour l</w:t>
      </w:r>
      <w:r>
        <w:rPr>
          <w:lang w:val="fr-CA"/>
        </w:rPr>
        <w:t>’</w:t>
      </w:r>
      <w:r w:rsidRPr="00F344B9">
        <w:rPr>
          <w:lang w:val="fr-CA"/>
        </w:rPr>
        <w:t>alimentation et l</w:t>
      </w:r>
      <w:r>
        <w:rPr>
          <w:lang w:val="fr-CA"/>
        </w:rPr>
        <w:t>’</w:t>
      </w:r>
      <w:r w:rsidRPr="00F344B9">
        <w:rPr>
          <w:lang w:val="fr-CA"/>
        </w:rPr>
        <w:t>agriculture, et à l</w:t>
      </w:r>
      <w:r>
        <w:rPr>
          <w:lang w:val="fr-CA"/>
        </w:rPr>
        <w:t>’</w:t>
      </w:r>
      <w:r w:rsidRPr="00F344B9">
        <w:rPr>
          <w:lang w:val="fr-CA"/>
        </w:rPr>
        <w:t>Organisation mondiale de la Santé,</w:t>
      </w:r>
    </w:p>
    <w:p w:rsidR="009472CD" w:rsidRPr="00F344B9" w:rsidRDefault="009472CD" w:rsidP="009472CD">
      <w:pPr>
        <w:pStyle w:val="Para1"/>
        <w:numPr>
          <w:ilvl w:val="0"/>
          <w:numId w:val="2"/>
        </w:numPr>
        <w:tabs>
          <w:tab w:val="clear" w:pos="1080"/>
          <w:tab w:val="num" w:pos="1440"/>
        </w:tabs>
        <w:ind w:left="0" w:firstLine="720"/>
        <w:rPr>
          <w:lang w:val="fr-CA"/>
        </w:rPr>
      </w:pPr>
      <w:r w:rsidRPr="0001564D">
        <w:rPr>
          <w:i/>
          <w:lang w:val="fr-CA"/>
        </w:rPr>
        <w:t>Prend note</w:t>
      </w:r>
      <w:r w:rsidRPr="0001564D">
        <w:rPr>
          <w:lang w:val="fr-CA"/>
        </w:rPr>
        <w:t xml:space="preserve"> des activités de coopération sur l</w:t>
      </w:r>
      <w:r>
        <w:rPr>
          <w:lang w:val="fr-CA"/>
        </w:rPr>
        <w:t>’</w:t>
      </w:r>
      <w:r w:rsidRPr="0001564D">
        <w:rPr>
          <w:lang w:val="fr-CA"/>
        </w:rPr>
        <w:t>accès et le partage des avantages entreprises par la Secrétaire exécutive</w:t>
      </w:r>
      <w:r w:rsidR="00206997">
        <w:rPr>
          <w:rStyle w:val="Appelnotedebasdep"/>
          <w:kern w:val="22"/>
        </w:rPr>
        <w:footnoteReference w:id="1"/>
      </w:r>
      <w:r w:rsidRPr="00F344B9">
        <w:rPr>
          <w:lang w:val="fr-CA"/>
        </w:rPr>
        <w:t>;</w:t>
      </w:r>
      <w:r w:rsidR="00B85371">
        <w:rPr>
          <w:lang w:val="fr-CA"/>
        </w:rPr>
        <w:t xml:space="preserve"> </w:t>
      </w:r>
    </w:p>
    <w:p w:rsidR="009472CD" w:rsidRPr="00F344B9" w:rsidRDefault="009472CD" w:rsidP="009472CD">
      <w:pPr>
        <w:pStyle w:val="Para1"/>
        <w:numPr>
          <w:ilvl w:val="0"/>
          <w:numId w:val="2"/>
        </w:numPr>
        <w:tabs>
          <w:tab w:val="clear" w:pos="1080"/>
          <w:tab w:val="num" w:pos="1440"/>
        </w:tabs>
        <w:ind w:left="0" w:firstLine="720"/>
        <w:rPr>
          <w:lang w:val="fr-CA"/>
        </w:rPr>
      </w:pPr>
      <w:r w:rsidRPr="0001564D">
        <w:rPr>
          <w:i/>
          <w:lang w:val="fr-CA"/>
        </w:rPr>
        <w:t>Prie</w:t>
      </w:r>
      <w:r w:rsidRPr="0001564D">
        <w:rPr>
          <w:lang w:val="fr-CA"/>
        </w:rPr>
        <w:t xml:space="preserve"> la Secrétaire exécutive de continuer à participer aux processus en cours et aux débats d</w:t>
      </w:r>
      <w:r>
        <w:rPr>
          <w:lang w:val="fr-CA"/>
        </w:rPr>
        <w:t>’</w:t>
      </w:r>
      <w:r w:rsidRPr="0001564D">
        <w:rPr>
          <w:lang w:val="fr-CA"/>
        </w:rPr>
        <w:t>orientation pertinents, et de s</w:t>
      </w:r>
      <w:r>
        <w:rPr>
          <w:lang w:val="fr-CA"/>
        </w:rPr>
        <w:t>’</w:t>
      </w:r>
      <w:r w:rsidRPr="0001564D">
        <w:rPr>
          <w:lang w:val="fr-CA"/>
        </w:rPr>
        <w:t>entretenir avec d</w:t>
      </w:r>
      <w:r>
        <w:rPr>
          <w:lang w:val="fr-CA"/>
        </w:rPr>
        <w:t>’</w:t>
      </w:r>
      <w:r w:rsidRPr="0001564D">
        <w:rPr>
          <w:lang w:val="fr-CA"/>
        </w:rPr>
        <w:t>autres conventions, organisations et initiatives internationales, selon qu</w:t>
      </w:r>
      <w:r>
        <w:rPr>
          <w:lang w:val="fr-CA"/>
        </w:rPr>
        <w:t>’</w:t>
      </w:r>
      <w:r w:rsidRPr="0001564D">
        <w:rPr>
          <w:lang w:val="fr-CA"/>
        </w:rPr>
        <w:t xml:space="preserve">il convient, afin de </w:t>
      </w:r>
      <w:r>
        <w:rPr>
          <w:lang w:val="fr-CA"/>
        </w:rPr>
        <w:t xml:space="preserve">fournir et de </w:t>
      </w:r>
      <w:r w:rsidRPr="0001564D">
        <w:rPr>
          <w:lang w:val="fr-CA"/>
        </w:rPr>
        <w:t>recueillir des informations sur les discussions en cours qui portent sur l</w:t>
      </w:r>
      <w:r>
        <w:rPr>
          <w:lang w:val="fr-CA"/>
        </w:rPr>
        <w:t>’</w:t>
      </w:r>
      <w:r w:rsidRPr="0001564D">
        <w:rPr>
          <w:lang w:val="fr-CA"/>
        </w:rPr>
        <w:t>accès et le partage des avantages, et en particulier l</w:t>
      </w:r>
      <w:r w:rsidR="00B85371">
        <w:rPr>
          <w:lang w:val="fr-CA"/>
        </w:rPr>
        <w:t>es questions de santé publique</w:t>
      </w:r>
      <w:r w:rsidRPr="00F344B9">
        <w:rPr>
          <w:lang w:val="fr-CA"/>
        </w:rPr>
        <w:t>;</w:t>
      </w:r>
    </w:p>
    <w:p w:rsidR="009472CD" w:rsidRPr="0001564D" w:rsidRDefault="009472CD" w:rsidP="009472CD">
      <w:pPr>
        <w:pStyle w:val="Para1"/>
        <w:numPr>
          <w:ilvl w:val="0"/>
          <w:numId w:val="2"/>
        </w:numPr>
        <w:tabs>
          <w:tab w:val="clear" w:pos="1080"/>
          <w:tab w:val="num" w:pos="1440"/>
        </w:tabs>
        <w:ind w:left="0" w:firstLine="720"/>
        <w:rPr>
          <w:lang w:val="fr-CA"/>
        </w:rPr>
      </w:pPr>
      <w:r w:rsidRPr="0001564D">
        <w:rPr>
          <w:i/>
          <w:lang w:val="fr-CA"/>
        </w:rPr>
        <w:t>Prie aussi</w:t>
      </w:r>
      <w:r w:rsidRPr="0001564D">
        <w:rPr>
          <w:lang w:val="fr-CA"/>
        </w:rPr>
        <w:t xml:space="preserve"> la Secrétaire exécutive d</w:t>
      </w:r>
      <w:r>
        <w:rPr>
          <w:lang w:val="fr-CA"/>
        </w:rPr>
        <w:t>’</w:t>
      </w:r>
      <w:r w:rsidRPr="0001564D">
        <w:rPr>
          <w:lang w:val="fr-CA"/>
        </w:rPr>
        <w:t xml:space="preserve">élaborer un rapport sur les activités entreprises </w:t>
      </w:r>
      <w:r w:rsidRPr="0001564D">
        <w:rPr>
          <w:noProof/>
          <w:lang w:val="fr-CA"/>
        </w:rPr>
        <w:t>conformément au paragraphe 2 ci</w:t>
      </w:r>
      <w:r>
        <w:rPr>
          <w:noProof/>
          <w:lang w:val="fr-CA"/>
        </w:rPr>
        <w:noBreakHyphen/>
      </w:r>
      <w:r w:rsidRPr="0001564D">
        <w:rPr>
          <w:noProof/>
          <w:lang w:val="fr-CA"/>
        </w:rPr>
        <w:t>dessus, notamment</w:t>
      </w:r>
      <w:r w:rsidRPr="0001564D">
        <w:rPr>
          <w:lang w:val="fr-CA"/>
        </w:rPr>
        <w:t xml:space="preserve"> les évolutions importantes en vertu des accords et instruments internationaux présentant un intérêt pour l</w:t>
      </w:r>
      <w:r>
        <w:rPr>
          <w:lang w:val="fr-CA"/>
        </w:rPr>
        <w:t>’</w:t>
      </w:r>
      <w:r w:rsidRPr="0001564D">
        <w:rPr>
          <w:lang w:val="fr-CA"/>
        </w:rPr>
        <w:t>application du Protocole de Nagoya aux fins d</w:t>
      </w:r>
      <w:r>
        <w:rPr>
          <w:lang w:val="fr-CA"/>
        </w:rPr>
        <w:t>’</w:t>
      </w:r>
      <w:r w:rsidRPr="0001564D">
        <w:rPr>
          <w:lang w:val="fr-CA"/>
        </w:rPr>
        <w:t>examen par la Conférence des Parties siégeant en tant que réunion des</w:t>
      </w:r>
      <w:r>
        <w:rPr>
          <w:lang w:val="fr-CA"/>
        </w:rPr>
        <w:t xml:space="preserve"> Parties à sa quatrième réunion</w:t>
      </w:r>
      <w:r w:rsidRPr="0001564D">
        <w:rPr>
          <w:lang w:val="fr-CA"/>
        </w:rPr>
        <w:t>;</w:t>
      </w:r>
    </w:p>
    <w:p w:rsidR="009472CD" w:rsidRPr="00F344B9" w:rsidRDefault="009472CD" w:rsidP="009472CD">
      <w:pPr>
        <w:pStyle w:val="Para1"/>
        <w:numPr>
          <w:ilvl w:val="0"/>
          <w:numId w:val="2"/>
        </w:numPr>
        <w:tabs>
          <w:tab w:val="clear" w:pos="1080"/>
          <w:tab w:val="num" w:pos="1440"/>
        </w:tabs>
        <w:ind w:left="0" w:firstLine="720"/>
        <w:rPr>
          <w:lang w:val="fr-CA"/>
        </w:rPr>
      </w:pPr>
      <w:r w:rsidRPr="0001564D">
        <w:rPr>
          <w:i/>
          <w:lang w:val="fr-CA"/>
        </w:rPr>
        <w:lastRenderedPageBreak/>
        <w:t>Prie en outre</w:t>
      </w:r>
      <w:r w:rsidRPr="0001564D">
        <w:rPr>
          <w:lang w:val="fr-CA"/>
        </w:rPr>
        <w:t xml:space="preserve"> la Secrétaire exécutive de continuer à participer aux activités de coopération et aux projets portant sur la mise en œuvre concertée du Protocole de Nagoya et du Traité international sur les </w:t>
      </w:r>
      <w:r w:rsidRPr="0001564D">
        <w:rPr>
          <w:noProof/>
          <w:lang w:val="fr-CA"/>
        </w:rPr>
        <w:t>ressources phytogénétiques pour</w:t>
      </w:r>
      <w:r w:rsidRPr="0001564D">
        <w:rPr>
          <w:lang w:val="fr-CA"/>
        </w:rPr>
        <w:t xml:space="preserve"> l</w:t>
      </w:r>
      <w:r>
        <w:rPr>
          <w:lang w:val="fr-CA"/>
        </w:rPr>
        <w:t>’</w:t>
      </w:r>
      <w:r w:rsidRPr="0001564D">
        <w:rPr>
          <w:lang w:val="fr-CA"/>
        </w:rPr>
        <w:t>alimentation et l</w:t>
      </w:r>
      <w:r>
        <w:rPr>
          <w:lang w:val="fr-CA"/>
        </w:rPr>
        <w:t>’</w:t>
      </w:r>
      <w:r w:rsidRPr="0001564D">
        <w:rPr>
          <w:lang w:val="fr-CA"/>
        </w:rPr>
        <w:t>agriculture</w:t>
      </w:r>
      <w:r w:rsidRPr="00F344B9">
        <w:rPr>
          <w:lang w:val="fr-CA"/>
        </w:rPr>
        <w:t>;</w:t>
      </w:r>
    </w:p>
    <w:p w:rsidR="00E02C4E" w:rsidRPr="009472CD" w:rsidRDefault="009472CD" w:rsidP="009472CD">
      <w:pPr>
        <w:pStyle w:val="Para1"/>
        <w:keepLines/>
        <w:tabs>
          <w:tab w:val="clear" w:pos="1080"/>
        </w:tabs>
        <w:ind w:left="0" w:firstLine="720"/>
        <w:rPr>
          <w:kern w:val="22"/>
          <w:lang w:val="fr-CA"/>
        </w:rPr>
      </w:pPr>
      <w:r>
        <w:rPr>
          <w:i/>
          <w:lang w:val="fr-CA"/>
        </w:rPr>
        <w:t xml:space="preserve">Prie </w:t>
      </w:r>
      <w:r>
        <w:rPr>
          <w:iCs/>
          <w:lang w:val="fr-CA"/>
        </w:rPr>
        <w:t xml:space="preserve">la </w:t>
      </w:r>
      <w:r w:rsidRPr="00434B51">
        <w:rPr>
          <w:lang w:val="fr-CA"/>
        </w:rPr>
        <w:t>Secrétaire exécutive de porter la décision NP</w:t>
      </w:r>
      <w:r>
        <w:rPr>
          <w:lang w:val="fr-CA"/>
        </w:rPr>
        <w:noBreakHyphen/>
      </w:r>
      <w:r w:rsidRPr="00434B51">
        <w:rPr>
          <w:lang w:val="fr-CA"/>
        </w:rPr>
        <w:t>3/</w:t>
      </w:r>
      <w:r w:rsidR="00B85371">
        <w:rPr>
          <w:lang w:val="fr-CA"/>
        </w:rPr>
        <w:t xml:space="preserve">14 </w:t>
      </w:r>
      <w:r w:rsidRPr="00434B51">
        <w:rPr>
          <w:lang w:val="fr-CA"/>
        </w:rPr>
        <w:t>à la connaissance de l</w:t>
      </w:r>
      <w:r>
        <w:rPr>
          <w:lang w:val="fr-CA"/>
        </w:rPr>
        <w:t>’</w:t>
      </w:r>
      <w:r w:rsidRPr="00434B51">
        <w:rPr>
          <w:lang w:val="fr-CA"/>
        </w:rPr>
        <w:t xml:space="preserve">Organisation mondiale de la santé, du Traité international sur les ressources </w:t>
      </w:r>
      <w:r w:rsidRPr="00434B51">
        <w:rPr>
          <w:noProof/>
          <w:lang w:val="fr-CA"/>
        </w:rPr>
        <w:t>phytogénétiques pour l</w:t>
      </w:r>
      <w:r>
        <w:rPr>
          <w:noProof/>
          <w:lang w:val="fr-CA"/>
        </w:rPr>
        <w:t>’</w:t>
      </w:r>
      <w:r w:rsidRPr="00434B51">
        <w:rPr>
          <w:noProof/>
          <w:lang w:val="fr-CA"/>
        </w:rPr>
        <w:t>alimentation et l</w:t>
      </w:r>
      <w:r>
        <w:rPr>
          <w:noProof/>
          <w:lang w:val="fr-CA"/>
        </w:rPr>
        <w:t>’</w:t>
      </w:r>
      <w:r w:rsidRPr="00434B51">
        <w:rPr>
          <w:noProof/>
          <w:lang w:val="fr-CA"/>
        </w:rPr>
        <w:t>agriculture</w:t>
      </w:r>
      <w:r>
        <w:rPr>
          <w:noProof/>
          <w:lang w:val="fr-CA"/>
        </w:rPr>
        <w:t xml:space="preserve">, de </w:t>
      </w:r>
      <w:r w:rsidRPr="00434B51">
        <w:rPr>
          <w:noProof/>
          <w:lang w:val="fr-CA"/>
        </w:rPr>
        <w:t>la Commission des ressources génétiques</w:t>
      </w:r>
      <w:r w:rsidRPr="00434B51">
        <w:rPr>
          <w:lang w:val="fr-CA"/>
        </w:rPr>
        <w:t xml:space="preserve"> pour l</w:t>
      </w:r>
      <w:r>
        <w:rPr>
          <w:lang w:val="fr-CA"/>
        </w:rPr>
        <w:t>’</w:t>
      </w:r>
      <w:r w:rsidRPr="00434B51">
        <w:rPr>
          <w:lang w:val="fr-CA"/>
        </w:rPr>
        <w:t>alimentation et l</w:t>
      </w:r>
      <w:r>
        <w:rPr>
          <w:lang w:val="fr-CA"/>
        </w:rPr>
        <w:t>’</w:t>
      </w:r>
      <w:r w:rsidRPr="00434B51">
        <w:rPr>
          <w:lang w:val="fr-CA"/>
        </w:rPr>
        <w:t>agriculture</w:t>
      </w:r>
      <w:r>
        <w:rPr>
          <w:lang w:val="fr-CA"/>
        </w:rPr>
        <w:t xml:space="preserve"> de l’Organisation des Nations Unies pour l’alimentation et l’agriculture et d’autres conventions et organes concernés</w:t>
      </w:r>
      <w:r w:rsidR="00772F85" w:rsidRPr="009472CD">
        <w:rPr>
          <w:kern w:val="22"/>
          <w:lang w:val="fr-CA"/>
        </w:rPr>
        <w:t>.</w:t>
      </w:r>
    </w:p>
    <w:bookmarkEnd w:id="1"/>
    <w:p w:rsidR="00C9161D" w:rsidRPr="00D66970" w:rsidRDefault="00C9161D" w:rsidP="00C9161D">
      <w:pPr>
        <w:jc w:val="center"/>
        <w:rPr>
          <w:kern w:val="22"/>
        </w:rPr>
      </w:pPr>
      <w:r w:rsidRPr="00D66970">
        <w:rPr>
          <w:kern w:val="22"/>
        </w:rPr>
        <w:t>______</w:t>
      </w:r>
      <w:r w:rsidR="0064283F" w:rsidRPr="00D66970">
        <w:rPr>
          <w:kern w:val="22"/>
        </w:rPr>
        <w:t>____</w:t>
      </w:r>
    </w:p>
    <w:p w:rsidR="00B3369F" w:rsidRPr="00D66970" w:rsidRDefault="00B3369F" w:rsidP="00C9161D">
      <w:pPr>
        <w:rPr>
          <w:kern w:val="22"/>
        </w:rPr>
      </w:pPr>
    </w:p>
    <w:sectPr w:rsidR="00B3369F" w:rsidRPr="00D66970"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D82" w:rsidRDefault="00426D82" w:rsidP="00CF1848">
      <w:r>
        <w:separator/>
      </w:r>
    </w:p>
  </w:endnote>
  <w:endnote w:type="continuationSeparator" w:id="0">
    <w:p w:rsidR="00426D82" w:rsidRDefault="00426D8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D82" w:rsidRDefault="00426D82" w:rsidP="00CF1848">
      <w:r>
        <w:separator/>
      </w:r>
    </w:p>
  </w:footnote>
  <w:footnote w:type="continuationSeparator" w:id="0">
    <w:p w:rsidR="00426D82" w:rsidRDefault="00426D82" w:rsidP="00CF1848">
      <w:r>
        <w:continuationSeparator/>
      </w:r>
    </w:p>
  </w:footnote>
  <w:footnote w:id="1">
    <w:p w:rsidR="00206997" w:rsidRPr="00206997" w:rsidRDefault="00206997" w:rsidP="00206997">
      <w:pPr>
        <w:pStyle w:val="Notedebasdepage"/>
        <w:ind w:firstLine="0"/>
        <w:jc w:val="left"/>
        <w:rPr>
          <w:kern w:val="18"/>
          <w:szCs w:val="18"/>
          <w:lang w:val="fr-CA"/>
        </w:rPr>
      </w:pPr>
      <w:r w:rsidRPr="00D66970">
        <w:rPr>
          <w:rStyle w:val="Appelnotedebasdep"/>
          <w:kern w:val="18"/>
          <w:sz w:val="18"/>
          <w:szCs w:val="18"/>
        </w:rPr>
        <w:footnoteRef/>
      </w:r>
      <w:r w:rsidR="0044612D">
        <w:rPr>
          <w:kern w:val="18"/>
          <w:szCs w:val="18"/>
          <w:lang w:val="fr-CA"/>
        </w:rPr>
        <w:t xml:space="preserve"> </w:t>
      </w:r>
      <w:hyperlink r:id="rId1" w:history="1">
        <w:r w:rsidR="0044612D" w:rsidRPr="00FF7C87">
          <w:rPr>
            <w:rStyle w:val="Lienhypertexte"/>
            <w:kern w:val="18"/>
            <w:szCs w:val="18"/>
            <w:lang w:val="fr-CA"/>
          </w:rPr>
          <w:t>CBD/</w:t>
        </w:r>
        <w:proofErr w:type="spellStart"/>
        <w:r w:rsidR="0044612D" w:rsidRPr="00FF7C87">
          <w:rPr>
            <w:rStyle w:val="Lienhypertexte"/>
            <w:kern w:val="18"/>
            <w:szCs w:val="18"/>
            <w:lang w:val="fr-CA"/>
          </w:rPr>
          <w:t>NP</w:t>
        </w:r>
        <w:proofErr w:type="spellEnd"/>
        <w:r w:rsidR="0044612D" w:rsidRPr="00FF7C87">
          <w:rPr>
            <w:rStyle w:val="Lienhypertexte"/>
            <w:kern w:val="18"/>
            <w:szCs w:val="18"/>
            <w:lang w:val="fr-CA"/>
          </w:rPr>
          <w:t>/</w:t>
        </w:r>
        <w:proofErr w:type="spellStart"/>
        <w:r w:rsidR="0044612D" w:rsidRPr="00FF7C87">
          <w:rPr>
            <w:rStyle w:val="Lienhypertexte"/>
            <w:kern w:val="18"/>
            <w:szCs w:val="18"/>
            <w:lang w:val="fr-CA"/>
          </w:rPr>
          <w:t>MOP</w:t>
        </w:r>
        <w:proofErr w:type="spellEnd"/>
        <w:r w:rsidR="0044612D" w:rsidRPr="00FF7C87">
          <w:rPr>
            <w:rStyle w:val="Lienhypertexte"/>
            <w:kern w:val="18"/>
            <w:szCs w:val="18"/>
            <w:lang w:val="fr-CA"/>
          </w:rPr>
          <w:t>/3/9</w:t>
        </w:r>
      </w:hyperlink>
      <w:bookmarkStart w:id="2" w:name="_GoBack"/>
      <w:bookmarkEnd w:id="2"/>
      <w:r w:rsidRPr="00206997">
        <w:rPr>
          <w:kern w:val="18"/>
          <w:szCs w:val="18"/>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92766E" w:rsidRPr="0003192F" w:rsidRDefault="0003192F" w:rsidP="00D66970">
        <w:pPr>
          <w:pStyle w:val="En-tte"/>
          <w:tabs>
            <w:tab w:val="clear" w:pos="4320"/>
            <w:tab w:val="clear" w:pos="8640"/>
          </w:tabs>
          <w:jc w:val="left"/>
          <w:rPr>
            <w:noProof/>
            <w:kern w:val="22"/>
            <w:lang w:val="fr-FR"/>
          </w:rPr>
        </w:pPr>
        <w:r>
          <w:rPr>
            <w:noProof/>
            <w:kern w:val="22"/>
            <w:lang w:val="fr-FR"/>
          </w:rPr>
          <w:t>CBD/NP/MOP/DEC/3/7</w:t>
        </w:r>
      </w:p>
    </w:sdtContent>
  </w:sdt>
  <w:p w:rsidR="0092766E" w:rsidRPr="0003192F" w:rsidRDefault="0092766E" w:rsidP="00D66970">
    <w:pPr>
      <w:pStyle w:val="En-tte"/>
      <w:tabs>
        <w:tab w:val="clear" w:pos="4320"/>
        <w:tab w:val="clear" w:pos="8640"/>
      </w:tabs>
      <w:jc w:val="left"/>
      <w:rPr>
        <w:noProof/>
        <w:kern w:val="22"/>
        <w:lang w:val="fr-FR"/>
      </w:rPr>
    </w:pPr>
    <w:r w:rsidRPr="0003192F">
      <w:rPr>
        <w:noProof/>
        <w:kern w:val="22"/>
        <w:lang w:val="fr-FR"/>
      </w:rPr>
      <w:t xml:space="preserve">Page </w:t>
    </w:r>
    <w:r w:rsidRPr="00D66970">
      <w:rPr>
        <w:noProof/>
        <w:kern w:val="22"/>
      </w:rPr>
      <w:fldChar w:fldCharType="begin"/>
    </w:r>
    <w:r w:rsidRPr="0003192F">
      <w:rPr>
        <w:noProof/>
        <w:kern w:val="22"/>
        <w:lang w:val="fr-FR"/>
      </w:rPr>
      <w:instrText xml:space="preserve"> PAGE   \* MERGEFORMAT </w:instrText>
    </w:r>
    <w:r w:rsidRPr="00D66970">
      <w:rPr>
        <w:noProof/>
        <w:kern w:val="22"/>
      </w:rPr>
      <w:fldChar w:fldCharType="separate"/>
    </w:r>
    <w:r w:rsidR="00FF7C87">
      <w:rPr>
        <w:noProof/>
        <w:kern w:val="22"/>
        <w:lang w:val="fr-FR"/>
      </w:rPr>
      <w:t>2</w:t>
    </w:r>
    <w:r w:rsidRPr="00D66970">
      <w:rPr>
        <w:noProof/>
        <w:kern w:val="22"/>
      </w:rPr>
      <w:fldChar w:fldCharType="end"/>
    </w:r>
  </w:p>
  <w:p w:rsidR="0092766E" w:rsidRPr="0003192F" w:rsidRDefault="0092766E" w:rsidP="00D66970">
    <w:pPr>
      <w:pStyle w:val="En-tte"/>
      <w:tabs>
        <w:tab w:val="clear" w:pos="4320"/>
        <w:tab w:val="clear" w:pos="8640"/>
      </w:tabs>
      <w:jc w:val="left"/>
      <w:rPr>
        <w:noProof/>
        <w:kern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rsidR="0092766E" w:rsidRPr="00D66970" w:rsidRDefault="0003192F" w:rsidP="009505C9">
        <w:pPr>
          <w:pStyle w:val="En-tte"/>
          <w:jc w:val="right"/>
          <w:rPr>
            <w:lang w:val="fr-FR"/>
          </w:rPr>
        </w:pPr>
        <w:r>
          <w:rPr>
            <w:lang w:val="fr-FR"/>
          </w:rPr>
          <w:t>CBD/NP/MOP/DEC/3/7</w:t>
        </w:r>
      </w:p>
    </w:sdtContent>
  </w:sdt>
  <w:p w:rsidR="0092766E" w:rsidRPr="00000614" w:rsidRDefault="0092766E"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rsidR="0092766E" w:rsidRPr="00000614" w:rsidRDefault="0092766E">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1080"/>
        </w:tabs>
        <w:ind w:left="72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04CAB"/>
    <w:rsid w:val="0003192F"/>
    <w:rsid w:val="00050C6F"/>
    <w:rsid w:val="0008662B"/>
    <w:rsid w:val="00096FD7"/>
    <w:rsid w:val="000A3526"/>
    <w:rsid w:val="000E673A"/>
    <w:rsid w:val="000F74F5"/>
    <w:rsid w:val="00105372"/>
    <w:rsid w:val="00112863"/>
    <w:rsid w:val="001236AA"/>
    <w:rsid w:val="00131E7A"/>
    <w:rsid w:val="00142D01"/>
    <w:rsid w:val="00172AF6"/>
    <w:rsid w:val="00176CEE"/>
    <w:rsid w:val="00181464"/>
    <w:rsid w:val="00206997"/>
    <w:rsid w:val="0022440E"/>
    <w:rsid w:val="00232D80"/>
    <w:rsid w:val="00263A5D"/>
    <w:rsid w:val="00276247"/>
    <w:rsid w:val="002C1C38"/>
    <w:rsid w:val="003159F6"/>
    <w:rsid w:val="00323DF8"/>
    <w:rsid w:val="00340C9A"/>
    <w:rsid w:val="003633D4"/>
    <w:rsid w:val="00372F74"/>
    <w:rsid w:val="003C0C2B"/>
    <w:rsid w:val="003D76E6"/>
    <w:rsid w:val="003E7D3A"/>
    <w:rsid w:val="003F7224"/>
    <w:rsid w:val="00405146"/>
    <w:rsid w:val="00413179"/>
    <w:rsid w:val="0042412C"/>
    <w:rsid w:val="00426D82"/>
    <w:rsid w:val="00427D21"/>
    <w:rsid w:val="004318AA"/>
    <w:rsid w:val="0044612D"/>
    <w:rsid w:val="004644C2"/>
    <w:rsid w:val="00467F9C"/>
    <w:rsid w:val="00493F4D"/>
    <w:rsid w:val="00496BB7"/>
    <w:rsid w:val="005345E1"/>
    <w:rsid w:val="00534681"/>
    <w:rsid w:val="00542954"/>
    <w:rsid w:val="005A1CC9"/>
    <w:rsid w:val="006122BA"/>
    <w:rsid w:val="0061445E"/>
    <w:rsid w:val="00633365"/>
    <w:rsid w:val="0064283F"/>
    <w:rsid w:val="006629DC"/>
    <w:rsid w:val="006B0D02"/>
    <w:rsid w:val="006B2290"/>
    <w:rsid w:val="006E56A0"/>
    <w:rsid w:val="006F1189"/>
    <w:rsid w:val="007023CF"/>
    <w:rsid w:val="00714F05"/>
    <w:rsid w:val="00717D88"/>
    <w:rsid w:val="00772F85"/>
    <w:rsid w:val="00787E80"/>
    <w:rsid w:val="007942D3"/>
    <w:rsid w:val="007B6C09"/>
    <w:rsid w:val="007E09DA"/>
    <w:rsid w:val="008124F8"/>
    <w:rsid w:val="008178B6"/>
    <w:rsid w:val="00850790"/>
    <w:rsid w:val="00865B74"/>
    <w:rsid w:val="008D3527"/>
    <w:rsid w:val="008E4FF1"/>
    <w:rsid w:val="0092766E"/>
    <w:rsid w:val="00930BA1"/>
    <w:rsid w:val="0093169E"/>
    <w:rsid w:val="0094261C"/>
    <w:rsid w:val="009457A0"/>
    <w:rsid w:val="009472CD"/>
    <w:rsid w:val="009505C9"/>
    <w:rsid w:val="00977A4E"/>
    <w:rsid w:val="00984A31"/>
    <w:rsid w:val="009A4712"/>
    <w:rsid w:val="009B6363"/>
    <w:rsid w:val="009C200D"/>
    <w:rsid w:val="009D0125"/>
    <w:rsid w:val="009F0BF0"/>
    <w:rsid w:val="009F0CA0"/>
    <w:rsid w:val="009F7362"/>
    <w:rsid w:val="00A0747E"/>
    <w:rsid w:val="00A76990"/>
    <w:rsid w:val="00B32AF1"/>
    <w:rsid w:val="00B3369F"/>
    <w:rsid w:val="00B44F83"/>
    <w:rsid w:val="00B74933"/>
    <w:rsid w:val="00B85371"/>
    <w:rsid w:val="00B942EA"/>
    <w:rsid w:val="00C35537"/>
    <w:rsid w:val="00C702D0"/>
    <w:rsid w:val="00C764C6"/>
    <w:rsid w:val="00C9161D"/>
    <w:rsid w:val="00CA6A40"/>
    <w:rsid w:val="00CF1848"/>
    <w:rsid w:val="00D02769"/>
    <w:rsid w:val="00D12044"/>
    <w:rsid w:val="00D21FC0"/>
    <w:rsid w:val="00D66970"/>
    <w:rsid w:val="00D76A18"/>
    <w:rsid w:val="00D9336D"/>
    <w:rsid w:val="00DB4555"/>
    <w:rsid w:val="00DD118C"/>
    <w:rsid w:val="00E02C4E"/>
    <w:rsid w:val="00E14293"/>
    <w:rsid w:val="00E409B1"/>
    <w:rsid w:val="00E55C77"/>
    <w:rsid w:val="00E61AB5"/>
    <w:rsid w:val="00E66235"/>
    <w:rsid w:val="00E83C24"/>
    <w:rsid w:val="00E9318D"/>
    <w:rsid w:val="00E9355D"/>
    <w:rsid w:val="00E93E48"/>
    <w:rsid w:val="00EC0462"/>
    <w:rsid w:val="00EF72B4"/>
    <w:rsid w:val="00F43502"/>
    <w:rsid w:val="00F63438"/>
    <w:rsid w:val="00F76EAA"/>
    <w:rsid w:val="00F864BD"/>
    <w:rsid w:val="00F94774"/>
    <w:rsid w:val="00FC0603"/>
    <w:rsid w:val="00FC53DB"/>
    <w:rsid w:val="00FD3E7C"/>
    <w:rsid w:val="00FF7C8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2EB495A-88AE-4732-B07C-E0A8E50B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semiHidden/>
    <w:rsid w:val="00427D21"/>
    <w:rPr>
      <w:sz w:val="22"/>
      <w:u w:val="none"/>
      <w:vertAlign w:val="superscript"/>
    </w:rPr>
  </w:style>
  <w:style w:type="paragraph" w:styleId="Notedebasdepage">
    <w:name w:val="footnote text"/>
    <w:basedOn w:val="Normal"/>
    <w:link w:val="NotedebasdepageCar"/>
    <w:semiHidden/>
    <w:rsid w:val="007E09DA"/>
    <w:pPr>
      <w:keepLines/>
      <w:spacing w:after="60"/>
      <w:ind w:firstLine="720"/>
    </w:pPr>
    <w:rPr>
      <w:sz w:val="18"/>
    </w:rPr>
  </w:style>
  <w:style w:type="character" w:customStyle="1" w:styleId="NotedebasdepageCar">
    <w:name w:val="Note de bas de page Car"/>
    <w:basedOn w:val="Policepardfaut"/>
    <w:link w:val="Notedebasdepag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styleId="Objetducommentaire">
    <w:name w:val="annotation subject"/>
    <w:basedOn w:val="Commentaire"/>
    <w:next w:val="Commentaire"/>
    <w:link w:val="ObjetducommentaireCar"/>
    <w:uiPriority w:val="99"/>
    <w:semiHidden/>
    <w:unhideWhenUsed/>
    <w:rsid w:val="009457A0"/>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9457A0"/>
    <w:rPr>
      <w:rFonts w:ascii="Times New Roman" w:eastAsia="Times New Roman" w:hAnsi="Times New Roman" w:cs="Times New Roman"/>
      <w:b/>
      <w:bCs/>
      <w:sz w:val="20"/>
      <w:szCs w:val="20"/>
      <w:lang w:val="en-GB"/>
    </w:rPr>
  </w:style>
  <w:style w:type="character" w:customStyle="1" w:styleId="UnresolvedMention">
    <w:name w:val="Unresolved Mention"/>
    <w:basedOn w:val="Policepardfaut"/>
    <w:uiPriority w:val="99"/>
    <w:semiHidden/>
    <w:unhideWhenUsed/>
    <w:rsid w:val="003159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be78/9d90/808b5d2f0ba67db850d4ddd7/np-mop-03-09-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F6DB7317FFF84D769053DBF6C0270782"/>
        <w:category>
          <w:name w:val="General"/>
          <w:gallery w:val="placeholder"/>
        </w:category>
        <w:types>
          <w:type w:val="bbPlcHdr"/>
        </w:types>
        <w:behaviors>
          <w:behavior w:val="content"/>
        </w:behaviors>
        <w:guid w:val="{D6F26313-E2E6-4704-87B0-785C7A8CDF6B}"/>
      </w:docPartPr>
      <w:docPartBody>
        <w:p w:rsidR="00285B6E" w:rsidRDefault="00CE5BDC" w:rsidP="00CE5BDC">
          <w:pPr>
            <w:pStyle w:val="F6DB7317FFF84D769053DBF6C0270782"/>
          </w:pPr>
          <w:r w:rsidRPr="007E02EB">
            <w:rPr>
              <w:rStyle w:val="Textedelespacerserv"/>
            </w:rPr>
            <w:t>[Status]</w:t>
          </w:r>
        </w:p>
      </w:docPartBody>
    </w:docPart>
    <w:docPart>
      <w:docPartPr>
        <w:name w:val="32342F7C786B41278AA75C26508F2A53"/>
        <w:category>
          <w:name w:val="General"/>
          <w:gallery w:val="placeholder"/>
        </w:category>
        <w:types>
          <w:type w:val="bbPlcHdr"/>
        </w:types>
        <w:behaviors>
          <w:behavior w:val="content"/>
        </w:behaviors>
        <w:guid w:val="{5210E44D-123F-4F99-AEA2-69CD8ECE3ECA}"/>
      </w:docPartPr>
      <w:docPartBody>
        <w:p w:rsidR="00285B6E" w:rsidRDefault="00CE5BDC" w:rsidP="00CE5BDC">
          <w:pPr>
            <w:pStyle w:val="32342F7C786B41278AA75C26508F2A53"/>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C6DE0"/>
    <w:rsid w:val="000D15E8"/>
    <w:rsid w:val="00261E9A"/>
    <w:rsid w:val="00285B6E"/>
    <w:rsid w:val="00322600"/>
    <w:rsid w:val="00500A2B"/>
    <w:rsid w:val="005308E7"/>
    <w:rsid w:val="0058288D"/>
    <w:rsid w:val="005E79CE"/>
    <w:rsid w:val="006801B3"/>
    <w:rsid w:val="00720F63"/>
    <w:rsid w:val="007F1B76"/>
    <w:rsid w:val="00810A55"/>
    <w:rsid w:val="008C6619"/>
    <w:rsid w:val="008D420E"/>
    <w:rsid w:val="0098642F"/>
    <w:rsid w:val="00A41527"/>
    <w:rsid w:val="00CE5BDC"/>
    <w:rsid w:val="00CE6602"/>
    <w:rsid w:val="00D14EB6"/>
    <w:rsid w:val="00D90D98"/>
    <w:rsid w:val="00DC4255"/>
    <w:rsid w:val="00EE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E5BDC"/>
    <w:rPr>
      <w:color w:val="808080"/>
    </w:rPr>
  </w:style>
  <w:style w:type="paragraph" w:customStyle="1" w:styleId="C444DEE40D7C456B82AF1A09CD132ABF">
    <w:name w:val="C444DEE40D7C456B82AF1A09CD132ABF"/>
    <w:rsid w:val="00CE6602"/>
    <w:pPr>
      <w:spacing w:after="160" w:line="259" w:lineRule="auto"/>
    </w:pPr>
  </w:style>
  <w:style w:type="paragraph" w:customStyle="1" w:styleId="F6DB7317FFF84D769053DBF6C0270782">
    <w:name w:val="F6DB7317FFF84D769053DBF6C0270782"/>
    <w:rsid w:val="00CE5BDC"/>
    <w:pPr>
      <w:spacing w:after="160" w:line="259" w:lineRule="auto"/>
    </w:pPr>
    <w:rPr>
      <w:lang w:val="en-CA" w:eastAsia="en-CA"/>
    </w:rPr>
  </w:style>
  <w:style w:type="paragraph" w:customStyle="1" w:styleId="32342F7C786B41278AA75C26508F2A53">
    <w:name w:val="32342F7C786B41278AA75C26508F2A53"/>
    <w:rsid w:val="00CE5BD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CEF82B-0E27-4B74-8A52-E8D0C72E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502</Words>
  <Characters>2766</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3/7.	Cooperation with other conventions, international organizations and initiatives</vt:lpstr>
      <vt:lpstr>3/7.	Cooperation with other conventions, international organizations and initiatives</vt:lpstr>
    </vt:vector>
  </TitlesOfParts>
  <Company>SCBD</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	Coopération avec d’autres conventions, organisations et initiatives internationales</dc:title>
  <dc:subject>CBD/NP/MOP/DEC/3/7</dc:subject>
  <dc:creator>NP MOP 3</dc:creator>
  <cp:keywords>Cooperation with other international organizations, conventions and initiatives, Conference of the Parties to the Convention on Biological Diversity, Nagoya Protocol on Access to Genetic Resources and the Fair and Equitable Sharing of Benefits Arising from Their Utilization</cp:keywords>
  <cp:lastModifiedBy>Louise</cp:lastModifiedBy>
  <cp:revision>5</cp:revision>
  <dcterms:created xsi:type="dcterms:W3CDTF">2019-02-11T15:18:00Z</dcterms:created>
  <dcterms:modified xsi:type="dcterms:W3CDTF">2019-02-13T15:22:00Z</dcterms:modified>
  <cp:contentStatus>GÉNÉRALE</cp:contentStatus>
</cp:coreProperties>
</file>