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F2F44" w14:paraId="7B9D8340" w14:textId="77777777" w:rsidTr="00396CED">
        <w:trPr>
          <w:trHeight w:val="709"/>
        </w:trPr>
        <w:tc>
          <w:tcPr>
            <w:tcW w:w="976" w:type="dxa"/>
            <w:tcBorders>
              <w:bottom w:val="single" w:sz="12" w:space="0" w:color="auto"/>
            </w:tcBorders>
          </w:tcPr>
          <w:p w14:paraId="4214913C" w14:textId="77777777" w:rsidR="00DF2F44" w:rsidRDefault="00DF2F44" w:rsidP="00396CED">
            <w:r>
              <w:rPr>
                <w:noProof/>
                <w:lang w:eastAsia="en-GB"/>
              </w:rPr>
              <w:drawing>
                <wp:inline distT="0" distB="0" distL="0" distR="0" wp14:anchorId="1A2E5812" wp14:editId="7EF5666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A14749A" w14:textId="7AD023AC" w:rsidR="00DF2F44" w:rsidRDefault="0073388E" w:rsidP="00396CED">
            <w:r w:rsidRPr="0073388E">
              <w:rPr>
                <w:rFonts w:eastAsia="Malgun Gothic"/>
                <w:noProof/>
                <w:lang w:eastAsia="en-GB"/>
              </w:rPr>
              <w:drawing>
                <wp:inline distT="0" distB="0" distL="0" distR="0" wp14:anchorId="1DF57FF0" wp14:editId="1B52C5FD">
                  <wp:extent cx="457200" cy="510906"/>
                  <wp:effectExtent l="0" t="0" r="0" b="3810"/>
                  <wp:docPr id="2"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460214" cy="514274"/>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6DCA0E8F" w14:textId="77777777" w:rsidR="00DF2F44" w:rsidRPr="00C9161D" w:rsidRDefault="00DF2F44" w:rsidP="00396CED">
            <w:pPr>
              <w:jc w:val="right"/>
              <w:rPr>
                <w:rFonts w:ascii="Arial" w:hAnsi="Arial" w:cs="Arial"/>
                <w:b/>
                <w:sz w:val="32"/>
                <w:szCs w:val="32"/>
              </w:rPr>
            </w:pPr>
            <w:r w:rsidRPr="00C9161D">
              <w:rPr>
                <w:rFonts w:ascii="Arial" w:hAnsi="Arial" w:cs="Arial"/>
                <w:b/>
                <w:sz w:val="32"/>
                <w:szCs w:val="32"/>
              </w:rPr>
              <w:t>CBD</w:t>
            </w:r>
          </w:p>
        </w:tc>
      </w:tr>
      <w:tr w:rsidR="00DF2F44" w14:paraId="2F34DDD1" w14:textId="77777777" w:rsidTr="00396CED">
        <w:tc>
          <w:tcPr>
            <w:tcW w:w="6117" w:type="dxa"/>
            <w:gridSpan w:val="2"/>
            <w:tcBorders>
              <w:top w:val="single" w:sz="12" w:space="0" w:color="auto"/>
              <w:bottom w:val="single" w:sz="36" w:space="0" w:color="auto"/>
            </w:tcBorders>
            <w:vAlign w:val="center"/>
          </w:tcPr>
          <w:p w14:paraId="64C11F77" w14:textId="6BA040B0" w:rsidR="00DF2F44" w:rsidRDefault="0073388E" w:rsidP="00396CED">
            <w:r w:rsidRPr="0073388E">
              <w:rPr>
                <w:rFonts w:eastAsia="Malgun Gothic"/>
                <w:noProof/>
                <w:lang w:eastAsia="en-GB"/>
              </w:rPr>
              <w:drawing>
                <wp:inline distT="0" distB="0" distL="0" distR="0" wp14:anchorId="7DDE9712" wp14:editId="5F56868C">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5FE103C0" w14:textId="77777777" w:rsidR="00DF2F44" w:rsidRPr="00C9161D" w:rsidRDefault="00DF2F44" w:rsidP="00396CED">
            <w:pPr>
              <w:ind w:left="1215"/>
              <w:rPr>
                <w:szCs w:val="22"/>
              </w:rPr>
            </w:pPr>
            <w:r w:rsidRPr="00C9161D">
              <w:rPr>
                <w:szCs w:val="22"/>
              </w:rPr>
              <w:t>Distr.</w:t>
            </w:r>
          </w:p>
          <w:p w14:paraId="5582F4CF" w14:textId="1533E561" w:rsidR="00FB7CBF" w:rsidRPr="00500F5F" w:rsidRDefault="00B104BC" w:rsidP="00FB7CBF">
            <w:pPr>
              <w:suppressLineNumbers/>
              <w:suppressAutoHyphens/>
              <w:ind w:left="1215"/>
              <w:rPr>
                <w:kern w:val="22"/>
                <w:szCs w:val="22"/>
              </w:rPr>
            </w:pPr>
            <w:sdt>
              <w:sdtPr>
                <w:rPr>
                  <w:caps/>
                  <w:kern w:val="22"/>
                  <w:szCs w:val="22"/>
                </w:rPr>
                <w:alias w:val="Status"/>
                <w:tag w:val=""/>
                <w:id w:val="307985777"/>
                <w:placeholder>
                  <w:docPart w:val="7F4EB22502174393AF4FBFA94E6B2540"/>
                </w:placeholder>
                <w:dataBinding w:prefixMappings="xmlns:ns0='http://purl.org/dc/elements/1.1/' xmlns:ns1='http://schemas.openxmlformats.org/package/2006/metadata/core-properties' " w:xpath="/ns1:coreProperties[1]/ns1:contentStatus[1]" w:storeItemID="{6C3C8BC8-F283-45AE-878A-BAB7291924A1}"/>
                <w:text/>
              </w:sdtPr>
              <w:sdtContent>
                <w:r w:rsidRPr="00D16D48">
                  <w:rPr>
                    <w:caps/>
                    <w:kern w:val="22"/>
                    <w:szCs w:val="22"/>
                  </w:rPr>
                  <w:t>GENERAL</w:t>
                </w:r>
              </w:sdtContent>
            </w:sdt>
          </w:p>
          <w:p w14:paraId="1BF67E9F" w14:textId="77777777" w:rsidR="00FB7CBF" w:rsidRPr="00500F5F" w:rsidRDefault="00FB7CBF" w:rsidP="00FB7CBF">
            <w:pPr>
              <w:suppressLineNumbers/>
              <w:suppressAutoHyphens/>
              <w:ind w:left="1215"/>
              <w:rPr>
                <w:kern w:val="22"/>
                <w:szCs w:val="22"/>
              </w:rPr>
            </w:pPr>
          </w:p>
          <w:p w14:paraId="5A644FEF" w14:textId="44A58EA1" w:rsidR="00FB7CBF" w:rsidRPr="00500F5F" w:rsidRDefault="00E87279" w:rsidP="00FB7CBF">
            <w:pPr>
              <w:suppressLineNumbers/>
              <w:suppressAutoHyphens/>
              <w:ind w:left="1215"/>
              <w:rPr>
                <w:kern w:val="22"/>
                <w:szCs w:val="22"/>
              </w:rPr>
            </w:pPr>
            <w:sdt>
              <w:sdtPr>
                <w:rPr>
                  <w:kern w:val="22"/>
                </w:rPr>
                <w:alias w:val="Subject"/>
                <w:tag w:val=""/>
                <w:id w:val="2137136483"/>
                <w:placeholder>
                  <w:docPart w:val="DA2CBD6800B640BD84FB1DC96900F73E"/>
                </w:placeholder>
                <w:dataBinding w:prefixMappings="xmlns:ns0='http://purl.org/dc/elements/1.1/' xmlns:ns1='http://schemas.openxmlformats.org/package/2006/metadata/core-properties' " w:xpath="/ns1:coreProperties[1]/ns0:subject[1]" w:storeItemID="{6C3C8BC8-F283-45AE-878A-BAB7291924A1}"/>
                <w:text/>
              </w:sdtPr>
              <w:sdtContent>
                <w:r w:rsidRPr="00922F77">
                  <w:rPr>
                    <w:kern w:val="22"/>
                  </w:rPr>
                  <w:t>CBD/NP/MOP/DEC/3/6</w:t>
                </w:r>
              </w:sdtContent>
            </w:sdt>
          </w:p>
          <w:p w14:paraId="555B6A2D" w14:textId="77777777" w:rsidR="00FB7CBF" w:rsidRPr="00500F5F" w:rsidRDefault="00FB7CBF" w:rsidP="00FB7CBF">
            <w:pPr>
              <w:suppressLineNumbers/>
              <w:suppressAutoHyphens/>
              <w:ind w:left="1215"/>
              <w:rPr>
                <w:kern w:val="22"/>
                <w:szCs w:val="22"/>
              </w:rPr>
            </w:pPr>
            <w:r w:rsidRPr="00500F5F">
              <w:rPr>
                <w:kern w:val="22"/>
                <w:szCs w:val="22"/>
              </w:rPr>
              <w:t>30 November 2018</w:t>
            </w:r>
          </w:p>
          <w:p w14:paraId="2AE2F597" w14:textId="3EDCC6BD" w:rsidR="00DF2F44" w:rsidRDefault="00DF2F44" w:rsidP="00396CED">
            <w:pPr>
              <w:ind w:left="1215"/>
              <w:rPr>
                <w:szCs w:val="22"/>
              </w:rPr>
            </w:pPr>
          </w:p>
          <w:p w14:paraId="36C10598" w14:textId="37C7F934" w:rsidR="0073388E" w:rsidRPr="00C9161D" w:rsidRDefault="0073388E" w:rsidP="00396CED">
            <w:pPr>
              <w:ind w:left="1215"/>
              <w:rPr>
                <w:szCs w:val="22"/>
              </w:rPr>
            </w:pPr>
            <w:r>
              <w:rPr>
                <w:szCs w:val="22"/>
              </w:rPr>
              <w:t>RUSSIAN</w:t>
            </w:r>
          </w:p>
          <w:p w14:paraId="5FF4709A" w14:textId="77777777" w:rsidR="00DF2F44" w:rsidRPr="00C9161D" w:rsidRDefault="00DF2F44" w:rsidP="00396CED">
            <w:pPr>
              <w:ind w:left="1215"/>
              <w:rPr>
                <w:szCs w:val="22"/>
              </w:rPr>
            </w:pPr>
            <w:r>
              <w:rPr>
                <w:szCs w:val="22"/>
              </w:rPr>
              <w:t xml:space="preserve">ORIGINAL: </w:t>
            </w:r>
            <w:r w:rsidRPr="00C9161D">
              <w:rPr>
                <w:szCs w:val="22"/>
              </w:rPr>
              <w:t>ENGLISH</w:t>
            </w:r>
          </w:p>
          <w:p w14:paraId="3F90C07A" w14:textId="77777777" w:rsidR="00DF2F44" w:rsidRDefault="00DF2F44" w:rsidP="00396CED"/>
        </w:tc>
      </w:tr>
    </w:tbl>
    <w:p w14:paraId="791F18D1" w14:textId="77777777" w:rsidR="00D05238" w:rsidRPr="00933635" w:rsidRDefault="00D05238" w:rsidP="00D05238">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ru-RU"/>
        </w:rPr>
      </w:pPr>
      <w:r w:rsidRPr="00933635">
        <w:rPr>
          <w:rFonts w:eastAsia="Batang"/>
          <w:snapToGrid w:val="0"/>
          <w:kern w:val="22"/>
          <w:szCs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3907F659" w14:textId="77777777" w:rsidR="00D05238" w:rsidRPr="00933635" w:rsidRDefault="00D05238" w:rsidP="00D05238">
      <w:pPr>
        <w:suppressLineNumbers/>
        <w:suppressAutoHyphens/>
        <w:kinsoku w:val="0"/>
        <w:overflowPunct w:val="0"/>
        <w:autoSpaceDE w:val="0"/>
        <w:autoSpaceDN w:val="0"/>
        <w:adjustRightInd w:val="0"/>
        <w:snapToGrid w:val="0"/>
        <w:ind w:left="170" w:right="3860" w:hanging="170"/>
        <w:jc w:val="left"/>
        <w:rPr>
          <w:color w:val="000000"/>
          <w:kern w:val="22"/>
          <w:shd w:val="clear" w:color="auto" w:fill="FFFFFF"/>
          <w:lang w:val="ru-RU"/>
        </w:rPr>
      </w:pPr>
      <w:r>
        <w:rPr>
          <w:color w:val="000000"/>
          <w:shd w:val="clear" w:color="auto" w:fill="FFFFFF"/>
          <w:lang w:val="ru-RU"/>
        </w:rPr>
        <w:t>Третье</w:t>
      </w:r>
      <w:r w:rsidRPr="00933635">
        <w:rPr>
          <w:color w:val="000000"/>
          <w:shd w:val="clear" w:color="auto" w:fill="FFFFFF"/>
          <w:lang w:val="ru-RU"/>
        </w:rPr>
        <w:t xml:space="preserve"> совещание</w:t>
      </w:r>
    </w:p>
    <w:p w14:paraId="018287E2" w14:textId="77777777" w:rsidR="00D05238" w:rsidRPr="00933635" w:rsidRDefault="00D05238" w:rsidP="00D05238">
      <w:pPr>
        <w:suppressLineNumbers/>
        <w:suppressAutoHyphens/>
        <w:kinsoku w:val="0"/>
        <w:overflowPunct w:val="0"/>
        <w:autoSpaceDE w:val="0"/>
        <w:autoSpaceDN w:val="0"/>
        <w:adjustRightInd w:val="0"/>
        <w:snapToGrid w:val="0"/>
        <w:ind w:right="3119"/>
        <w:rPr>
          <w:color w:val="000000"/>
          <w:kern w:val="22"/>
          <w:szCs w:val="22"/>
          <w:lang w:val="ru-RU"/>
        </w:rPr>
      </w:pPr>
      <w:r w:rsidRPr="00933635">
        <w:rPr>
          <w:color w:val="000000"/>
          <w:szCs w:val="22"/>
          <w:lang w:val="ru-RU"/>
        </w:rPr>
        <w:t>Шарм-эш-Шейх, Египет, 17</w:t>
      </w:r>
      <w:r w:rsidRPr="005D7CE1">
        <w:rPr>
          <w:color w:val="000000"/>
          <w:szCs w:val="22"/>
          <w:lang w:val="ru-RU"/>
        </w:rPr>
        <w:t>-</w:t>
      </w:r>
      <w:r w:rsidRPr="00933635">
        <w:rPr>
          <w:color w:val="000000"/>
          <w:szCs w:val="22"/>
          <w:lang w:val="ru-RU"/>
        </w:rPr>
        <w:t>29 ноября 2018 года</w:t>
      </w:r>
    </w:p>
    <w:p w14:paraId="0B9BBCE1" w14:textId="0B7F7C89" w:rsidR="00C9161D" w:rsidRPr="0073388E" w:rsidRDefault="0073388E" w:rsidP="00C9161D">
      <w:pPr>
        <w:rPr>
          <w:lang w:val="en-US"/>
        </w:rPr>
      </w:pPr>
      <w:r>
        <w:rPr>
          <w:lang w:val="ru-RU"/>
        </w:rPr>
        <w:t>Пункт</w:t>
      </w:r>
      <w:r w:rsidRPr="0073388E">
        <w:rPr>
          <w:lang w:val="en-US"/>
        </w:rPr>
        <w:t xml:space="preserve"> </w:t>
      </w:r>
      <w:r w:rsidR="00A41B97">
        <w:t>12</w:t>
      </w:r>
      <w:r w:rsidRPr="0073388E">
        <w:rPr>
          <w:lang w:val="en-US"/>
        </w:rPr>
        <w:t xml:space="preserve"> </w:t>
      </w:r>
      <w:r>
        <w:rPr>
          <w:lang w:val="ru-RU"/>
        </w:rPr>
        <w:t>повест</w:t>
      </w:r>
      <w:r w:rsidR="00131124">
        <w:rPr>
          <w:lang w:val="ru-RU"/>
        </w:rPr>
        <w:t>к</w:t>
      </w:r>
      <w:r>
        <w:rPr>
          <w:lang w:val="ru-RU"/>
        </w:rPr>
        <w:t>и</w:t>
      </w:r>
      <w:r w:rsidRPr="0073388E">
        <w:rPr>
          <w:lang w:val="en-US"/>
        </w:rPr>
        <w:t xml:space="preserve"> </w:t>
      </w:r>
      <w:r>
        <w:rPr>
          <w:lang w:val="ru-RU"/>
        </w:rPr>
        <w:t>дня</w:t>
      </w:r>
    </w:p>
    <w:p w14:paraId="600BA5DD" w14:textId="151D6E16" w:rsidR="007004EF" w:rsidRDefault="007004EF" w:rsidP="007004EF">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w:t>
      </w:r>
      <w:r w:rsidR="00B26847">
        <w:rPr>
          <w:rFonts w:eastAsia="Malgun Gothic"/>
          <w:b/>
          <w:bCs/>
          <w:caps/>
          <w:snapToGrid w:val="0"/>
          <w:kern w:val="22"/>
          <w:lang w:val="ru-RU"/>
        </w:rPr>
        <w:t xml:space="preserve">    </w:t>
      </w:r>
      <w:r w:rsidRPr="001D1BEB">
        <w:rPr>
          <w:rFonts w:eastAsia="Malgun Gothic"/>
          <w:b/>
          <w:bCs/>
          <w:caps/>
          <w:snapToGrid w:val="0"/>
          <w:kern w:val="22"/>
          <w:lang w:val="ru-RU"/>
        </w:rPr>
        <w:t xml:space="preserve"> ВЫГОД</w:t>
      </w:r>
    </w:p>
    <w:p w14:paraId="39E6F437" w14:textId="0DAA100A" w:rsidR="007004EF" w:rsidRPr="00121C0B" w:rsidRDefault="007004EF" w:rsidP="007004EF">
      <w:pPr>
        <w:spacing w:before="120" w:after="240"/>
        <w:jc w:val="center"/>
        <w:rPr>
          <w:b/>
          <w:szCs w:val="22"/>
          <w:lang w:val="fr-FR"/>
        </w:rPr>
      </w:pPr>
      <w:r>
        <w:rPr>
          <w:b/>
          <w:szCs w:val="22"/>
          <w:lang w:val="fr-FR"/>
        </w:rPr>
        <w:t>3/</w:t>
      </w:r>
      <w:r>
        <w:rPr>
          <w:b/>
          <w:szCs w:val="22"/>
          <w:lang w:val="fr-FR"/>
        </w:rPr>
        <w:t>6</w:t>
      </w:r>
      <w:r>
        <w:rPr>
          <w:b/>
          <w:szCs w:val="22"/>
          <w:lang w:val="fr-FR"/>
        </w:rPr>
        <w:t>.</w:t>
      </w:r>
      <w:r>
        <w:rPr>
          <w:b/>
          <w:szCs w:val="22"/>
          <w:lang w:val="fr-FR"/>
        </w:rPr>
        <w:tab/>
      </w:r>
      <w:sdt>
        <w:sdtPr>
          <w:rPr>
            <w:b/>
            <w:szCs w:val="22"/>
            <w:lang w:val="ru-RU"/>
          </w:rPr>
          <w:alias w:val="Title"/>
          <w:tag w:val=""/>
          <w:id w:val="846059105"/>
          <w:placeholder>
            <w:docPart w:val="6E34AA4105C54DE4A3751D327F259C6D"/>
          </w:placeholder>
          <w:dataBinding w:prefixMappings="xmlns:ns0='http://purl.org/dc/elements/1.1/' xmlns:ns1='http://schemas.openxmlformats.org/package/2006/metadata/core-properties' " w:xpath="/ns1:coreProperties[1]/ns0:title[1]" w:storeItemID="{6C3C8BC8-F283-45AE-878A-BAB7291924A1}"/>
          <w:text/>
        </w:sdtPr>
        <w:sdtContent>
          <w:r>
            <w:rPr>
              <w:b/>
              <w:szCs w:val="22"/>
              <w:lang w:val="ru-RU"/>
            </w:rPr>
            <w:t>Меры по повышению осведомленности о важном значении генетических ресурсов и связанных с ними традиционных знаний (статья 21)</w:t>
          </w:r>
        </w:sdtContent>
      </w:sdt>
    </w:p>
    <w:p w14:paraId="6C1E9BD4" w14:textId="77777777" w:rsidR="000A6AE7" w:rsidRPr="00436F4B" w:rsidRDefault="000A6AE7" w:rsidP="000A6AE7">
      <w:pPr>
        <w:pStyle w:val="Para1"/>
        <w:numPr>
          <w:ilvl w:val="0"/>
          <w:numId w:val="0"/>
        </w:numPr>
        <w:suppressLineNumbers/>
        <w:suppressAutoHyphens/>
        <w:kinsoku w:val="0"/>
        <w:overflowPunct w:val="0"/>
        <w:autoSpaceDE w:val="0"/>
        <w:autoSpaceDN w:val="0"/>
        <w:adjustRightInd w:val="0"/>
        <w:snapToGrid w:val="0"/>
        <w:ind w:firstLine="720"/>
        <w:rPr>
          <w:i/>
          <w:kern w:val="22"/>
          <w:szCs w:val="22"/>
          <w:lang w:val="ru-RU"/>
        </w:rPr>
      </w:pPr>
      <w:r w:rsidRPr="00436F4B">
        <w:rPr>
          <w:i/>
          <w:szCs w:val="22"/>
          <w:lang w:val="ru-RU"/>
        </w:rPr>
        <w:t>Конференция Сторон, выступающая в качестве совещания Сторон Нагойского протокола</w:t>
      </w:r>
      <w:r w:rsidRPr="00436F4B">
        <w:rPr>
          <w:lang w:val="ru-RU"/>
        </w:rPr>
        <w:t xml:space="preserve"> </w:t>
      </w:r>
      <w:r w:rsidRPr="00436F4B">
        <w:rPr>
          <w:i/>
          <w:szCs w:val="22"/>
          <w:lang w:val="ru-RU"/>
        </w:rPr>
        <w:t>регулирования доступа к генетическим ресурсам и совместного использования выгод,</w:t>
      </w:r>
    </w:p>
    <w:p w14:paraId="00326C26" w14:textId="67F2C379" w:rsidR="0073388E" w:rsidRPr="00436F4B" w:rsidRDefault="0073388E" w:rsidP="00074F22">
      <w:pPr>
        <w:pStyle w:val="Para1"/>
        <w:numPr>
          <w:ilvl w:val="0"/>
          <w:numId w:val="21"/>
        </w:numPr>
        <w:pBdr>
          <w:top w:val="nil"/>
          <w:left w:val="nil"/>
          <w:bottom w:val="nil"/>
          <w:right w:val="nil"/>
          <w:between w:val="nil"/>
          <w:bar w:val="nil"/>
        </w:pBdr>
        <w:shd w:val="clear" w:color="auto" w:fill="FFFFFF" w:themeFill="background1"/>
        <w:ind w:left="0" w:firstLine="709"/>
        <w:rPr>
          <w:kern w:val="22"/>
          <w:szCs w:val="22"/>
          <w:lang w:val="ru-RU"/>
        </w:rPr>
      </w:pPr>
      <w:r w:rsidRPr="00436F4B">
        <w:rPr>
          <w:i/>
          <w:iCs/>
          <w:szCs w:val="22"/>
          <w:lang w:val="ru-RU"/>
        </w:rPr>
        <w:t xml:space="preserve">принимает к сведению </w:t>
      </w:r>
      <w:r w:rsidRPr="00436F4B">
        <w:rPr>
          <w:szCs w:val="22"/>
          <w:lang w:val="ru-RU"/>
        </w:rPr>
        <w:t>прогресс, достигнутый в</w:t>
      </w:r>
      <w:bookmarkStart w:id="0" w:name="_GoBack"/>
      <w:bookmarkEnd w:id="0"/>
      <w:r w:rsidRPr="00436F4B">
        <w:rPr>
          <w:szCs w:val="22"/>
          <w:lang w:val="ru-RU"/>
        </w:rPr>
        <w:t xml:space="preserve"> осуществлени</w:t>
      </w:r>
      <w:r w:rsidR="00C86216">
        <w:rPr>
          <w:szCs w:val="22"/>
          <w:lang w:val="ru-RU"/>
        </w:rPr>
        <w:t>и</w:t>
      </w:r>
      <w:r w:rsidRPr="00436F4B">
        <w:rPr>
          <w:szCs w:val="22"/>
          <w:lang w:val="ru-RU"/>
        </w:rPr>
        <w:t xml:space="preserve"> стратегии повышения осведомленности для Нагойского протокола регулирования доступа к генетическим ресурсам и совместного использования выгод</w:t>
      </w:r>
      <w:r w:rsidRPr="00436F4B">
        <w:rPr>
          <w:rStyle w:val="Appelnotedebasdep"/>
          <w:rFonts w:eastAsiaTheme="majorEastAsia"/>
          <w:kern w:val="22"/>
          <w:szCs w:val="22"/>
          <w:lang w:val="ru-RU"/>
        </w:rPr>
        <w:footnoteReference w:id="1"/>
      </w:r>
      <w:r w:rsidRPr="00436F4B">
        <w:rPr>
          <w:szCs w:val="22"/>
          <w:lang w:val="ru-RU"/>
        </w:rPr>
        <w:t>;</w:t>
      </w:r>
    </w:p>
    <w:p w14:paraId="296B95AB" w14:textId="688CB6D2" w:rsidR="0073388E" w:rsidRPr="00436F4B" w:rsidRDefault="0073388E" w:rsidP="00074F22">
      <w:pPr>
        <w:pStyle w:val="Para1"/>
        <w:numPr>
          <w:ilvl w:val="0"/>
          <w:numId w:val="21"/>
        </w:numPr>
        <w:pBdr>
          <w:top w:val="nil"/>
          <w:left w:val="nil"/>
          <w:bottom w:val="nil"/>
          <w:right w:val="nil"/>
          <w:between w:val="nil"/>
          <w:bar w:val="nil"/>
        </w:pBdr>
        <w:shd w:val="clear" w:color="auto" w:fill="FFFFFF" w:themeFill="background1"/>
        <w:ind w:left="0" w:firstLine="709"/>
        <w:rPr>
          <w:kern w:val="22"/>
          <w:szCs w:val="22"/>
          <w:lang w:val="ru-RU"/>
        </w:rPr>
      </w:pPr>
      <w:r w:rsidRPr="00436F4B">
        <w:rPr>
          <w:i/>
          <w:iCs/>
          <w:szCs w:val="22"/>
          <w:lang w:val="ru-RU"/>
        </w:rPr>
        <w:t>приветствует</w:t>
      </w:r>
      <w:r w:rsidRPr="00436F4B">
        <w:rPr>
          <w:szCs w:val="22"/>
          <w:lang w:val="ru-RU"/>
        </w:rPr>
        <w:t xml:space="preserve"> набор коммуникационных средств для повышения осведомленности по вопросам доступа к генетическим ресурсам и совместного использования выгод, разработанный Секретариатом в целях поддержки осуществления стратегии повышения осведомленности;</w:t>
      </w:r>
    </w:p>
    <w:p w14:paraId="1F598CE1" w14:textId="0711211E" w:rsidR="0073388E" w:rsidRPr="00436F4B" w:rsidRDefault="0030746C" w:rsidP="00074F22">
      <w:pPr>
        <w:pStyle w:val="Para1"/>
        <w:numPr>
          <w:ilvl w:val="0"/>
          <w:numId w:val="21"/>
        </w:numPr>
        <w:pBdr>
          <w:top w:val="nil"/>
          <w:left w:val="nil"/>
          <w:bottom w:val="nil"/>
          <w:right w:val="nil"/>
          <w:between w:val="nil"/>
          <w:bar w:val="nil"/>
        </w:pBdr>
        <w:shd w:val="clear" w:color="auto" w:fill="FFFFFF" w:themeFill="background1"/>
        <w:ind w:left="0" w:firstLine="709"/>
        <w:rPr>
          <w:kern w:val="22"/>
          <w:szCs w:val="22"/>
          <w:lang w:val="ru-RU"/>
        </w:rPr>
      </w:pPr>
      <w:r>
        <w:rPr>
          <w:i/>
          <w:iCs/>
          <w:szCs w:val="22"/>
          <w:lang w:val="ru-RU"/>
        </w:rPr>
        <w:t>призывает</w:t>
      </w:r>
      <w:r w:rsidR="0073388E" w:rsidRPr="00436F4B">
        <w:rPr>
          <w:szCs w:val="22"/>
          <w:lang w:val="ru-RU"/>
        </w:rPr>
        <w:t xml:space="preserve"> Сторон</w:t>
      </w:r>
      <w:r>
        <w:rPr>
          <w:szCs w:val="22"/>
          <w:lang w:val="ru-RU"/>
        </w:rPr>
        <w:t>ы</w:t>
      </w:r>
      <w:r w:rsidR="0073388E" w:rsidRPr="00436F4B">
        <w:rPr>
          <w:szCs w:val="22"/>
          <w:lang w:val="ru-RU"/>
        </w:rPr>
        <w:t>, стран</w:t>
      </w:r>
      <w:r>
        <w:rPr>
          <w:szCs w:val="22"/>
          <w:lang w:val="ru-RU"/>
        </w:rPr>
        <w:t>ы</w:t>
      </w:r>
      <w:r w:rsidR="0073388E" w:rsidRPr="00436F4B">
        <w:rPr>
          <w:szCs w:val="22"/>
          <w:lang w:val="ru-RU"/>
        </w:rPr>
        <w:t>, не являющи</w:t>
      </w:r>
      <w:r w:rsidR="002932B9">
        <w:rPr>
          <w:szCs w:val="22"/>
          <w:lang w:val="ru-RU"/>
        </w:rPr>
        <w:t>е</w:t>
      </w:r>
      <w:r w:rsidR="0073388E" w:rsidRPr="00436F4B">
        <w:rPr>
          <w:szCs w:val="22"/>
          <w:lang w:val="ru-RU"/>
        </w:rPr>
        <w:t>ся Сторонами, соответствующи</w:t>
      </w:r>
      <w:r>
        <w:rPr>
          <w:szCs w:val="22"/>
          <w:lang w:val="ru-RU"/>
        </w:rPr>
        <w:t>е</w:t>
      </w:r>
      <w:r w:rsidR="0073388E" w:rsidRPr="00436F4B">
        <w:rPr>
          <w:szCs w:val="22"/>
          <w:lang w:val="ru-RU"/>
        </w:rPr>
        <w:t xml:space="preserve"> организаци</w:t>
      </w:r>
      <w:r>
        <w:rPr>
          <w:szCs w:val="22"/>
          <w:lang w:val="ru-RU"/>
        </w:rPr>
        <w:t>и</w:t>
      </w:r>
      <w:r w:rsidR="0073388E" w:rsidRPr="00436F4B">
        <w:rPr>
          <w:szCs w:val="22"/>
          <w:lang w:val="ru-RU"/>
        </w:rPr>
        <w:t xml:space="preserve"> и други</w:t>
      </w:r>
      <w:r w:rsidR="00C20C42">
        <w:rPr>
          <w:szCs w:val="22"/>
          <w:lang w:val="ru-RU"/>
        </w:rPr>
        <w:t>х</w:t>
      </w:r>
      <w:r w:rsidR="0073388E" w:rsidRPr="00436F4B">
        <w:rPr>
          <w:szCs w:val="22"/>
          <w:lang w:val="ru-RU"/>
        </w:rPr>
        <w:t xml:space="preserve"> субъект</w:t>
      </w:r>
      <w:r w:rsidR="00C20C42">
        <w:rPr>
          <w:szCs w:val="22"/>
          <w:lang w:val="ru-RU"/>
        </w:rPr>
        <w:t>ов</w:t>
      </w:r>
      <w:r w:rsidR="0073388E" w:rsidRPr="00436F4B">
        <w:rPr>
          <w:szCs w:val="22"/>
          <w:lang w:val="ru-RU"/>
        </w:rPr>
        <w:t xml:space="preserve"> использовать разработанный Секретариатом набор коммуникационных средств для повышения осведомленности по вопросам доступа к генетическим ресурсам и совместного использования выгод в рамках их мероприятий по повышению осведомленности и наращиванию потенциала и предоставить Секретариату обратную связь относительно его использования;</w:t>
      </w:r>
    </w:p>
    <w:p w14:paraId="497E47BD" w14:textId="4E915F5C" w:rsidR="0073388E" w:rsidRPr="00436F4B" w:rsidRDefault="0030746C" w:rsidP="00074F22">
      <w:pPr>
        <w:pStyle w:val="Para1"/>
        <w:numPr>
          <w:ilvl w:val="0"/>
          <w:numId w:val="21"/>
        </w:numPr>
        <w:pBdr>
          <w:top w:val="nil"/>
          <w:left w:val="nil"/>
          <w:bottom w:val="nil"/>
          <w:right w:val="nil"/>
          <w:between w:val="nil"/>
          <w:bar w:val="nil"/>
        </w:pBdr>
        <w:shd w:val="clear" w:color="auto" w:fill="FFFFFF" w:themeFill="background1"/>
        <w:ind w:left="0" w:firstLine="709"/>
        <w:rPr>
          <w:kern w:val="22"/>
          <w:szCs w:val="22"/>
          <w:lang w:val="ru-RU"/>
        </w:rPr>
      </w:pPr>
      <w:r>
        <w:rPr>
          <w:i/>
          <w:iCs/>
          <w:szCs w:val="22"/>
          <w:lang w:val="ru-RU"/>
        </w:rPr>
        <w:t xml:space="preserve">призывает </w:t>
      </w:r>
      <w:r w:rsidR="0073388E" w:rsidRPr="00436F4B">
        <w:rPr>
          <w:i/>
          <w:iCs/>
          <w:szCs w:val="22"/>
          <w:lang w:val="ru-RU"/>
        </w:rPr>
        <w:t>также</w:t>
      </w:r>
      <w:r w:rsidR="0073388E" w:rsidRPr="00436F4B">
        <w:rPr>
          <w:szCs w:val="22"/>
          <w:lang w:val="ru-RU"/>
        </w:rPr>
        <w:t xml:space="preserve"> Сторон</w:t>
      </w:r>
      <w:r>
        <w:rPr>
          <w:szCs w:val="22"/>
          <w:lang w:val="ru-RU"/>
        </w:rPr>
        <w:t>ы</w:t>
      </w:r>
      <w:r w:rsidR="0073388E" w:rsidRPr="00436F4B">
        <w:rPr>
          <w:szCs w:val="22"/>
          <w:lang w:val="ru-RU"/>
        </w:rPr>
        <w:t>, стран</w:t>
      </w:r>
      <w:r>
        <w:rPr>
          <w:szCs w:val="22"/>
          <w:lang w:val="ru-RU"/>
        </w:rPr>
        <w:t>ы</w:t>
      </w:r>
      <w:r w:rsidR="0073388E" w:rsidRPr="00436F4B">
        <w:rPr>
          <w:szCs w:val="22"/>
          <w:lang w:val="ru-RU"/>
        </w:rPr>
        <w:t>, не являющи</w:t>
      </w:r>
      <w:r w:rsidR="000C6D4F">
        <w:rPr>
          <w:szCs w:val="22"/>
          <w:lang w:val="ru-RU"/>
        </w:rPr>
        <w:t>е</w:t>
      </w:r>
      <w:r w:rsidR="0073388E" w:rsidRPr="00436F4B">
        <w:rPr>
          <w:szCs w:val="22"/>
          <w:lang w:val="ru-RU"/>
        </w:rPr>
        <w:t>ся Сторонами, соответствующи</w:t>
      </w:r>
      <w:r>
        <w:rPr>
          <w:szCs w:val="22"/>
          <w:lang w:val="ru-RU"/>
        </w:rPr>
        <w:t>е</w:t>
      </w:r>
      <w:r w:rsidR="0073388E" w:rsidRPr="00436F4B">
        <w:rPr>
          <w:szCs w:val="22"/>
          <w:lang w:val="ru-RU"/>
        </w:rPr>
        <w:t xml:space="preserve"> организаци</w:t>
      </w:r>
      <w:r>
        <w:rPr>
          <w:szCs w:val="22"/>
          <w:lang w:val="ru-RU"/>
        </w:rPr>
        <w:t>и</w:t>
      </w:r>
      <w:r w:rsidR="0073388E" w:rsidRPr="00436F4B">
        <w:rPr>
          <w:szCs w:val="22"/>
          <w:lang w:val="ru-RU"/>
        </w:rPr>
        <w:t xml:space="preserve"> и други</w:t>
      </w:r>
      <w:r w:rsidR="00434307">
        <w:rPr>
          <w:szCs w:val="22"/>
          <w:lang w:val="ru-RU"/>
        </w:rPr>
        <w:t>х</w:t>
      </w:r>
      <w:r w:rsidR="0073388E" w:rsidRPr="00436F4B">
        <w:rPr>
          <w:szCs w:val="22"/>
          <w:lang w:val="ru-RU"/>
        </w:rPr>
        <w:t xml:space="preserve"> субъект</w:t>
      </w:r>
      <w:r w:rsidR="00434307">
        <w:rPr>
          <w:szCs w:val="22"/>
          <w:lang w:val="ru-RU"/>
        </w:rPr>
        <w:t>ов</w:t>
      </w:r>
      <w:r w:rsidR="0073388E" w:rsidRPr="00436F4B">
        <w:rPr>
          <w:szCs w:val="22"/>
          <w:lang w:val="ru-RU"/>
        </w:rPr>
        <w:t xml:space="preserve"> продолжать осуществление информационно-разъяснительных мероприятий и публиковать информацию о стратегиях и ресурсах в области повышения осведомленности в Механизме посредничества для регулирования доступа к генетическим ресурсам и совместного использования выгод;</w:t>
      </w:r>
    </w:p>
    <w:p w14:paraId="6230208C" w14:textId="3F23FF19" w:rsidR="0030746C" w:rsidRDefault="0073388E" w:rsidP="00074F22">
      <w:pPr>
        <w:pStyle w:val="Para1"/>
        <w:numPr>
          <w:ilvl w:val="0"/>
          <w:numId w:val="21"/>
        </w:numPr>
        <w:pBdr>
          <w:top w:val="nil"/>
          <w:left w:val="nil"/>
          <w:bottom w:val="nil"/>
          <w:right w:val="nil"/>
          <w:between w:val="nil"/>
          <w:bar w:val="nil"/>
        </w:pBdr>
        <w:shd w:val="clear" w:color="auto" w:fill="FFFFFF" w:themeFill="background1"/>
        <w:ind w:left="0" w:firstLine="709"/>
        <w:rPr>
          <w:szCs w:val="22"/>
          <w:lang w:val="ru-RU"/>
        </w:rPr>
      </w:pPr>
      <w:r w:rsidRPr="0030746C">
        <w:rPr>
          <w:i/>
          <w:iCs/>
          <w:szCs w:val="22"/>
          <w:lang w:val="ru-RU"/>
        </w:rPr>
        <w:lastRenderedPageBreak/>
        <w:t>поручает</w:t>
      </w:r>
      <w:r w:rsidRPr="0030746C">
        <w:rPr>
          <w:szCs w:val="22"/>
          <w:lang w:val="ru-RU"/>
        </w:rPr>
        <w:t xml:space="preserve"> Исполнительному секретарю продолжать оказывать поддержку в осуществлении стратегии повышения осведомленно</w:t>
      </w:r>
      <w:r w:rsidR="0030746C" w:rsidRPr="0030746C">
        <w:rPr>
          <w:szCs w:val="22"/>
          <w:lang w:val="ru-RU"/>
        </w:rPr>
        <w:t>ст</w:t>
      </w:r>
      <w:r w:rsidR="00DC1270">
        <w:rPr>
          <w:szCs w:val="22"/>
          <w:lang w:val="ru-RU"/>
        </w:rPr>
        <w:t>и</w:t>
      </w:r>
      <w:r w:rsidR="00DC1270">
        <w:rPr>
          <w:rStyle w:val="Appelnotedebasdep"/>
          <w:kern w:val="22"/>
          <w:szCs w:val="22"/>
        </w:rPr>
        <w:footnoteReference w:id="2"/>
      </w:r>
      <w:r w:rsidR="00BA2274">
        <w:rPr>
          <w:szCs w:val="22"/>
          <w:lang w:val="ru-RU"/>
        </w:rPr>
        <w:t xml:space="preserve"> </w:t>
      </w:r>
      <w:r w:rsidRPr="0030746C">
        <w:rPr>
          <w:szCs w:val="22"/>
          <w:lang w:val="ru-RU"/>
        </w:rPr>
        <w:t xml:space="preserve">посредством его деятельности по наращиванию потенциала и благодаря поощрению использования набора коммуникационных средств для повышения осведомленности по вопросам доступа к генетическим ресурсам и совместного использования выгод в рамках проектов по развитию потенциала и повышению осведомленности в области доступа к генетическим ресурсам и совместного использования выгод, осуществляемых Сторонами, странами, не являющимися Сторонами, и соответствующими организациями; </w:t>
      </w:r>
    </w:p>
    <w:p w14:paraId="14E2D8CA" w14:textId="3D9A4404" w:rsidR="00687F77" w:rsidRPr="0030746C" w:rsidRDefault="0073388E" w:rsidP="00074F22">
      <w:pPr>
        <w:pStyle w:val="Para1"/>
        <w:numPr>
          <w:ilvl w:val="0"/>
          <w:numId w:val="21"/>
        </w:numPr>
        <w:pBdr>
          <w:top w:val="nil"/>
          <w:left w:val="nil"/>
          <w:bottom w:val="nil"/>
          <w:right w:val="nil"/>
          <w:between w:val="nil"/>
          <w:bar w:val="nil"/>
        </w:pBdr>
        <w:shd w:val="clear" w:color="auto" w:fill="FFFFFF" w:themeFill="background1"/>
        <w:ind w:left="0" w:firstLine="709"/>
        <w:rPr>
          <w:kern w:val="22"/>
          <w:szCs w:val="22"/>
          <w:lang w:val="ru-RU"/>
        </w:rPr>
      </w:pPr>
      <w:r w:rsidRPr="0030746C">
        <w:rPr>
          <w:i/>
          <w:iCs/>
          <w:szCs w:val="22"/>
          <w:lang w:val="ru-RU"/>
        </w:rPr>
        <w:t>поручает</w:t>
      </w:r>
      <w:r w:rsidRPr="0030746C">
        <w:rPr>
          <w:szCs w:val="22"/>
          <w:lang w:val="ru-RU"/>
        </w:rPr>
        <w:t xml:space="preserve"> </w:t>
      </w:r>
      <w:r w:rsidRPr="0030746C">
        <w:rPr>
          <w:i/>
          <w:iCs/>
          <w:szCs w:val="22"/>
          <w:lang w:val="ru-RU"/>
        </w:rPr>
        <w:t>также</w:t>
      </w:r>
      <w:r w:rsidRPr="0030746C">
        <w:rPr>
          <w:szCs w:val="22"/>
          <w:lang w:val="ru-RU"/>
        </w:rPr>
        <w:t xml:space="preserve"> Исполнительному секретарю запросить обратную связь Сторон, стран, не являющихся Сторонами, и других соответствующих субъектов относительно набора коммуникационных средств для повышения осведомленности по вопросам доступа к генетическим ресурсам и совместного использования выгод и представить обновленную информацию о ходе осуществления стратегии повышения осведомленности на рассмотрение Конференции Сторон, выступающей в качестве совещания Сторон Нагойского протокола, на ее четвертом совещании</w:t>
      </w:r>
      <w:r w:rsidR="00687F77" w:rsidRPr="0030746C">
        <w:rPr>
          <w:kern w:val="22"/>
          <w:szCs w:val="22"/>
          <w:lang w:val="ru-RU"/>
        </w:rPr>
        <w:t>.</w:t>
      </w:r>
    </w:p>
    <w:p w14:paraId="11A1EAB9" w14:textId="49CC244C" w:rsidR="00A41B97" w:rsidRDefault="00A41B97" w:rsidP="004873D7">
      <w:pPr>
        <w:suppressLineNumbers/>
        <w:suppressAutoHyphens/>
        <w:kinsoku w:val="0"/>
        <w:overflowPunct w:val="0"/>
        <w:autoSpaceDE w:val="0"/>
        <w:autoSpaceDN w:val="0"/>
        <w:snapToGrid w:val="0"/>
        <w:spacing w:before="120" w:after="120"/>
        <w:rPr>
          <w:snapToGrid w:val="0"/>
          <w:kern w:val="22"/>
          <w:szCs w:val="22"/>
          <w:lang w:val="ru-RU" w:eastAsia="en-CA"/>
        </w:rPr>
      </w:pPr>
    </w:p>
    <w:p w14:paraId="37994E01" w14:textId="77777777" w:rsidR="00F8677F" w:rsidRPr="0073388E" w:rsidRDefault="00F8677F" w:rsidP="004873D7">
      <w:pPr>
        <w:suppressLineNumbers/>
        <w:suppressAutoHyphens/>
        <w:kinsoku w:val="0"/>
        <w:overflowPunct w:val="0"/>
        <w:autoSpaceDE w:val="0"/>
        <w:autoSpaceDN w:val="0"/>
        <w:snapToGrid w:val="0"/>
        <w:spacing w:before="120" w:after="120"/>
        <w:rPr>
          <w:snapToGrid w:val="0"/>
          <w:kern w:val="22"/>
          <w:szCs w:val="22"/>
          <w:lang w:val="ru-RU" w:eastAsia="en-CA"/>
        </w:rPr>
      </w:pPr>
    </w:p>
    <w:p w14:paraId="48D24824" w14:textId="0066EBCE" w:rsidR="00B3369F" w:rsidRPr="00C9161D" w:rsidRDefault="00A41B97" w:rsidP="00A41B97">
      <w:pPr>
        <w:keepNext/>
        <w:spacing w:after="120"/>
        <w:ind w:left="4320"/>
        <w:jc w:val="left"/>
      </w:pPr>
      <w:r>
        <w:t>____________</w:t>
      </w:r>
    </w:p>
    <w:sectPr w:rsidR="00B3369F" w:rsidRPr="00C9161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A9E9" w14:textId="77777777" w:rsidR="00A059D4" w:rsidRDefault="00A059D4" w:rsidP="00CF1848">
      <w:r>
        <w:separator/>
      </w:r>
    </w:p>
  </w:endnote>
  <w:endnote w:type="continuationSeparator" w:id="0">
    <w:p w14:paraId="72B3446B" w14:textId="77777777" w:rsidR="00A059D4" w:rsidRDefault="00A059D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8162" w14:textId="77777777" w:rsidR="00A059D4" w:rsidRDefault="00A059D4" w:rsidP="00CF1848">
      <w:r>
        <w:separator/>
      </w:r>
    </w:p>
  </w:footnote>
  <w:footnote w:type="continuationSeparator" w:id="0">
    <w:p w14:paraId="17F520A1" w14:textId="77777777" w:rsidR="00A059D4" w:rsidRDefault="00A059D4" w:rsidP="00CF1848">
      <w:r>
        <w:continuationSeparator/>
      </w:r>
    </w:p>
  </w:footnote>
  <w:footnote w:id="1">
    <w:p w14:paraId="4AB2C918" w14:textId="0925130C" w:rsidR="0073388E" w:rsidRPr="00456D6D" w:rsidRDefault="0073388E" w:rsidP="0073388E">
      <w:pPr>
        <w:pStyle w:val="Notedebasdepage"/>
        <w:ind w:firstLine="0"/>
        <w:jc w:val="left"/>
        <w:rPr>
          <w:kern w:val="18"/>
          <w:szCs w:val="18"/>
        </w:rPr>
      </w:pPr>
      <w:r w:rsidRPr="002A7F04">
        <w:rPr>
          <w:rStyle w:val="Appelnotedebasdep"/>
          <w:rFonts w:eastAsiaTheme="majorEastAsia"/>
          <w:kern w:val="18"/>
          <w:szCs w:val="18"/>
        </w:rPr>
        <w:footnoteRef/>
      </w:r>
      <w:r w:rsidRPr="002A7F04">
        <w:rPr>
          <w:vertAlign w:val="superscript"/>
        </w:rPr>
        <w:t xml:space="preserve"> </w:t>
      </w:r>
      <w:r w:rsidR="00DC1270">
        <w:rPr>
          <w:kern w:val="18"/>
          <w:szCs w:val="18"/>
          <w:lang w:val="en-US"/>
        </w:rPr>
        <w:t>CBD/NP-MOP/3/6.</w:t>
      </w:r>
    </w:p>
  </w:footnote>
  <w:footnote w:id="2">
    <w:p w14:paraId="62862C01" w14:textId="1756C3A3" w:rsidR="00DC1270" w:rsidRPr="00DC1270" w:rsidRDefault="00DC1270" w:rsidP="00DC1270">
      <w:pPr>
        <w:pStyle w:val="Notedebasdepage"/>
        <w:ind w:firstLine="0"/>
        <w:rPr>
          <w:lang w:val="ru-RU"/>
        </w:rPr>
      </w:pPr>
      <w:r>
        <w:rPr>
          <w:rStyle w:val="Appelnotedebasdep"/>
        </w:rPr>
        <w:footnoteRef/>
      </w:r>
      <w:r w:rsidRPr="00DC1270">
        <w:rPr>
          <w:lang w:val="ru-RU"/>
        </w:rPr>
        <w:t xml:space="preserve"> </w:t>
      </w:r>
      <w:r>
        <w:rPr>
          <w:lang w:val="ru-RU"/>
        </w:rPr>
        <w:t xml:space="preserve">Как </w:t>
      </w:r>
      <w:r w:rsidR="00F41B94">
        <w:rPr>
          <w:lang w:val="ru-RU"/>
        </w:rPr>
        <w:t>указано</w:t>
      </w:r>
      <w:r>
        <w:rPr>
          <w:lang w:val="ru-RU"/>
        </w:rPr>
        <w:t xml:space="preserve"> в решении</w:t>
      </w:r>
      <w:r w:rsidRPr="00DC1270">
        <w:rPr>
          <w:lang w:val="ru-RU"/>
        </w:rPr>
        <w:t xml:space="preserve"> </w:t>
      </w:r>
      <w:r>
        <w:rPr>
          <w:lang w:val="en-US"/>
        </w:rPr>
        <w:t>NP</w:t>
      </w:r>
      <w:r w:rsidRPr="00DC1270">
        <w:rPr>
          <w:lang w:val="ru-RU"/>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0EEEF588" w:rsidR="00534681" w:rsidRPr="0030746C" w:rsidRDefault="00E87279" w:rsidP="00534681">
        <w:pPr>
          <w:pStyle w:val="En-tte"/>
          <w:rPr>
            <w:lang w:val="ru-RU"/>
          </w:rPr>
        </w:pPr>
        <w:r>
          <w:rPr>
            <w:lang w:val="ru-RU"/>
          </w:rPr>
          <w:t>CBD/NP/MOP/DEC/3/6</w:t>
        </w:r>
      </w:p>
    </w:sdtContent>
  </w:sdt>
  <w:p w14:paraId="57597240" w14:textId="4D907177" w:rsidR="00534681" w:rsidRPr="0030746C" w:rsidRDefault="0030746C" w:rsidP="00534681">
    <w:pPr>
      <w:pStyle w:val="En-tte"/>
      <w:rPr>
        <w:lang w:val="ru-RU"/>
      </w:rPr>
    </w:pPr>
    <w:r>
      <w:rPr>
        <w:lang w:val="ru-RU"/>
      </w:rPr>
      <w:t>Страница</w:t>
    </w:r>
    <w:r w:rsidR="00534681" w:rsidRPr="0030746C">
      <w:rPr>
        <w:lang w:val="ru-RU"/>
      </w:rPr>
      <w:t xml:space="preserve"> </w:t>
    </w:r>
    <w:r w:rsidR="00534681">
      <w:fldChar w:fldCharType="begin"/>
    </w:r>
    <w:r w:rsidR="00534681" w:rsidRPr="0030746C">
      <w:rPr>
        <w:lang w:val="ru-RU"/>
      </w:rPr>
      <w:instrText xml:space="preserve"> </w:instrText>
    </w:r>
    <w:r w:rsidR="00534681" w:rsidRPr="00000614">
      <w:rPr>
        <w:lang w:val="fr-FR"/>
      </w:rPr>
      <w:instrText>PAGE</w:instrText>
    </w:r>
    <w:r w:rsidR="00534681" w:rsidRPr="0030746C">
      <w:rPr>
        <w:lang w:val="ru-RU"/>
      </w:rPr>
      <w:instrText xml:space="preserve">   \* </w:instrText>
    </w:r>
    <w:r w:rsidR="00534681" w:rsidRPr="00000614">
      <w:rPr>
        <w:lang w:val="fr-FR"/>
      </w:rPr>
      <w:instrText>MERGEFORMAT</w:instrText>
    </w:r>
    <w:r w:rsidR="00534681" w:rsidRPr="0030746C">
      <w:rPr>
        <w:lang w:val="ru-RU"/>
      </w:rPr>
      <w:instrText xml:space="preserve"> </w:instrText>
    </w:r>
    <w:r w:rsidR="00534681">
      <w:fldChar w:fldCharType="separate"/>
    </w:r>
    <w:r w:rsidR="009C2E0B" w:rsidRPr="009C2E0B">
      <w:rPr>
        <w:noProof/>
        <w:lang w:val="ru-RU"/>
      </w:rPr>
      <w:t>2</w:t>
    </w:r>
    <w:r w:rsidR="00534681">
      <w:rPr>
        <w:noProof/>
      </w:rPr>
      <w:fldChar w:fldCharType="end"/>
    </w:r>
  </w:p>
  <w:p w14:paraId="1D80EB20" w14:textId="77777777" w:rsidR="00534681" w:rsidRPr="0030746C" w:rsidRDefault="00534681">
    <w:pPr>
      <w:pStyle w:val="En-tte"/>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0D7F7AF" w:rsidR="009505C9" w:rsidRPr="00E91DCF" w:rsidRDefault="00E87279" w:rsidP="009505C9">
        <w:pPr>
          <w:pStyle w:val="En-tte"/>
          <w:jc w:val="right"/>
          <w:rPr>
            <w:lang w:val="en-CA"/>
          </w:rPr>
        </w:pPr>
        <w:r>
          <w:rPr>
            <w:lang w:val="en-CA"/>
          </w:rPr>
          <w:t>CBD/NP/MOP/DEC/3/6</w:t>
        </w:r>
      </w:p>
    </w:sdtContent>
  </w:sdt>
  <w:p w14:paraId="7E9B8683" w14:textId="77777777" w:rsidR="009505C9" w:rsidRPr="00000614" w:rsidRDefault="009505C9"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477D8"/>
    <w:multiLevelType w:val="hybridMultilevel"/>
    <w:tmpl w:val="E55C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23427DB"/>
    <w:multiLevelType w:val="hybridMultilevel"/>
    <w:tmpl w:val="93162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D7C1C"/>
    <w:multiLevelType w:val="hybridMultilevel"/>
    <w:tmpl w:val="42925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2"/>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num>
  <w:num w:numId="15">
    <w:abstractNumId w:val="10"/>
  </w:num>
  <w:num w:numId="16">
    <w:abstractNumId w:val="1"/>
  </w:num>
  <w:num w:numId="17">
    <w:abstractNumId w:val="13"/>
  </w:num>
  <w:num w:numId="18">
    <w:abstractNumId w:val="14"/>
  </w:num>
  <w:num w:numId="19">
    <w:abstractNumId w:val="6"/>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21572"/>
    <w:rsid w:val="00074F22"/>
    <w:rsid w:val="000A6AE7"/>
    <w:rsid w:val="000C6D4F"/>
    <w:rsid w:val="000E673A"/>
    <w:rsid w:val="000F74F5"/>
    <w:rsid w:val="00105372"/>
    <w:rsid w:val="00131124"/>
    <w:rsid w:val="00131E7A"/>
    <w:rsid w:val="00143200"/>
    <w:rsid w:val="00172AF6"/>
    <w:rsid w:val="00176CEE"/>
    <w:rsid w:val="001956B2"/>
    <w:rsid w:val="002932B9"/>
    <w:rsid w:val="002E6F3F"/>
    <w:rsid w:val="0030746C"/>
    <w:rsid w:val="00372F74"/>
    <w:rsid w:val="003F7224"/>
    <w:rsid w:val="00405146"/>
    <w:rsid w:val="0042412C"/>
    <w:rsid w:val="00427D21"/>
    <w:rsid w:val="00434307"/>
    <w:rsid w:val="004433C2"/>
    <w:rsid w:val="004644C2"/>
    <w:rsid w:val="00467F9C"/>
    <w:rsid w:val="004873D7"/>
    <w:rsid w:val="004D7B66"/>
    <w:rsid w:val="005345E1"/>
    <w:rsid w:val="00534681"/>
    <w:rsid w:val="005654DB"/>
    <w:rsid w:val="005903FE"/>
    <w:rsid w:val="005E2AC2"/>
    <w:rsid w:val="005F346C"/>
    <w:rsid w:val="006122BA"/>
    <w:rsid w:val="0061445E"/>
    <w:rsid w:val="00687F77"/>
    <w:rsid w:val="006B2290"/>
    <w:rsid w:val="006D52E4"/>
    <w:rsid w:val="006F1189"/>
    <w:rsid w:val="006F7ECB"/>
    <w:rsid w:val="007004EF"/>
    <w:rsid w:val="00717D88"/>
    <w:rsid w:val="0073388E"/>
    <w:rsid w:val="007648AF"/>
    <w:rsid w:val="007818E1"/>
    <w:rsid w:val="007942D3"/>
    <w:rsid w:val="007B6C09"/>
    <w:rsid w:val="007E09DA"/>
    <w:rsid w:val="00811D76"/>
    <w:rsid w:val="008178B6"/>
    <w:rsid w:val="0085653F"/>
    <w:rsid w:val="00865B74"/>
    <w:rsid w:val="00930BA1"/>
    <w:rsid w:val="0093169E"/>
    <w:rsid w:val="009505C9"/>
    <w:rsid w:val="00986510"/>
    <w:rsid w:val="009B0F53"/>
    <w:rsid w:val="009C200D"/>
    <w:rsid w:val="009C2E0B"/>
    <w:rsid w:val="009F2467"/>
    <w:rsid w:val="00A059D4"/>
    <w:rsid w:val="00A41B97"/>
    <w:rsid w:val="00A93F9A"/>
    <w:rsid w:val="00AF51C1"/>
    <w:rsid w:val="00B104BC"/>
    <w:rsid w:val="00B26847"/>
    <w:rsid w:val="00B3369F"/>
    <w:rsid w:val="00BA2274"/>
    <w:rsid w:val="00BA55BC"/>
    <w:rsid w:val="00BE502E"/>
    <w:rsid w:val="00C12445"/>
    <w:rsid w:val="00C20C42"/>
    <w:rsid w:val="00C22B97"/>
    <w:rsid w:val="00C35537"/>
    <w:rsid w:val="00C6482C"/>
    <w:rsid w:val="00C852AD"/>
    <w:rsid w:val="00C86216"/>
    <w:rsid w:val="00C9161D"/>
    <w:rsid w:val="00CF0565"/>
    <w:rsid w:val="00CF1848"/>
    <w:rsid w:val="00D05238"/>
    <w:rsid w:val="00D12044"/>
    <w:rsid w:val="00D76A18"/>
    <w:rsid w:val="00D96227"/>
    <w:rsid w:val="00DC1270"/>
    <w:rsid w:val="00DD118C"/>
    <w:rsid w:val="00DF2F44"/>
    <w:rsid w:val="00E229A8"/>
    <w:rsid w:val="00E66235"/>
    <w:rsid w:val="00E83C24"/>
    <w:rsid w:val="00E87279"/>
    <w:rsid w:val="00E91DCF"/>
    <w:rsid w:val="00E9318D"/>
    <w:rsid w:val="00EC5BE8"/>
    <w:rsid w:val="00F27A1E"/>
    <w:rsid w:val="00F41B94"/>
    <w:rsid w:val="00F41D9C"/>
    <w:rsid w:val="00F8677F"/>
    <w:rsid w:val="00F94774"/>
    <w:rsid w:val="00FB7CBF"/>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Objetducommentaire">
    <w:name w:val="annotation subject"/>
    <w:basedOn w:val="Commentaire"/>
    <w:next w:val="Commentaire"/>
    <w:link w:val="ObjetducommentaireCar"/>
    <w:uiPriority w:val="99"/>
    <w:semiHidden/>
    <w:unhideWhenUsed/>
    <w:rsid w:val="009B0F53"/>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B0F53"/>
    <w:rPr>
      <w:rFonts w:ascii="Times New Roman" w:eastAsia="Times New Roman" w:hAnsi="Times New Roman" w:cs="Times New Roman"/>
      <w:b/>
      <w:bCs/>
      <w:sz w:val="20"/>
      <w:szCs w:val="20"/>
      <w:lang w:val="en-GB"/>
    </w:rPr>
  </w:style>
  <w:style w:type="paragraph" w:styleId="Rvision">
    <w:name w:val="Revision"/>
    <w:hidden/>
    <w:uiPriority w:val="99"/>
    <w:semiHidden/>
    <w:rsid w:val="00DF2F4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7F4EB22502174393AF4FBFA94E6B2540"/>
        <w:category>
          <w:name w:val="Général"/>
          <w:gallery w:val="placeholder"/>
        </w:category>
        <w:types>
          <w:type w:val="bbPlcHdr"/>
        </w:types>
        <w:behaviors>
          <w:behavior w:val="content"/>
        </w:behaviors>
        <w:guid w:val="{DA716861-4E69-4AD7-A88F-6309047E8F88}"/>
      </w:docPartPr>
      <w:docPartBody>
        <w:p w:rsidR="00000000" w:rsidRDefault="00FA15DC" w:rsidP="00FA15DC">
          <w:pPr>
            <w:pStyle w:val="7F4EB22502174393AF4FBFA94E6B2540"/>
          </w:pPr>
          <w:r w:rsidRPr="007E02EB">
            <w:rPr>
              <w:rStyle w:val="Textedelespacerserv"/>
            </w:rPr>
            <w:t>[Status]</w:t>
          </w:r>
        </w:p>
      </w:docPartBody>
    </w:docPart>
    <w:docPart>
      <w:docPartPr>
        <w:name w:val="DA2CBD6800B640BD84FB1DC96900F73E"/>
        <w:category>
          <w:name w:val="Général"/>
          <w:gallery w:val="placeholder"/>
        </w:category>
        <w:types>
          <w:type w:val="bbPlcHdr"/>
        </w:types>
        <w:behaviors>
          <w:behavior w:val="content"/>
        </w:behaviors>
        <w:guid w:val="{EF01ECC3-B55F-4848-9DEE-546BD3EE05B5}"/>
      </w:docPartPr>
      <w:docPartBody>
        <w:p w:rsidR="00000000" w:rsidRDefault="00FA15DC" w:rsidP="00FA15DC">
          <w:pPr>
            <w:pStyle w:val="DA2CBD6800B640BD84FB1DC96900F73E"/>
          </w:pPr>
          <w:r w:rsidRPr="007E02EB">
            <w:rPr>
              <w:rStyle w:val="Textedelespacerserv"/>
            </w:rPr>
            <w:t>[Subject]</w:t>
          </w:r>
        </w:p>
      </w:docPartBody>
    </w:docPart>
    <w:docPart>
      <w:docPartPr>
        <w:name w:val="6E34AA4105C54DE4A3751D327F259C6D"/>
        <w:category>
          <w:name w:val="Général"/>
          <w:gallery w:val="placeholder"/>
        </w:category>
        <w:types>
          <w:type w:val="bbPlcHdr"/>
        </w:types>
        <w:behaviors>
          <w:behavior w:val="content"/>
        </w:behaviors>
        <w:guid w:val="{A2A0E2E0-2878-44FC-9C8C-25C2E42F70BD}"/>
      </w:docPartPr>
      <w:docPartBody>
        <w:p w:rsidR="00000000" w:rsidRDefault="00FA15DC" w:rsidP="00FA15DC">
          <w:pPr>
            <w:pStyle w:val="6E34AA4105C54DE4A3751D327F259C6D"/>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E0E90"/>
    <w:rsid w:val="00261E9A"/>
    <w:rsid w:val="00422FCC"/>
    <w:rsid w:val="00450D4E"/>
    <w:rsid w:val="00495AA8"/>
    <w:rsid w:val="00500A2B"/>
    <w:rsid w:val="005461E8"/>
    <w:rsid w:val="0058288D"/>
    <w:rsid w:val="005A5752"/>
    <w:rsid w:val="005B0978"/>
    <w:rsid w:val="006801B3"/>
    <w:rsid w:val="006B4231"/>
    <w:rsid w:val="00720F63"/>
    <w:rsid w:val="007F1B76"/>
    <w:rsid w:val="00810A55"/>
    <w:rsid w:val="008C6619"/>
    <w:rsid w:val="008D420E"/>
    <w:rsid w:val="0098642F"/>
    <w:rsid w:val="00A134A0"/>
    <w:rsid w:val="00B92240"/>
    <w:rsid w:val="00BB7684"/>
    <w:rsid w:val="00CE6602"/>
    <w:rsid w:val="00E82DE3"/>
    <w:rsid w:val="00F12568"/>
    <w:rsid w:val="00FA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A15DC"/>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05D608CEBD26402181FA3BB6B1F35FB4">
    <w:name w:val="05D608CEBD26402181FA3BB6B1F35FB4"/>
    <w:rsid w:val="00E82DE3"/>
    <w:pPr>
      <w:spacing w:after="160" w:line="259" w:lineRule="auto"/>
    </w:pPr>
  </w:style>
  <w:style w:type="paragraph" w:customStyle="1" w:styleId="6216D14D015D8E49BB02B66BD8AA1D94">
    <w:name w:val="6216D14D015D8E49BB02B66BD8AA1D94"/>
    <w:rsid w:val="00A134A0"/>
    <w:pPr>
      <w:spacing w:after="0" w:line="240" w:lineRule="auto"/>
    </w:pPr>
    <w:rPr>
      <w:sz w:val="24"/>
      <w:szCs w:val="24"/>
      <w:lang w:val="en-CA"/>
    </w:rPr>
  </w:style>
  <w:style w:type="paragraph" w:customStyle="1" w:styleId="CFF4F28558B4054DA09B51261A09E9C9">
    <w:name w:val="CFF4F28558B4054DA09B51261A09E9C9"/>
    <w:rsid w:val="00A134A0"/>
    <w:pPr>
      <w:spacing w:after="0" w:line="240" w:lineRule="auto"/>
    </w:pPr>
    <w:rPr>
      <w:sz w:val="24"/>
      <w:szCs w:val="24"/>
      <w:lang w:val="en-CA"/>
    </w:rPr>
  </w:style>
  <w:style w:type="paragraph" w:customStyle="1" w:styleId="992C3793358AE749922BCD46EE488E4D">
    <w:name w:val="992C3793358AE749922BCD46EE488E4D"/>
    <w:rsid w:val="00A134A0"/>
    <w:pPr>
      <w:spacing w:after="0" w:line="240" w:lineRule="auto"/>
    </w:pPr>
    <w:rPr>
      <w:sz w:val="24"/>
      <w:szCs w:val="24"/>
      <w:lang w:val="en-CA"/>
    </w:rPr>
  </w:style>
  <w:style w:type="paragraph" w:customStyle="1" w:styleId="197A9AA66BD0A340AAE2C76EA45A9517">
    <w:name w:val="197A9AA66BD0A340AAE2C76EA45A9517"/>
    <w:rsid w:val="00A134A0"/>
    <w:pPr>
      <w:spacing w:after="0" w:line="240" w:lineRule="auto"/>
    </w:pPr>
    <w:rPr>
      <w:sz w:val="24"/>
      <w:szCs w:val="24"/>
      <w:lang w:val="en-CA"/>
    </w:rPr>
  </w:style>
  <w:style w:type="paragraph" w:customStyle="1" w:styleId="B54517223A6B4331AEBA188018B17A56">
    <w:name w:val="B54517223A6B4331AEBA188018B17A56"/>
    <w:rsid w:val="005B0978"/>
    <w:pPr>
      <w:spacing w:after="160" w:line="259" w:lineRule="auto"/>
    </w:pPr>
  </w:style>
  <w:style w:type="paragraph" w:customStyle="1" w:styleId="7F4EB22502174393AF4FBFA94E6B2540">
    <w:name w:val="7F4EB22502174393AF4FBFA94E6B2540"/>
    <w:rsid w:val="00FA15DC"/>
    <w:pPr>
      <w:spacing w:after="160" w:line="259" w:lineRule="auto"/>
    </w:pPr>
    <w:rPr>
      <w:lang w:val="fr-FR" w:eastAsia="fr-FR"/>
    </w:rPr>
  </w:style>
  <w:style w:type="paragraph" w:customStyle="1" w:styleId="DA2CBD6800B640BD84FB1DC96900F73E">
    <w:name w:val="DA2CBD6800B640BD84FB1DC96900F73E"/>
    <w:rsid w:val="00FA15DC"/>
    <w:pPr>
      <w:spacing w:after="160" w:line="259" w:lineRule="auto"/>
    </w:pPr>
    <w:rPr>
      <w:lang w:val="fr-FR" w:eastAsia="fr-FR"/>
    </w:rPr>
  </w:style>
  <w:style w:type="paragraph" w:customStyle="1" w:styleId="CEE79B41740A4464AA4123D7D767AD38">
    <w:name w:val="CEE79B41740A4464AA4123D7D767AD38"/>
    <w:rsid w:val="00FA15DC"/>
    <w:pPr>
      <w:spacing w:after="160" w:line="259" w:lineRule="auto"/>
    </w:pPr>
    <w:rPr>
      <w:lang w:val="fr-FR" w:eastAsia="fr-FR"/>
    </w:rPr>
  </w:style>
  <w:style w:type="paragraph" w:customStyle="1" w:styleId="824D0B65E172431E859B3DD9195F9A4A">
    <w:name w:val="824D0B65E172431E859B3DD9195F9A4A"/>
    <w:rsid w:val="00FA15DC"/>
    <w:pPr>
      <w:spacing w:after="160" w:line="259" w:lineRule="auto"/>
    </w:pPr>
    <w:rPr>
      <w:lang w:val="fr-FR" w:eastAsia="fr-FR"/>
    </w:rPr>
  </w:style>
  <w:style w:type="paragraph" w:customStyle="1" w:styleId="6E34AA4105C54DE4A3751D327F259C6D">
    <w:name w:val="6E34AA4105C54DE4A3751D327F259C6D"/>
    <w:rsid w:val="00FA15DC"/>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D96F40-12CF-4DDD-9023-8EFF282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2734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МЕРЫ ПО ПОВЫШЕНИЮ ОСВЕДОМЛЕННОСТИ О ВАЖНОМ ЗНАЧЕНИИ ГЕНЕТИЧЕСКИХ РЕСУРСОВ И СВЯЗАННЫХ С НИМИ ТРАДИЦИОННЫХ ЗНАНИЙ (СТАТЬЯ 21)</vt:lpstr>
      <vt:lpstr>MEASURES TO RAISE AWARENESS OF THE IMPORTANCE OF GENETIC RESOURCES AND ASSOCIATED TRADITIONAL KNOWLEDGE (ARTICLE 21)</vt:lpstr>
    </vt:vector>
  </TitlesOfParts>
  <Company>SCBD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по повышению осведомленности о важном значении генетических ресурсов и связанных с ними традиционных знаний (статья 21)</dc:title>
  <dc:subject>CBD/NP/MOP/DEC/3/6</dc:subject>
  <dc:creator>SCBD</dc:creator>
  <cp:lastModifiedBy>L A</cp:lastModifiedBy>
  <cp:revision>6</cp:revision>
  <cp:lastPrinted>2018-11-20T19:19:00Z</cp:lastPrinted>
  <dcterms:created xsi:type="dcterms:W3CDTF">2019-02-11T14:56:00Z</dcterms:created>
  <dcterms:modified xsi:type="dcterms:W3CDTF">2019-02-11T14:59:00Z</dcterms:modified>
  <cp:contentStatus>GENERAL</cp:contentStatus>
</cp:coreProperties>
</file>