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宋体" w:hAnsi="宋体" w:cs="宋体"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2862C29B" w:rsidR="001B20DE" w:rsidRPr="007B7E70" w:rsidRDefault="0001380B" w:rsidP="001B20DE">
            <w:pPr>
              <w:ind w:left="58"/>
              <w:rPr>
                <w:rFonts w:eastAsia="Times New Roman"/>
                <w:bCs/>
                <w:snapToGrid w:val="0"/>
                <w:kern w:val="22"/>
                <w:sz w:val="24"/>
              </w:rPr>
            </w:pPr>
            <w:r>
              <w:rPr>
                <w:rFonts w:eastAsia="Times New Roman"/>
                <w:bCs/>
                <w:snapToGrid w:val="0"/>
                <w:kern w:val="22"/>
                <w:sz w:val="24"/>
              </w:rPr>
              <w:t>GENERAL</w:t>
            </w:r>
          </w:p>
          <w:p w14:paraId="2353DC72" w14:textId="44B861C5" w:rsidR="001B20DE" w:rsidRPr="007B7E70" w:rsidRDefault="001B20DE" w:rsidP="001B20DE">
            <w:pPr>
              <w:spacing w:before="120"/>
              <w:ind w:left="58"/>
              <w:rPr>
                <w:rFonts w:eastAsia="Times New Roman"/>
                <w:snapToGrid w:val="0"/>
                <w:kern w:val="22"/>
                <w:sz w:val="24"/>
              </w:rPr>
            </w:pPr>
            <w:bookmarkStart w:id="1" w:name="_Hlk127515644"/>
            <w:r w:rsidRPr="007B7E70">
              <w:rPr>
                <w:rFonts w:eastAsia="Times New Roman"/>
                <w:snapToGrid w:val="0"/>
                <w:kern w:val="22"/>
                <w:sz w:val="24"/>
              </w:rPr>
              <w:t>CBD/</w:t>
            </w:r>
            <w:r w:rsidRPr="007B7E70">
              <w:rPr>
                <w:rFonts w:eastAsia="Times New Roman" w:hint="eastAsia"/>
                <w:snapToGrid w:val="0"/>
                <w:kern w:val="22"/>
                <w:sz w:val="24"/>
              </w:rPr>
              <w:t>CP</w:t>
            </w:r>
            <w:r w:rsidRPr="007B7E70">
              <w:rPr>
                <w:rFonts w:eastAsia="Times New Roman"/>
                <w:snapToGrid w:val="0"/>
                <w:kern w:val="22"/>
                <w:sz w:val="24"/>
              </w:rPr>
              <w:t>/</w:t>
            </w:r>
            <w:r w:rsidR="00E011D3" w:rsidRPr="007B7E70">
              <w:rPr>
                <w:rFonts w:eastAsia="Times New Roman"/>
                <w:snapToGrid w:val="0"/>
                <w:kern w:val="22"/>
                <w:sz w:val="24"/>
              </w:rPr>
              <w:t>MOP/</w:t>
            </w:r>
            <w:r w:rsidR="0001380B">
              <w:rPr>
                <w:rFonts w:eastAsia="Times New Roman"/>
                <w:snapToGrid w:val="0"/>
                <w:kern w:val="22"/>
                <w:sz w:val="24"/>
              </w:rPr>
              <w:t>DEC/</w:t>
            </w:r>
            <w:r w:rsidR="00E011D3" w:rsidRPr="007B7E70">
              <w:rPr>
                <w:rFonts w:eastAsia="Times New Roman"/>
                <w:snapToGrid w:val="0"/>
                <w:kern w:val="22"/>
                <w:sz w:val="24"/>
              </w:rPr>
              <w:t>10</w:t>
            </w:r>
            <w:r w:rsidRPr="007B7E70">
              <w:rPr>
                <w:rFonts w:eastAsia="Times New Roman"/>
                <w:snapToGrid w:val="0"/>
                <w:kern w:val="22"/>
                <w:sz w:val="24"/>
              </w:rPr>
              <w:t>/</w:t>
            </w:r>
            <w:r w:rsidR="0001380B">
              <w:rPr>
                <w:rFonts w:eastAsia="Times New Roman"/>
                <w:snapToGrid w:val="0"/>
                <w:kern w:val="22"/>
                <w:sz w:val="24"/>
              </w:rPr>
              <w:t>13</w:t>
            </w:r>
            <w:bookmarkEnd w:id="1"/>
          </w:p>
          <w:p w14:paraId="633CB5CA" w14:textId="708B8FBD" w:rsidR="001B20DE" w:rsidRPr="007B7E70" w:rsidRDefault="0001380B" w:rsidP="001B20DE">
            <w:pPr>
              <w:ind w:left="58"/>
              <w:rPr>
                <w:rFonts w:eastAsia="Times New Roman"/>
                <w:snapToGrid w:val="0"/>
                <w:kern w:val="22"/>
                <w:sz w:val="24"/>
              </w:rPr>
            </w:pPr>
            <w:r>
              <w:rPr>
                <w:rFonts w:eastAsia="Times New Roman"/>
                <w:kern w:val="22"/>
                <w:sz w:val="24"/>
              </w:rPr>
              <w:t>1</w:t>
            </w:r>
            <w:r w:rsidR="00DC793A">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宋体" w:hAnsi="宋体" w:cs="宋体" w:hint="eastAsia"/>
                <w:bCs/>
                <w:snapToGrid w:val="0"/>
                <w:kern w:val="22"/>
                <w:sz w:val="24"/>
              </w:rPr>
              <w:t>：</w:t>
            </w:r>
            <w:r w:rsidRPr="007B7E70">
              <w:rPr>
                <w:rFonts w:eastAsia="Times New Roman"/>
                <w:bCs/>
                <w:snapToGrid w:val="0"/>
                <w:kern w:val="22"/>
                <w:sz w:val="24"/>
              </w:rPr>
              <w:t xml:space="preserve"> ENGLISH</w:t>
            </w:r>
          </w:p>
        </w:tc>
      </w:tr>
    </w:tbl>
    <w:bookmarkEnd w:id="0"/>
    <w:p w14:paraId="5EA0F5F8" w14:textId="77777777" w:rsidR="002576A3" w:rsidRPr="002576A3" w:rsidRDefault="002576A3" w:rsidP="002576A3">
      <w:pPr>
        <w:adjustRightInd w:val="0"/>
        <w:snapToGrid w:val="0"/>
        <w:spacing w:before="120" w:line="240" w:lineRule="atLeast"/>
        <w:jc w:val="left"/>
        <w:rPr>
          <w:sz w:val="24"/>
          <w:lang w:eastAsia="zh-CN"/>
        </w:rPr>
      </w:pPr>
      <w:r w:rsidRPr="002576A3">
        <w:rPr>
          <w:sz w:val="24"/>
          <w:lang w:eastAsia="zh-CN"/>
        </w:rPr>
        <w:t>作为卡塔赫纳生物安全议定书缔约方会议的生物多样性公约缔约方大会</w:t>
      </w:r>
    </w:p>
    <w:p w14:paraId="600916EA" w14:textId="77777777" w:rsidR="002576A3" w:rsidRPr="002576A3" w:rsidRDefault="002576A3" w:rsidP="002576A3">
      <w:pPr>
        <w:adjustRightInd w:val="0"/>
        <w:snapToGrid w:val="0"/>
        <w:spacing w:line="240" w:lineRule="atLeast"/>
        <w:jc w:val="left"/>
        <w:rPr>
          <w:sz w:val="24"/>
          <w:lang w:eastAsia="zh-CN"/>
        </w:rPr>
      </w:pPr>
      <w:r w:rsidRPr="002576A3">
        <w:rPr>
          <w:sz w:val="24"/>
          <w:lang w:eastAsia="zh-CN"/>
        </w:rPr>
        <w:t>第十次会议</w:t>
      </w:r>
      <w:r w:rsidRPr="002576A3">
        <w:rPr>
          <w:sz w:val="24"/>
          <w:lang w:eastAsia="zh-CN"/>
        </w:rPr>
        <w:t xml:space="preserve"> – </w:t>
      </w:r>
      <w:r w:rsidRPr="002576A3">
        <w:rPr>
          <w:sz w:val="24"/>
          <w:lang w:eastAsia="zh-CN"/>
        </w:rPr>
        <w:t>第二阶段会议</w:t>
      </w:r>
    </w:p>
    <w:p w14:paraId="57C0F775" w14:textId="77777777" w:rsidR="002576A3" w:rsidRPr="002576A3" w:rsidRDefault="002576A3" w:rsidP="002576A3">
      <w:pPr>
        <w:adjustRightInd w:val="0"/>
        <w:snapToGrid w:val="0"/>
        <w:spacing w:line="240" w:lineRule="atLeast"/>
        <w:jc w:val="left"/>
        <w:rPr>
          <w:sz w:val="24"/>
          <w:lang w:eastAsia="zh-CN"/>
        </w:rPr>
      </w:pPr>
      <w:r w:rsidRPr="002576A3">
        <w:rPr>
          <w:sz w:val="24"/>
          <w:lang w:eastAsia="zh-CN"/>
        </w:rPr>
        <w:t>2022</w:t>
      </w:r>
      <w:r w:rsidRPr="002576A3">
        <w:rPr>
          <w:sz w:val="24"/>
          <w:lang w:eastAsia="zh-CN"/>
        </w:rPr>
        <w:t>年</w:t>
      </w:r>
      <w:r w:rsidRPr="002576A3">
        <w:rPr>
          <w:sz w:val="24"/>
          <w:lang w:eastAsia="zh-CN"/>
        </w:rPr>
        <w:t>12</w:t>
      </w:r>
      <w:r w:rsidRPr="002576A3">
        <w:rPr>
          <w:sz w:val="24"/>
          <w:lang w:eastAsia="zh-CN"/>
        </w:rPr>
        <w:t>月</w:t>
      </w:r>
      <w:r w:rsidRPr="002576A3">
        <w:rPr>
          <w:sz w:val="24"/>
          <w:lang w:eastAsia="zh-CN"/>
        </w:rPr>
        <w:t>7</w:t>
      </w:r>
      <w:r w:rsidRPr="002576A3">
        <w:rPr>
          <w:sz w:val="24"/>
          <w:lang w:eastAsia="zh-CN"/>
        </w:rPr>
        <w:t>日至</w:t>
      </w:r>
      <w:r w:rsidRPr="002576A3">
        <w:rPr>
          <w:sz w:val="24"/>
          <w:lang w:eastAsia="zh-CN"/>
        </w:rPr>
        <w:t>19</w:t>
      </w:r>
      <w:r w:rsidRPr="002576A3">
        <w:rPr>
          <w:sz w:val="24"/>
          <w:lang w:eastAsia="zh-CN"/>
        </w:rPr>
        <w:t>日，加拿大蒙特利尔</w:t>
      </w:r>
    </w:p>
    <w:p w14:paraId="20E2254A" w14:textId="77777777" w:rsidR="002576A3" w:rsidRPr="002576A3" w:rsidRDefault="002576A3" w:rsidP="002576A3">
      <w:pPr>
        <w:adjustRightInd w:val="0"/>
        <w:snapToGrid w:val="0"/>
        <w:spacing w:line="240" w:lineRule="atLeast"/>
        <w:jc w:val="left"/>
        <w:rPr>
          <w:sz w:val="24"/>
          <w:lang w:eastAsia="zh-CN"/>
        </w:rPr>
      </w:pPr>
      <w:r w:rsidRPr="002576A3">
        <w:rPr>
          <w:sz w:val="24"/>
          <w:lang w:eastAsia="zh-CN"/>
        </w:rPr>
        <w:t>议程项目</w:t>
      </w:r>
      <w:r w:rsidRPr="002576A3">
        <w:rPr>
          <w:sz w:val="24"/>
          <w:lang w:eastAsia="zh-CN"/>
        </w:rPr>
        <w:t>17</w:t>
      </w:r>
    </w:p>
    <w:p w14:paraId="76FFE469" w14:textId="77777777" w:rsidR="002576A3" w:rsidRDefault="002576A3" w:rsidP="002576A3">
      <w:pPr>
        <w:adjustRightInd w:val="0"/>
        <w:snapToGrid w:val="0"/>
        <w:spacing w:before="120" w:after="120" w:line="240" w:lineRule="atLeast"/>
        <w:jc w:val="left"/>
        <w:rPr>
          <w:sz w:val="24"/>
          <w:lang w:eastAsia="zh-CN"/>
        </w:rPr>
      </w:pPr>
    </w:p>
    <w:p w14:paraId="1EBD3CEF" w14:textId="31D94384" w:rsidR="002576A3" w:rsidRPr="002576A3" w:rsidRDefault="002576A3" w:rsidP="002576A3">
      <w:pPr>
        <w:adjustRightInd w:val="0"/>
        <w:snapToGrid w:val="0"/>
        <w:spacing w:before="240" w:after="240" w:line="240" w:lineRule="atLeast"/>
        <w:jc w:val="center"/>
        <w:rPr>
          <w:b/>
          <w:bCs/>
          <w:sz w:val="28"/>
          <w:szCs w:val="28"/>
          <w:lang w:eastAsia="zh-CN"/>
        </w:rPr>
      </w:pPr>
      <w:r w:rsidRPr="002576A3">
        <w:rPr>
          <w:b/>
          <w:bCs/>
          <w:sz w:val="28"/>
          <w:szCs w:val="28"/>
          <w:lang w:eastAsia="zh-CN"/>
        </w:rPr>
        <w:t>卡塔赫纳生物安全议定书缔约方通过的决定</w:t>
      </w:r>
    </w:p>
    <w:p w14:paraId="5CD76760" w14:textId="620621B0" w:rsidR="002576A3" w:rsidRPr="002576A3" w:rsidRDefault="002576A3" w:rsidP="002576A3">
      <w:pPr>
        <w:adjustRightInd w:val="0"/>
        <w:snapToGrid w:val="0"/>
        <w:spacing w:before="240" w:after="240" w:line="240" w:lineRule="atLeast"/>
        <w:jc w:val="center"/>
        <w:rPr>
          <w:b/>
          <w:bCs/>
          <w:sz w:val="24"/>
          <w:lang w:eastAsia="zh-CN"/>
        </w:rPr>
      </w:pPr>
      <w:r w:rsidRPr="002576A3">
        <w:rPr>
          <w:b/>
          <w:bCs/>
          <w:sz w:val="24"/>
          <w:lang w:eastAsia="zh-CN"/>
        </w:rPr>
        <w:t xml:space="preserve">CP-10/13.  </w:t>
      </w:r>
      <w:r w:rsidRPr="002576A3">
        <w:rPr>
          <w:b/>
          <w:bCs/>
          <w:sz w:val="24"/>
          <w:lang w:eastAsia="zh-CN"/>
        </w:rPr>
        <w:t>《关于赔偿责任和补救的名古屋</w:t>
      </w:r>
      <w:r w:rsidRPr="002576A3">
        <w:rPr>
          <w:b/>
          <w:bCs/>
          <w:sz w:val="24"/>
          <w:lang w:eastAsia="zh-CN"/>
        </w:rPr>
        <w:t>-</w:t>
      </w:r>
      <w:r w:rsidRPr="002576A3">
        <w:rPr>
          <w:b/>
          <w:bCs/>
          <w:sz w:val="24"/>
          <w:lang w:eastAsia="zh-CN"/>
        </w:rPr>
        <w:t>吉隆坡补充议定书》</w:t>
      </w:r>
    </w:p>
    <w:p w14:paraId="4EA5C3D0" w14:textId="6EADD51D" w:rsidR="002576A3" w:rsidRPr="002576A3" w:rsidRDefault="002576A3" w:rsidP="002576A3">
      <w:pPr>
        <w:adjustRightInd w:val="0"/>
        <w:snapToGrid w:val="0"/>
        <w:spacing w:before="120" w:after="120" w:line="240" w:lineRule="atLeast"/>
        <w:jc w:val="left"/>
        <w:rPr>
          <w:rFonts w:eastAsia="楷体"/>
          <w:sz w:val="24"/>
          <w:lang w:eastAsia="zh-CN"/>
        </w:rPr>
      </w:pPr>
      <w:r>
        <w:rPr>
          <w:sz w:val="24"/>
          <w:lang w:eastAsia="zh-CN"/>
        </w:rPr>
        <w:tab/>
      </w:r>
      <w:r w:rsidRPr="002576A3">
        <w:rPr>
          <w:rFonts w:eastAsia="楷体"/>
          <w:sz w:val="24"/>
          <w:lang w:eastAsia="zh-CN"/>
        </w:rPr>
        <w:t>作为卡塔赫纳生物安全议定书缔约方会议并作为关于赔偿责任和补救的名古屋</w:t>
      </w:r>
      <w:r w:rsidRPr="002576A3">
        <w:rPr>
          <w:rFonts w:eastAsia="楷体"/>
          <w:sz w:val="24"/>
          <w:lang w:eastAsia="zh-CN"/>
        </w:rPr>
        <w:t>-</w:t>
      </w:r>
      <w:r w:rsidRPr="002576A3">
        <w:rPr>
          <w:rFonts w:eastAsia="楷体"/>
          <w:sz w:val="24"/>
          <w:lang w:eastAsia="zh-CN"/>
        </w:rPr>
        <w:t>吉隆坡补充议定书缔约方会议的缔约方大会，</w:t>
      </w:r>
      <w:r w:rsidRPr="002576A3">
        <w:rPr>
          <w:rFonts w:eastAsia="楷体"/>
          <w:sz w:val="24"/>
          <w:lang w:eastAsia="zh-CN"/>
        </w:rPr>
        <w:t xml:space="preserve"> </w:t>
      </w:r>
      <w:r>
        <w:rPr>
          <w:rStyle w:val="FootnoteReference"/>
          <w:rFonts w:eastAsia="楷体"/>
          <w:lang w:eastAsia="zh-CN"/>
        </w:rPr>
        <w:footnoteReference w:id="2"/>
      </w:r>
    </w:p>
    <w:p w14:paraId="4855D8A8"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rFonts w:ascii="楷体" w:eastAsia="楷体" w:hAnsi="楷体"/>
          <w:sz w:val="24"/>
          <w:lang w:eastAsia="zh-CN"/>
        </w:rPr>
        <w:t>回顾</w:t>
      </w:r>
      <w:r w:rsidRPr="002576A3">
        <w:rPr>
          <w:sz w:val="24"/>
          <w:lang w:eastAsia="zh-CN"/>
        </w:rPr>
        <w:t>第</w:t>
      </w:r>
      <w:r w:rsidRPr="002576A3">
        <w:rPr>
          <w:sz w:val="24"/>
          <w:lang w:eastAsia="zh-CN"/>
        </w:rPr>
        <w:t>CP-9/15</w:t>
      </w:r>
      <w:r w:rsidRPr="002576A3">
        <w:rPr>
          <w:sz w:val="24"/>
          <w:lang w:eastAsia="zh-CN"/>
        </w:rPr>
        <w:t>号决定，</w:t>
      </w:r>
    </w:p>
    <w:p w14:paraId="2065738F"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rFonts w:ascii="楷体" w:eastAsia="楷体" w:hAnsi="楷体"/>
          <w:sz w:val="24"/>
          <w:lang w:eastAsia="zh-CN"/>
        </w:rPr>
        <w:t>注意到</w:t>
      </w:r>
      <w:r w:rsidRPr="002576A3">
        <w:rPr>
          <w:sz w:val="24"/>
          <w:lang w:eastAsia="zh-CN"/>
        </w:rPr>
        <w:t>各缔约方在其第四次国家报告中提供的与《关于赔偿责任和补救的名古屋</w:t>
      </w:r>
      <w:r w:rsidRPr="002576A3">
        <w:rPr>
          <w:sz w:val="24"/>
          <w:lang w:eastAsia="zh-CN"/>
        </w:rPr>
        <w:t>-</w:t>
      </w:r>
      <w:r w:rsidRPr="002576A3">
        <w:rPr>
          <w:sz w:val="24"/>
          <w:lang w:eastAsia="zh-CN"/>
        </w:rPr>
        <w:t>吉隆坡补充议定书》有关的信息</w:t>
      </w:r>
      <w:r w:rsidRPr="002576A3">
        <w:rPr>
          <w:sz w:val="24"/>
          <w:lang w:eastAsia="zh-CN"/>
        </w:rPr>
        <w:t xml:space="preserve">, </w:t>
      </w:r>
    </w:p>
    <w:p w14:paraId="6F0EF636"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1.</w:t>
      </w:r>
      <w:r w:rsidRPr="002576A3">
        <w:rPr>
          <w:sz w:val="24"/>
          <w:lang w:eastAsia="zh-CN"/>
        </w:rPr>
        <w:tab/>
      </w:r>
      <w:r w:rsidRPr="002576A3">
        <w:rPr>
          <w:rFonts w:ascii="楷体" w:eastAsia="楷体" w:hAnsi="楷体"/>
          <w:sz w:val="24"/>
          <w:lang w:eastAsia="zh-CN"/>
        </w:rPr>
        <w:t>欢迎</w:t>
      </w:r>
      <w:r w:rsidRPr="002576A3">
        <w:rPr>
          <w:sz w:val="24"/>
          <w:lang w:eastAsia="zh-CN"/>
        </w:rPr>
        <w:t>对已交存的《卡塔赫纳生物安全议定书关于赔偿责任和补救的名古屋</w:t>
      </w:r>
      <w:r w:rsidRPr="002576A3">
        <w:rPr>
          <w:sz w:val="24"/>
          <w:lang w:eastAsia="zh-CN"/>
        </w:rPr>
        <w:t>-</w:t>
      </w:r>
      <w:r w:rsidRPr="002576A3">
        <w:rPr>
          <w:sz w:val="24"/>
          <w:lang w:eastAsia="zh-CN"/>
        </w:rPr>
        <w:t>吉隆坡补充议定书》提供批准、接受、核准或加入的补充文书</w:t>
      </w:r>
      <w:r w:rsidRPr="002576A3">
        <w:rPr>
          <w:sz w:val="24"/>
          <w:lang w:eastAsia="zh-CN"/>
        </w:rPr>
        <w:t>;</w:t>
      </w:r>
    </w:p>
    <w:p w14:paraId="2C08577A"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2.</w:t>
      </w:r>
      <w:r w:rsidRPr="002576A3">
        <w:rPr>
          <w:sz w:val="24"/>
          <w:lang w:eastAsia="zh-CN"/>
        </w:rPr>
        <w:tab/>
      </w:r>
      <w:r w:rsidRPr="002576A3">
        <w:rPr>
          <w:rFonts w:ascii="楷体" w:eastAsia="楷体" w:hAnsi="楷体"/>
          <w:sz w:val="24"/>
          <w:lang w:eastAsia="zh-CN"/>
        </w:rPr>
        <w:t>遗憾地注意到</w:t>
      </w:r>
      <w:r w:rsidRPr="002576A3">
        <w:rPr>
          <w:sz w:val="24"/>
          <w:lang w:eastAsia="zh-CN"/>
        </w:rPr>
        <w:t>批准《关于赔偿责任和补救的名古屋</w:t>
      </w:r>
      <w:r w:rsidRPr="002576A3">
        <w:rPr>
          <w:sz w:val="24"/>
          <w:lang w:eastAsia="zh-CN"/>
        </w:rPr>
        <w:t>-</w:t>
      </w:r>
      <w:r w:rsidRPr="002576A3">
        <w:rPr>
          <w:sz w:val="24"/>
          <w:lang w:eastAsia="zh-CN"/>
        </w:rPr>
        <w:t>吉隆坡补充议定书》的《卡塔赫纳生物安全议定书》缔约方数目有限，邀请所有尚未这样做的《卡塔赫纳生物安全议定书》缔约方尽快交存其批准、接受、核准或加入文书</w:t>
      </w:r>
      <w:r w:rsidRPr="002576A3">
        <w:rPr>
          <w:sz w:val="24"/>
          <w:lang w:eastAsia="zh-CN"/>
        </w:rPr>
        <w:t>;</w:t>
      </w:r>
    </w:p>
    <w:p w14:paraId="57109F7D"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3.</w:t>
      </w:r>
      <w:r w:rsidRPr="002576A3">
        <w:rPr>
          <w:sz w:val="24"/>
          <w:lang w:eastAsia="zh-CN"/>
        </w:rPr>
        <w:tab/>
      </w:r>
      <w:r w:rsidRPr="002576A3">
        <w:rPr>
          <w:rFonts w:ascii="楷体" w:eastAsia="楷体" w:hAnsi="楷体"/>
          <w:sz w:val="24"/>
          <w:lang w:eastAsia="zh-CN"/>
        </w:rPr>
        <w:t>欢迎</w:t>
      </w:r>
      <w:r w:rsidRPr="002576A3">
        <w:rPr>
          <w:sz w:val="24"/>
          <w:lang w:eastAsia="zh-CN"/>
        </w:rPr>
        <w:t>很多缔约方在执行《关于赔偿责任和补救的名古屋</w:t>
      </w:r>
      <w:r w:rsidRPr="002576A3">
        <w:rPr>
          <w:sz w:val="24"/>
          <w:lang w:eastAsia="zh-CN"/>
        </w:rPr>
        <w:t>-</w:t>
      </w:r>
      <w:r w:rsidRPr="002576A3">
        <w:rPr>
          <w:sz w:val="24"/>
          <w:lang w:eastAsia="zh-CN"/>
        </w:rPr>
        <w:t>吉隆坡补充议定书》方面取得的进展，敦促《补充议定书》缔约方进一步采取必要步骤，全面有效地执行该《补充议定书》</w:t>
      </w:r>
      <w:r w:rsidRPr="002576A3">
        <w:rPr>
          <w:sz w:val="24"/>
          <w:lang w:eastAsia="zh-CN"/>
        </w:rPr>
        <w:t xml:space="preserve">; </w:t>
      </w:r>
    </w:p>
    <w:p w14:paraId="33C352C8"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4.</w:t>
      </w:r>
      <w:r w:rsidRPr="002576A3">
        <w:rPr>
          <w:sz w:val="24"/>
          <w:lang w:eastAsia="zh-CN"/>
        </w:rPr>
        <w:tab/>
      </w:r>
      <w:r w:rsidRPr="002576A3">
        <w:rPr>
          <w:rFonts w:ascii="楷体" w:eastAsia="楷体" w:hAnsi="楷体"/>
          <w:sz w:val="24"/>
          <w:lang w:eastAsia="zh-CN"/>
        </w:rPr>
        <w:t>强调</w:t>
      </w:r>
      <w:r w:rsidRPr="002576A3">
        <w:rPr>
          <w:sz w:val="24"/>
          <w:lang w:eastAsia="zh-CN"/>
        </w:rPr>
        <w:t>必须如关于《卡塔赫纳议定书》成效的第四次评估和审查以及卡塔赫纳生物安全议定书</w:t>
      </w:r>
      <w:r w:rsidRPr="002576A3">
        <w:rPr>
          <w:sz w:val="24"/>
          <w:lang w:eastAsia="zh-CN"/>
        </w:rPr>
        <w:t>2011-2020</w:t>
      </w:r>
      <w:r w:rsidRPr="002576A3">
        <w:rPr>
          <w:sz w:val="24"/>
          <w:lang w:eastAsia="zh-CN"/>
        </w:rPr>
        <w:t>年战略计划的最后评价的第</w:t>
      </w:r>
      <w:r w:rsidRPr="002576A3">
        <w:rPr>
          <w:sz w:val="24"/>
          <w:lang w:eastAsia="zh-CN"/>
        </w:rPr>
        <w:t>CP-10/7</w:t>
      </w:r>
      <w:r w:rsidRPr="002576A3">
        <w:rPr>
          <w:sz w:val="24"/>
          <w:lang w:eastAsia="zh-CN"/>
        </w:rPr>
        <w:t>号决定所确认，开展提高认识和能力建设活动，支持进一步批准和执行《补充议定书》</w:t>
      </w:r>
      <w:r w:rsidRPr="002576A3">
        <w:rPr>
          <w:sz w:val="24"/>
          <w:lang w:eastAsia="zh-CN"/>
        </w:rPr>
        <w:t>;</w:t>
      </w:r>
    </w:p>
    <w:p w14:paraId="674B8A5C" w14:textId="53B5FEDF"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5.</w:t>
      </w:r>
      <w:r w:rsidRPr="002576A3">
        <w:rPr>
          <w:sz w:val="24"/>
          <w:lang w:eastAsia="zh-CN"/>
        </w:rPr>
        <w:tab/>
      </w:r>
      <w:r w:rsidRPr="002576A3">
        <w:rPr>
          <w:rFonts w:ascii="楷体" w:eastAsia="楷体" w:hAnsi="楷体"/>
          <w:sz w:val="24"/>
          <w:lang w:eastAsia="zh-CN"/>
        </w:rPr>
        <w:t>欢迎</w:t>
      </w:r>
      <w:r w:rsidRPr="002576A3">
        <w:rPr>
          <w:sz w:val="24"/>
          <w:lang w:eastAsia="zh-CN"/>
        </w:rPr>
        <w:t>《卡塔赫纳生物安全议定书》执行计划</w:t>
      </w:r>
      <w:r w:rsidRPr="002576A3">
        <w:rPr>
          <w:sz w:val="24"/>
          <w:lang w:eastAsia="zh-CN"/>
        </w:rPr>
        <w:t xml:space="preserve">  </w:t>
      </w:r>
      <w:r>
        <w:rPr>
          <w:rStyle w:val="FootnoteReference"/>
          <w:lang w:eastAsia="zh-CN"/>
        </w:rPr>
        <w:footnoteReference w:id="3"/>
      </w:r>
      <w:r w:rsidRPr="002576A3">
        <w:rPr>
          <w:sz w:val="24"/>
          <w:lang w:eastAsia="zh-CN"/>
        </w:rPr>
        <w:t>和《卡塔赫纳生物安全议定书》能力建设行动计划</w:t>
      </w:r>
      <w:r w:rsidRPr="002576A3">
        <w:rPr>
          <w:sz w:val="24"/>
          <w:lang w:eastAsia="zh-CN"/>
        </w:rPr>
        <w:t xml:space="preserve">  </w:t>
      </w:r>
      <w:r>
        <w:rPr>
          <w:rStyle w:val="FootnoteReference"/>
          <w:lang w:eastAsia="zh-CN"/>
        </w:rPr>
        <w:footnoteReference w:id="4"/>
      </w:r>
      <w:r w:rsidRPr="002576A3">
        <w:rPr>
          <w:sz w:val="24"/>
          <w:lang w:eastAsia="zh-CN"/>
        </w:rPr>
        <w:t>中《关于赔偿责任和补救的名古屋</w:t>
      </w:r>
      <w:r w:rsidRPr="002576A3">
        <w:rPr>
          <w:sz w:val="24"/>
          <w:lang w:eastAsia="zh-CN"/>
        </w:rPr>
        <w:t>-</w:t>
      </w:r>
      <w:r w:rsidRPr="002576A3">
        <w:rPr>
          <w:sz w:val="24"/>
          <w:lang w:eastAsia="zh-CN"/>
        </w:rPr>
        <w:t>吉隆坡补充议定书》的目标，以及相关的能力</w:t>
      </w:r>
      <w:r w:rsidRPr="002576A3">
        <w:rPr>
          <w:sz w:val="24"/>
          <w:lang w:eastAsia="zh-CN"/>
        </w:rPr>
        <w:lastRenderedPageBreak/>
        <w:t>建设活动，</w:t>
      </w:r>
      <w:r w:rsidRPr="002576A3">
        <w:rPr>
          <w:rFonts w:ascii="楷体" w:eastAsia="楷体" w:hAnsi="楷体"/>
          <w:sz w:val="24"/>
          <w:lang w:eastAsia="zh-CN"/>
        </w:rPr>
        <w:t>确认</w:t>
      </w:r>
      <w:r w:rsidRPr="002576A3">
        <w:rPr>
          <w:sz w:val="24"/>
          <w:lang w:eastAsia="zh-CN"/>
        </w:rPr>
        <w:t>其中一些活动主要针对《关于赔偿责任和补救的名古屋</w:t>
      </w:r>
      <w:r w:rsidRPr="002576A3">
        <w:rPr>
          <w:sz w:val="24"/>
          <w:lang w:eastAsia="zh-CN"/>
        </w:rPr>
        <w:t>-</w:t>
      </w:r>
      <w:r w:rsidRPr="002576A3">
        <w:rPr>
          <w:sz w:val="24"/>
          <w:lang w:eastAsia="zh-CN"/>
        </w:rPr>
        <w:t>吉隆坡补充议定书》的缔约方</w:t>
      </w:r>
      <w:r w:rsidRPr="002576A3">
        <w:rPr>
          <w:sz w:val="24"/>
          <w:lang w:eastAsia="zh-CN"/>
        </w:rPr>
        <w:t>;</w:t>
      </w:r>
    </w:p>
    <w:p w14:paraId="5807E51B"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6.</w:t>
      </w:r>
      <w:r w:rsidRPr="002576A3">
        <w:rPr>
          <w:sz w:val="24"/>
          <w:lang w:eastAsia="zh-CN"/>
        </w:rPr>
        <w:tab/>
      </w:r>
      <w:r w:rsidRPr="002576A3">
        <w:rPr>
          <w:rFonts w:ascii="楷体" w:eastAsia="楷体" w:hAnsi="楷体"/>
          <w:sz w:val="24"/>
          <w:lang w:eastAsia="zh-CN"/>
        </w:rPr>
        <w:t>提醒</w:t>
      </w:r>
      <w:r w:rsidRPr="002576A3">
        <w:rPr>
          <w:sz w:val="24"/>
          <w:lang w:eastAsia="zh-CN"/>
        </w:rPr>
        <w:t>《关于赔偿责任和补救的名古屋</w:t>
      </w:r>
      <w:r w:rsidRPr="002576A3">
        <w:rPr>
          <w:sz w:val="24"/>
          <w:lang w:eastAsia="zh-CN"/>
        </w:rPr>
        <w:t>-</w:t>
      </w:r>
      <w:r w:rsidRPr="002576A3">
        <w:rPr>
          <w:sz w:val="24"/>
          <w:lang w:eastAsia="zh-CN"/>
        </w:rPr>
        <w:t>吉隆坡补充议定书》缔约方指定一个主管当局履行《补充议定书》第</w:t>
      </w:r>
      <w:r w:rsidRPr="002576A3">
        <w:rPr>
          <w:sz w:val="24"/>
          <w:lang w:eastAsia="zh-CN"/>
        </w:rPr>
        <w:t>5</w:t>
      </w:r>
      <w:r w:rsidRPr="002576A3">
        <w:rPr>
          <w:sz w:val="24"/>
          <w:lang w:eastAsia="zh-CN"/>
        </w:rPr>
        <w:t>条规定的职能，并使用生物安全信息交换所为此目的提供的通用格式公布关于这些主管当局的信息；</w:t>
      </w:r>
    </w:p>
    <w:p w14:paraId="41ED160C" w14:textId="32ED0553"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7.</w:t>
      </w:r>
      <w:r w:rsidRPr="002576A3">
        <w:rPr>
          <w:sz w:val="24"/>
          <w:lang w:eastAsia="zh-CN"/>
        </w:rPr>
        <w:tab/>
      </w:r>
      <w:proofErr w:type="gramStart"/>
      <w:r w:rsidRPr="002576A3">
        <w:rPr>
          <w:rFonts w:ascii="楷体" w:eastAsia="楷体" w:hAnsi="楷体"/>
          <w:sz w:val="24"/>
          <w:lang w:eastAsia="zh-CN"/>
        </w:rPr>
        <w:t>欢迎</w:t>
      </w:r>
      <w:r w:rsidRPr="002576A3">
        <w:rPr>
          <w:sz w:val="24"/>
          <w:lang w:eastAsia="zh-CN"/>
        </w:rPr>
        <w:t>关于财政担保机制的研究</w:t>
      </w:r>
      <w:r w:rsidRPr="002576A3">
        <w:rPr>
          <w:sz w:val="24"/>
          <w:lang w:eastAsia="zh-CN"/>
        </w:rPr>
        <w:t>(</w:t>
      </w:r>
      <w:proofErr w:type="gramEnd"/>
      <w:r w:rsidRPr="002576A3">
        <w:rPr>
          <w:sz w:val="24"/>
          <w:lang w:eastAsia="zh-CN"/>
        </w:rPr>
        <w:t>《名古屋</w:t>
      </w:r>
      <w:r w:rsidRPr="002576A3">
        <w:rPr>
          <w:sz w:val="24"/>
          <w:lang w:eastAsia="zh-CN"/>
        </w:rPr>
        <w:t>-</w:t>
      </w:r>
      <w:r w:rsidRPr="002576A3">
        <w:rPr>
          <w:sz w:val="24"/>
          <w:lang w:eastAsia="zh-CN"/>
        </w:rPr>
        <w:t>吉隆坡补充议定书》第</w:t>
      </w:r>
      <w:r w:rsidRPr="002576A3">
        <w:rPr>
          <w:sz w:val="24"/>
          <w:lang w:eastAsia="zh-CN"/>
        </w:rPr>
        <w:t>10</w:t>
      </w:r>
      <w:r w:rsidRPr="002576A3">
        <w:rPr>
          <w:sz w:val="24"/>
          <w:lang w:eastAsia="zh-CN"/>
        </w:rPr>
        <w:t>条；</w:t>
      </w:r>
      <w:r w:rsidRPr="002576A3">
        <w:rPr>
          <w:sz w:val="24"/>
          <w:lang w:eastAsia="zh-CN"/>
        </w:rPr>
        <w:t xml:space="preserve"> </w:t>
      </w:r>
      <w:r>
        <w:rPr>
          <w:rStyle w:val="FootnoteReference"/>
          <w:lang w:eastAsia="zh-CN"/>
        </w:rPr>
        <w:footnoteReference w:id="5"/>
      </w:r>
    </w:p>
    <w:p w14:paraId="3F73B103"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8.</w:t>
      </w:r>
      <w:r w:rsidRPr="002576A3">
        <w:rPr>
          <w:sz w:val="24"/>
          <w:lang w:eastAsia="zh-CN"/>
        </w:rPr>
        <w:tab/>
      </w:r>
      <w:r w:rsidRPr="002576A3">
        <w:rPr>
          <w:rFonts w:ascii="楷体" w:eastAsia="楷体" w:hAnsi="楷体"/>
          <w:sz w:val="24"/>
          <w:lang w:eastAsia="zh-CN"/>
        </w:rPr>
        <w:t>提醒</w:t>
      </w:r>
      <w:r w:rsidRPr="002576A3">
        <w:rPr>
          <w:sz w:val="24"/>
          <w:lang w:eastAsia="zh-CN"/>
        </w:rPr>
        <w:t>《关于赔偿责任和补补救的名古屋</w:t>
      </w:r>
      <w:r w:rsidRPr="002576A3">
        <w:rPr>
          <w:sz w:val="24"/>
          <w:lang w:eastAsia="zh-CN"/>
        </w:rPr>
        <w:t>-</w:t>
      </w:r>
      <w:r w:rsidRPr="002576A3">
        <w:rPr>
          <w:sz w:val="24"/>
          <w:lang w:eastAsia="zh-CN"/>
        </w:rPr>
        <w:t>吉隆坡补充议定书》缔约方关于污染者付费原则，鼓励它们在进一步制定财政担保机制时酌情考虑到这项原则</w:t>
      </w:r>
      <w:r w:rsidRPr="002576A3">
        <w:rPr>
          <w:sz w:val="24"/>
          <w:lang w:eastAsia="zh-CN"/>
        </w:rPr>
        <w:t>;</w:t>
      </w:r>
    </w:p>
    <w:p w14:paraId="545A9415"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9.</w:t>
      </w:r>
      <w:r w:rsidRPr="002576A3">
        <w:rPr>
          <w:sz w:val="24"/>
          <w:lang w:eastAsia="zh-CN"/>
        </w:rPr>
        <w:tab/>
      </w:r>
      <w:r w:rsidRPr="002576A3">
        <w:rPr>
          <w:rFonts w:ascii="楷体" w:eastAsia="楷体" w:hAnsi="楷体"/>
          <w:sz w:val="24"/>
          <w:lang w:eastAsia="zh-CN"/>
        </w:rPr>
        <w:t>请</w:t>
      </w:r>
      <w:r w:rsidRPr="002576A3">
        <w:rPr>
          <w:sz w:val="24"/>
          <w:lang w:eastAsia="zh-CN"/>
        </w:rPr>
        <w:t>《补充议定书》缔约方并邀请其他国家政府向执行秘书提交资料，说明它们为改性活生物体对生物多样性造成的损害提供财政担保而采取的措施，特别是它们已在第四次国家报告中报告采取了此类措施；</w:t>
      </w:r>
    </w:p>
    <w:p w14:paraId="31EFDB39" w14:textId="77777777"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10.</w:t>
      </w:r>
      <w:r w:rsidRPr="002576A3">
        <w:rPr>
          <w:sz w:val="24"/>
          <w:lang w:eastAsia="zh-CN"/>
        </w:rPr>
        <w:tab/>
      </w:r>
      <w:r w:rsidRPr="002576A3">
        <w:rPr>
          <w:rFonts w:ascii="楷体" w:eastAsia="楷体" w:hAnsi="楷体"/>
          <w:sz w:val="24"/>
          <w:lang w:eastAsia="zh-CN"/>
        </w:rPr>
        <w:t>请</w:t>
      </w:r>
      <w:r w:rsidRPr="002576A3">
        <w:rPr>
          <w:sz w:val="24"/>
          <w:lang w:eastAsia="zh-CN"/>
        </w:rPr>
        <w:t>执行秘书汇编根据第</w:t>
      </w:r>
      <w:r w:rsidRPr="002576A3">
        <w:rPr>
          <w:sz w:val="24"/>
          <w:lang w:eastAsia="zh-CN"/>
        </w:rPr>
        <w:t>9</w:t>
      </w:r>
      <w:r w:rsidRPr="002576A3">
        <w:rPr>
          <w:sz w:val="24"/>
          <w:lang w:eastAsia="zh-CN"/>
        </w:rPr>
        <w:t>段提交的资料，并提交作为议定书缔约方会议的缔约方大会第十一次会议审议；</w:t>
      </w:r>
    </w:p>
    <w:p w14:paraId="59B9DB45" w14:textId="657911A6" w:rsidR="002576A3"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11.</w:t>
      </w:r>
      <w:r w:rsidRPr="002576A3">
        <w:rPr>
          <w:sz w:val="24"/>
          <w:lang w:eastAsia="zh-CN"/>
        </w:rPr>
        <w:tab/>
      </w:r>
      <w:r w:rsidRPr="002576A3">
        <w:rPr>
          <w:rFonts w:ascii="楷体" w:eastAsia="楷体" w:hAnsi="楷体"/>
          <w:sz w:val="24"/>
          <w:lang w:eastAsia="zh-CN"/>
        </w:rPr>
        <w:t>欢迎</w:t>
      </w:r>
      <w:r w:rsidRPr="002576A3">
        <w:rPr>
          <w:sz w:val="24"/>
          <w:lang w:eastAsia="zh-CN"/>
        </w:rPr>
        <w:t xml:space="preserve"> </w:t>
      </w:r>
      <w:r w:rsidRPr="002576A3">
        <w:rPr>
          <w:sz w:val="24"/>
          <w:lang w:eastAsia="zh-CN"/>
        </w:rPr>
        <w:t>在第五次国家报告的格式中列入与《补充议定书》有关的问题</w:t>
      </w:r>
      <w:r w:rsidRPr="002576A3">
        <w:rPr>
          <w:sz w:val="24"/>
          <w:lang w:eastAsia="zh-CN"/>
        </w:rPr>
        <w:t xml:space="preserve"> </w:t>
      </w:r>
      <w:r>
        <w:rPr>
          <w:rStyle w:val="FootnoteReference"/>
          <w:lang w:eastAsia="zh-CN"/>
        </w:rPr>
        <w:footnoteReference w:id="6"/>
      </w:r>
      <w:r w:rsidRPr="002576A3">
        <w:rPr>
          <w:sz w:val="24"/>
          <w:lang w:eastAsia="zh-CN"/>
        </w:rPr>
        <w:t>，请《补充议定书》缔约方并邀请其他国家政府对这些问题作出答复</w:t>
      </w:r>
      <w:r w:rsidRPr="002576A3">
        <w:rPr>
          <w:sz w:val="24"/>
          <w:lang w:eastAsia="zh-CN"/>
        </w:rPr>
        <w:t xml:space="preserve">; </w:t>
      </w:r>
    </w:p>
    <w:p w14:paraId="63B19844" w14:textId="4A1DBD6F" w:rsidR="001760A4" w:rsidRPr="002576A3" w:rsidRDefault="002576A3" w:rsidP="002576A3">
      <w:pPr>
        <w:adjustRightInd w:val="0"/>
        <w:snapToGrid w:val="0"/>
        <w:spacing w:before="120" w:after="120" w:line="240" w:lineRule="atLeast"/>
        <w:ind w:firstLine="490"/>
        <w:jc w:val="left"/>
        <w:rPr>
          <w:sz w:val="24"/>
          <w:lang w:eastAsia="zh-CN"/>
        </w:rPr>
      </w:pPr>
      <w:r w:rsidRPr="002576A3">
        <w:rPr>
          <w:sz w:val="24"/>
          <w:lang w:eastAsia="zh-CN"/>
        </w:rPr>
        <w:t>12.</w:t>
      </w:r>
      <w:r w:rsidRPr="002576A3">
        <w:rPr>
          <w:sz w:val="24"/>
          <w:lang w:eastAsia="zh-CN"/>
        </w:rPr>
        <w:tab/>
      </w:r>
      <w:r w:rsidRPr="002576A3">
        <w:rPr>
          <w:rFonts w:ascii="楷体" w:eastAsia="楷体" w:hAnsi="楷体"/>
          <w:sz w:val="24"/>
          <w:lang w:eastAsia="zh-CN"/>
        </w:rPr>
        <w:t>忆及</w:t>
      </w:r>
      <w:r w:rsidRPr="002576A3">
        <w:rPr>
          <w:sz w:val="24"/>
          <w:lang w:eastAsia="zh-CN"/>
        </w:rPr>
        <w:t>《关于赔偿责任和补救的名古屋</w:t>
      </w:r>
      <w:r w:rsidRPr="002576A3">
        <w:rPr>
          <w:sz w:val="24"/>
          <w:lang w:eastAsia="zh-CN"/>
        </w:rPr>
        <w:t>-</w:t>
      </w:r>
      <w:r w:rsidRPr="002576A3">
        <w:rPr>
          <w:sz w:val="24"/>
          <w:lang w:eastAsia="zh-CN"/>
        </w:rPr>
        <w:t>吉隆坡补充议定书》第</w:t>
      </w:r>
      <w:r w:rsidRPr="002576A3">
        <w:rPr>
          <w:sz w:val="24"/>
          <w:lang w:eastAsia="zh-CN"/>
        </w:rPr>
        <w:t>13</w:t>
      </w:r>
      <w:r w:rsidRPr="002576A3">
        <w:rPr>
          <w:sz w:val="24"/>
          <w:lang w:eastAsia="zh-CN"/>
        </w:rPr>
        <w:t>条，决定对《补充议定书》有效性的第一次评估和审查应结合对《卡塔赫纳议定书》有效性的第五次评估和审查进行。</w:t>
      </w:r>
    </w:p>
    <w:p w14:paraId="2B7C0AF6" w14:textId="5ABEB08B" w:rsidR="001760A4" w:rsidRPr="002576A3" w:rsidRDefault="001760A4" w:rsidP="002576A3">
      <w:pPr>
        <w:adjustRightInd w:val="0"/>
        <w:snapToGrid w:val="0"/>
        <w:spacing w:before="120" w:after="120" w:line="240" w:lineRule="atLeast"/>
        <w:jc w:val="center"/>
        <w:rPr>
          <w:sz w:val="24"/>
          <w:lang w:eastAsia="zh-CN"/>
        </w:rPr>
      </w:pPr>
      <w:r w:rsidRPr="002576A3">
        <w:rPr>
          <w:sz w:val="24"/>
          <w:lang w:eastAsia="zh-CN"/>
        </w:rPr>
        <w:t>—————</w:t>
      </w:r>
    </w:p>
    <w:sectPr w:rsidR="001760A4" w:rsidRPr="002576A3"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B361" w14:textId="77777777" w:rsidR="00C04047" w:rsidRDefault="00C04047">
      <w:r>
        <w:separator/>
      </w:r>
    </w:p>
  </w:endnote>
  <w:endnote w:type="continuationSeparator" w:id="0">
    <w:p w14:paraId="4D89FD02" w14:textId="77777777" w:rsidR="00C04047" w:rsidRDefault="00C04047">
      <w:r>
        <w:continuationSeparator/>
      </w:r>
    </w:p>
  </w:endnote>
  <w:endnote w:type="continuationNotice" w:id="1">
    <w:p w14:paraId="67CA928B" w14:textId="77777777" w:rsidR="00C04047" w:rsidRDefault="00C0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D609" w14:textId="77777777" w:rsidR="00C04047" w:rsidRDefault="00C04047">
      <w:r>
        <w:separator/>
      </w:r>
    </w:p>
  </w:footnote>
  <w:footnote w:type="continuationSeparator" w:id="0">
    <w:p w14:paraId="568039C4" w14:textId="77777777" w:rsidR="00C04047" w:rsidRDefault="00C04047">
      <w:r>
        <w:continuationSeparator/>
      </w:r>
    </w:p>
  </w:footnote>
  <w:footnote w:type="continuationNotice" w:id="1">
    <w:p w14:paraId="5BEA3328" w14:textId="77777777" w:rsidR="00C04047" w:rsidRDefault="00C04047"/>
  </w:footnote>
  <w:footnote w:id="2">
    <w:p w14:paraId="1DD599F8" w14:textId="3E8E6443" w:rsidR="002576A3" w:rsidRPr="002576A3" w:rsidRDefault="002576A3" w:rsidP="002576A3">
      <w:pPr>
        <w:pStyle w:val="FootnoteText"/>
        <w:ind w:firstLine="0"/>
        <w:rPr>
          <w:sz w:val="20"/>
          <w:szCs w:val="20"/>
          <w:lang w:eastAsia="zh-CN"/>
        </w:rPr>
      </w:pPr>
      <w:r w:rsidRPr="002576A3">
        <w:rPr>
          <w:rStyle w:val="FootnoteReference"/>
          <w:sz w:val="20"/>
          <w:szCs w:val="20"/>
        </w:rPr>
        <w:footnoteRef/>
      </w:r>
      <w:r w:rsidRPr="002576A3">
        <w:rPr>
          <w:sz w:val="20"/>
          <w:szCs w:val="20"/>
          <w:lang w:eastAsia="zh-CN"/>
        </w:rPr>
        <w:t xml:space="preserve">  </w:t>
      </w:r>
      <w:r>
        <w:rPr>
          <w:sz w:val="20"/>
          <w:szCs w:val="20"/>
          <w:lang w:eastAsia="zh-CN"/>
        </w:rPr>
        <w:t xml:space="preserve"> </w:t>
      </w:r>
      <w:r w:rsidRPr="002576A3">
        <w:rPr>
          <w:sz w:val="20"/>
          <w:szCs w:val="20"/>
          <w:lang w:eastAsia="zh-CN"/>
        </w:rPr>
        <w:t>根据《补充议定书》第</w:t>
      </w:r>
      <w:r w:rsidRPr="002576A3">
        <w:rPr>
          <w:sz w:val="20"/>
          <w:szCs w:val="20"/>
          <w:lang w:eastAsia="zh-CN"/>
        </w:rPr>
        <w:t>14</w:t>
      </w:r>
      <w:r w:rsidRPr="002576A3">
        <w:rPr>
          <w:sz w:val="20"/>
          <w:szCs w:val="20"/>
          <w:lang w:eastAsia="zh-CN"/>
        </w:rPr>
        <w:t>条第</w:t>
      </w:r>
      <w:r w:rsidRPr="002576A3">
        <w:rPr>
          <w:sz w:val="20"/>
          <w:szCs w:val="20"/>
          <w:lang w:eastAsia="zh-CN"/>
        </w:rPr>
        <w:t>1</w:t>
      </w:r>
      <w:r w:rsidRPr="002576A3">
        <w:rPr>
          <w:sz w:val="20"/>
          <w:szCs w:val="20"/>
          <w:lang w:eastAsia="zh-CN"/>
        </w:rPr>
        <w:t>款，并根据《公约》第</w:t>
      </w:r>
      <w:r w:rsidRPr="002576A3">
        <w:rPr>
          <w:sz w:val="20"/>
          <w:szCs w:val="20"/>
          <w:lang w:eastAsia="zh-CN"/>
        </w:rPr>
        <w:t>32</w:t>
      </w:r>
      <w:r w:rsidRPr="002576A3">
        <w:rPr>
          <w:sz w:val="20"/>
          <w:szCs w:val="20"/>
          <w:lang w:eastAsia="zh-CN"/>
        </w:rPr>
        <w:t>条第</w:t>
      </w:r>
      <w:r w:rsidRPr="002576A3">
        <w:rPr>
          <w:sz w:val="20"/>
          <w:szCs w:val="20"/>
          <w:lang w:eastAsia="zh-CN"/>
        </w:rPr>
        <w:t>2</w:t>
      </w:r>
      <w:r w:rsidRPr="002576A3">
        <w:rPr>
          <w:sz w:val="20"/>
          <w:szCs w:val="20"/>
          <w:lang w:eastAsia="zh-CN"/>
        </w:rPr>
        <w:t>款，作为议定书缔约方会议的公约缔约方大会应作为补充议定书的缔约方大会。因此，本决定由《补充议定书》缔约方作出。</w:t>
      </w:r>
    </w:p>
  </w:footnote>
  <w:footnote w:id="3">
    <w:p w14:paraId="6671BCFD" w14:textId="2FBC813C" w:rsidR="002576A3" w:rsidRPr="002576A3" w:rsidRDefault="002576A3" w:rsidP="002576A3">
      <w:pPr>
        <w:pStyle w:val="FootnoteText"/>
        <w:ind w:firstLine="0"/>
        <w:rPr>
          <w:sz w:val="20"/>
          <w:szCs w:val="20"/>
          <w:lang w:eastAsia="zh-CN"/>
        </w:rPr>
      </w:pPr>
      <w:r w:rsidRPr="002576A3">
        <w:rPr>
          <w:rStyle w:val="FootnoteReference"/>
          <w:sz w:val="20"/>
          <w:szCs w:val="20"/>
        </w:rPr>
        <w:footnoteRef/>
      </w:r>
      <w:r w:rsidRPr="002576A3">
        <w:rPr>
          <w:sz w:val="20"/>
          <w:szCs w:val="20"/>
          <w:lang w:eastAsia="zh-CN"/>
        </w:rPr>
        <w:t xml:space="preserve">   </w:t>
      </w:r>
      <w:r w:rsidRPr="002576A3">
        <w:rPr>
          <w:sz w:val="20"/>
          <w:szCs w:val="20"/>
          <w:lang w:eastAsia="zh-CN"/>
        </w:rPr>
        <w:t>第</w:t>
      </w:r>
      <w:r w:rsidRPr="002576A3">
        <w:rPr>
          <w:sz w:val="20"/>
          <w:szCs w:val="20"/>
          <w:lang w:eastAsia="zh-CN"/>
        </w:rPr>
        <w:t>CP-10/3</w:t>
      </w:r>
      <w:r w:rsidRPr="002576A3">
        <w:rPr>
          <w:sz w:val="20"/>
          <w:szCs w:val="20"/>
          <w:lang w:eastAsia="zh-CN"/>
        </w:rPr>
        <w:t>号决定，附件。</w:t>
      </w:r>
    </w:p>
  </w:footnote>
  <w:footnote w:id="4">
    <w:p w14:paraId="07FFA455" w14:textId="12CCDEF4" w:rsidR="002576A3" w:rsidRPr="002576A3" w:rsidRDefault="002576A3" w:rsidP="002576A3">
      <w:pPr>
        <w:pStyle w:val="FootnoteText"/>
        <w:ind w:firstLine="0"/>
        <w:rPr>
          <w:sz w:val="20"/>
          <w:szCs w:val="20"/>
          <w:lang w:eastAsia="zh-CN"/>
        </w:rPr>
      </w:pPr>
      <w:r w:rsidRPr="002576A3">
        <w:rPr>
          <w:rStyle w:val="FootnoteReference"/>
          <w:sz w:val="20"/>
          <w:szCs w:val="20"/>
        </w:rPr>
        <w:footnoteRef/>
      </w:r>
      <w:r w:rsidRPr="002576A3">
        <w:rPr>
          <w:sz w:val="20"/>
          <w:szCs w:val="20"/>
          <w:lang w:eastAsia="zh-CN"/>
        </w:rPr>
        <w:t xml:space="preserve">   </w:t>
      </w:r>
      <w:r w:rsidRPr="002576A3">
        <w:rPr>
          <w:sz w:val="20"/>
          <w:szCs w:val="20"/>
          <w:lang w:eastAsia="zh-CN"/>
        </w:rPr>
        <w:t>第</w:t>
      </w:r>
      <w:r w:rsidRPr="002576A3">
        <w:rPr>
          <w:sz w:val="20"/>
          <w:szCs w:val="20"/>
          <w:lang w:eastAsia="zh-CN"/>
        </w:rPr>
        <w:t>CP-10/4</w:t>
      </w:r>
      <w:r w:rsidRPr="002576A3">
        <w:rPr>
          <w:sz w:val="20"/>
          <w:szCs w:val="20"/>
          <w:lang w:eastAsia="zh-CN"/>
        </w:rPr>
        <w:t>号决定，附件。</w:t>
      </w:r>
    </w:p>
  </w:footnote>
  <w:footnote w:id="5">
    <w:p w14:paraId="49F21F69" w14:textId="7289FEA7" w:rsidR="002576A3" w:rsidRPr="002576A3" w:rsidRDefault="002576A3" w:rsidP="002576A3">
      <w:pPr>
        <w:pStyle w:val="FootnoteText"/>
        <w:ind w:firstLine="0"/>
        <w:rPr>
          <w:sz w:val="20"/>
          <w:szCs w:val="20"/>
          <w:lang w:eastAsia="zh-CN"/>
        </w:rPr>
      </w:pPr>
      <w:r w:rsidRPr="002576A3">
        <w:rPr>
          <w:rStyle w:val="FootnoteReference"/>
          <w:sz w:val="20"/>
          <w:szCs w:val="20"/>
        </w:rPr>
        <w:footnoteRef/>
      </w:r>
      <w:r w:rsidRPr="002576A3">
        <w:rPr>
          <w:sz w:val="20"/>
          <w:szCs w:val="20"/>
          <w:lang w:eastAsia="zh-CN"/>
        </w:rPr>
        <w:t xml:space="preserve">   </w:t>
      </w:r>
      <w:r w:rsidRPr="002576A3">
        <w:rPr>
          <w:sz w:val="20"/>
          <w:szCs w:val="20"/>
          <w:lang w:eastAsia="zh-CN"/>
        </w:rPr>
        <w:t>载于</w:t>
      </w:r>
      <w:r w:rsidRPr="002576A3">
        <w:rPr>
          <w:sz w:val="20"/>
          <w:szCs w:val="20"/>
          <w:lang w:eastAsia="zh-CN"/>
        </w:rPr>
        <w:t>CBD/CP/MOP/10/INF/1</w:t>
      </w:r>
      <w:r w:rsidRPr="002576A3">
        <w:rPr>
          <w:sz w:val="20"/>
          <w:szCs w:val="20"/>
          <w:lang w:eastAsia="zh-CN"/>
        </w:rPr>
        <w:t>号文件。研究报告的执行摘要以联合国六种正式语文载于</w:t>
      </w:r>
      <w:r w:rsidRPr="002576A3">
        <w:rPr>
          <w:sz w:val="20"/>
          <w:szCs w:val="20"/>
          <w:lang w:eastAsia="zh-CN"/>
        </w:rPr>
        <w:t xml:space="preserve"> CBD/CP/MOP/10/9</w:t>
      </w:r>
      <w:r w:rsidRPr="002576A3">
        <w:rPr>
          <w:sz w:val="20"/>
          <w:szCs w:val="20"/>
          <w:lang w:eastAsia="zh-CN"/>
        </w:rPr>
        <w:t>号文件附件。</w:t>
      </w:r>
    </w:p>
  </w:footnote>
  <w:footnote w:id="6">
    <w:p w14:paraId="70A70184" w14:textId="6A907D7C" w:rsidR="002576A3" w:rsidRDefault="002576A3" w:rsidP="002576A3">
      <w:pPr>
        <w:pStyle w:val="FootnoteText"/>
        <w:ind w:firstLine="0"/>
        <w:rPr>
          <w:rFonts w:hint="eastAsia"/>
          <w:lang w:eastAsia="zh-CN"/>
        </w:rPr>
      </w:pPr>
      <w:r w:rsidRPr="002576A3">
        <w:rPr>
          <w:rStyle w:val="FootnoteReference"/>
          <w:sz w:val="20"/>
          <w:szCs w:val="20"/>
        </w:rPr>
        <w:footnoteRef/>
      </w:r>
      <w:r w:rsidRPr="002576A3">
        <w:rPr>
          <w:sz w:val="20"/>
          <w:szCs w:val="20"/>
        </w:rPr>
        <w:t xml:space="preserve">   </w:t>
      </w:r>
      <w:proofErr w:type="spellStart"/>
      <w:r w:rsidRPr="002576A3">
        <w:rPr>
          <w:sz w:val="20"/>
          <w:szCs w:val="20"/>
        </w:rPr>
        <w:t>见第</w:t>
      </w:r>
      <w:proofErr w:type="spellEnd"/>
      <w:r w:rsidRPr="002576A3">
        <w:rPr>
          <w:sz w:val="20"/>
          <w:szCs w:val="20"/>
        </w:rPr>
        <w:t>CP-10/9</w:t>
      </w:r>
      <w:proofErr w:type="spellStart"/>
      <w:r w:rsidRPr="002576A3">
        <w:rPr>
          <w:sz w:val="20"/>
          <w:szCs w:val="20"/>
        </w:rPr>
        <w:t>号决定</w:t>
      </w:r>
      <w:proofErr w:type="spellEnd"/>
      <w:r w:rsidRPr="002576A3">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val="0"/>
        <w:kern w:val="22"/>
        <w:sz w:val="24"/>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2063DE20" w:rsidR="004B5B14" w:rsidRPr="005F2EEE" w:rsidRDefault="009D512B" w:rsidP="005F2EEE">
        <w:pPr>
          <w:pStyle w:val="Header"/>
          <w:suppressLineNumbers/>
          <w:tabs>
            <w:tab w:val="clear" w:pos="4320"/>
            <w:tab w:val="clear" w:pos="8640"/>
          </w:tabs>
          <w:suppressAutoHyphens/>
          <w:kinsoku w:val="0"/>
          <w:overflowPunct w:val="0"/>
          <w:autoSpaceDE w:val="0"/>
          <w:autoSpaceDN w:val="0"/>
          <w:jc w:val="left"/>
          <w:rPr>
            <w:kern w:val="22"/>
          </w:rPr>
        </w:pPr>
        <w:r w:rsidRPr="009D512B">
          <w:rPr>
            <w:rFonts w:eastAsia="Times New Roman"/>
            <w:snapToGrid w:val="0"/>
            <w:kern w:val="22"/>
            <w:sz w:val="24"/>
          </w:rPr>
          <w:t>CBD/</w:t>
        </w:r>
        <w:r w:rsidRPr="009D512B">
          <w:rPr>
            <w:rFonts w:eastAsia="Times New Roman" w:hint="eastAsia"/>
            <w:snapToGrid w:val="0"/>
            <w:kern w:val="22"/>
            <w:sz w:val="24"/>
          </w:rPr>
          <w:t>CP</w:t>
        </w:r>
        <w:r w:rsidRPr="009D512B">
          <w:rPr>
            <w:rFonts w:eastAsia="Times New Roman"/>
            <w:snapToGrid w:val="0"/>
            <w:kern w:val="22"/>
            <w:sz w:val="24"/>
          </w:rPr>
          <w:t>/MOP/DEC/10/13</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07D82836" w:rsidR="0002388F" w:rsidRPr="005F2EEE" w:rsidRDefault="009D512B"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CBD/CP/MOP/DEC/10/13</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4"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17209992">
    <w:abstractNumId w:val="23"/>
  </w:num>
  <w:num w:numId="2" w16cid:durableId="177500864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90983">
    <w:abstractNumId w:val="28"/>
  </w:num>
  <w:num w:numId="4" w16cid:durableId="1023937610">
    <w:abstractNumId w:val="12"/>
  </w:num>
  <w:num w:numId="5" w16cid:durableId="369574377">
    <w:abstractNumId w:val="18"/>
  </w:num>
  <w:num w:numId="6" w16cid:durableId="480856206">
    <w:abstractNumId w:val="0"/>
  </w:num>
  <w:num w:numId="7" w16cid:durableId="391317498">
    <w:abstractNumId w:val="20"/>
  </w:num>
  <w:num w:numId="8" w16cid:durableId="1626154327">
    <w:abstractNumId w:val="26"/>
  </w:num>
  <w:num w:numId="9" w16cid:durableId="1215700461">
    <w:abstractNumId w:val="11"/>
  </w:num>
  <w:num w:numId="10" w16cid:durableId="1082798388">
    <w:abstractNumId w:val="3"/>
  </w:num>
  <w:num w:numId="11" w16cid:durableId="1946814365">
    <w:abstractNumId w:val="27"/>
  </w:num>
  <w:num w:numId="12" w16cid:durableId="1053046831">
    <w:abstractNumId w:val="7"/>
  </w:num>
  <w:num w:numId="13" w16cid:durableId="943805505">
    <w:abstractNumId w:val="4"/>
  </w:num>
  <w:num w:numId="14" w16cid:durableId="1130631178">
    <w:abstractNumId w:val="9"/>
  </w:num>
  <w:num w:numId="15" w16cid:durableId="598030429">
    <w:abstractNumId w:val="25"/>
  </w:num>
  <w:num w:numId="16" w16cid:durableId="1730378897">
    <w:abstractNumId w:val="2"/>
  </w:num>
  <w:num w:numId="17" w16cid:durableId="85542404">
    <w:abstractNumId w:val="21"/>
  </w:num>
  <w:num w:numId="18" w16cid:durableId="1262297804">
    <w:abstractNumId w:val="14"/>
  </w:num>
  <w:num w:numId="19" w16cid:durableId="1577595926">
    <w:abstractNumId w:val="22"/>
  </w:num>
  <w:num w:numId="20" w16cid:durableId="555286823">
    <w:abstractNumId w:val="6"/>
  </w:num>
  <w:num w:numId="21" w16cid:durableId="1399674416">
    <w:abstractNumId w:val="16"/>
  </w:num>
  <w:num w:numId="22" w16cid:durableId="1748844186">
    <w:abstractNumId w:val="13"/>
  </w:num>
  <w:num w:numId="23" w16cid:durableId="379281401">
    <w:abstractNumId w:val="29"/>
  </w:num>
  <w:num w:numId="24" w16cid:durableId="899556041">
    <w:abstractNumId w:val="8"/>
  </w:num>
  <w:num w:numId="25" w16cid:durableId="1249728555">
    <w:abstractNumId w:val="16"/>
  </w:num>
  <w:num w:numId="26" w16cid:durableId="59064484">
    <w:abstractNumId w:val="15"/>
  </w:num>
  <w:num w:numId="27" w16cid:durableId="444618986">
    <w:abstractNumId w:val="5"/>
  </w:num>
  <w:num w:numId="28" w16cid:durableId="1186552846">
    <w:abstractNumId w:val="19"/>
  </w:num>
  <w:num w:numId="29" w16cid:durableId="2081950369">
    <w:abstractNumId w:val="1"/>
  </w:num>
  <w:num w:numId="30" w16cid:durableId="1416051221">
    <w:abstractNumId w:val="24"/>
  </w:num>
  <w:num w:numId="31" w16cid:durableId="2103255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380B"/>
    <w:rsid w:val="00015A52"/>
    <w:rsid w:val="0002388F"/>
    <w:rsid w:val="000249E5"/>
    <w:rsid w:val="00030B91"/>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C3"/>
    <w:rsid w:val="002438E2"/>
    <w:rsid w:val="00246F68"/>
    <w:rsid w:val="00247ECF"/>
    <w:rsid w:val="002576A3"/>
    <w:rsid w:val="0026167E"/>
    <w:rsid w:val="002753B8"/>
    <w:rsid w:val="002755E5"/>
    <w:rsid w:val="00275EEF"/>
    <w:rsid w:val="0028146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3548"/>
    <w:rsid w:val="003A719D"/>
    <w:rsid w:val="003B216B"/>
    <w:rsid w:val="003B3753"/>
    <w:rsid w:val="003B4E19"/>
    <w:rsid w:val="003C58A5"/>
    <w:rsid w:val="003C73EC"/>
    <w:rsid w:val="003C7C20"/>
    <w:rsid w:val="003D0155"/>
    <w:rsid w:val="003E01C1"/>
    <w:rsid w:val="003F0AD7"/>
    <w:rsid w:val="003F6C8C"/>
    <w:rsid w:val="00404050"/>
    <w:rsid w:val="004068F3"/>
    <w:rsid w:val="00412E5D"/>
    <w:rsid w:val="004314AF"/>
    <w:rsid w:val="00445D10"/>
    <w:rsid w:val="00452B60"/>
    <w:rsid w:val="004637C3"/>
    <w:rsid w:val="0046787F"/>
    <w:rsid w:val="00477501"/>
    <w:rsid w:val="00484A58"/>
    <w:rsid w:val="0049569B"/>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E437E"/>
    <w:rsid w:val="006F1C6A"/>
    <w:rsid w:val="006F4824"/>
    <w:rsid w:val="007009BD"/>
    <w:rsid w:val="00700A91"/>
    <w:rsid w:val="007012C3"/>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6E5A"/>
    <w:rsid w:val="00792AD8"/>
    <w:rsid w:val="0079480A"/>
    <w:rsid w:val="007A3272"/>
    <w:rsid w:val="007A7EA4"/>
    <w:rsid w:val="007B7E70"/>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D512B"/>
    <w:rsid w:val="009E2C86"/>
    <w:rsid w:val="009E4492"/>
    <w:rsid w:val="009F1870"/>
    <w:rsid w:val="009F290B"/>
    <w:rsid w:val="009F33A3"/>
    <w:rsid w:val="009F6BBE"/>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5596"/>
    <w:rsid w:val="00B12A30"/>
    <w:rsid w:val="00B14B4A"/>
    <w:rsid w:val="00B16922"/>
    <w:rsid w:val="00B22003"/>
    <w:rsid w:val="00B22966"/>
    <w:rsid w:val="00B26194"/>
    <w:rsid w:val="00B35490"/>
    <w:rsid w:val="00B40C19"/>
    <w:rsid w:val="00B40E7A"/>
    <w:rsid w:val="00B421D4"/>
    <w:rsid w:val="00B4605F"/>
    <w:rsid w:val="00B46211"/>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41FD"/>
    <w:rsid w:val="00BC61B1"/>
    <w:rsid w:val="00BC7C9C"/>
    <w:rsid w:val="00BD0282"/>
    <w:rsid w:val="00BD12A7"/>
    <w:rsid w:val="00BD1D9C"/>
    <w:rsid w:val="00BE76A0"/>
    <w:rsid w:val="00C04047"/>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C793A"/>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21CC"/>
    <w:rsid w:val="00F2795D"/>
    <w:rsid w:val="00F34EF1"/>
    <w:rsid w:val="00F422F4"/>
    <w:rsid w:val="00F47D48"/>
    <w:rsid w:val="00F504CE"/>
    <w:rsid w:val="00F52A5E"/>
    <w:rsid w:val="00F63081"/>
    <w:rsid w:val="00F668B9"/>
    <w:rsid w:val="00F67477"/>
    <w:rsid w:val="00F734A9"/>
    <w:rsid w:val="00F75793"/>
    <w:rsid w:val="00FB3CA3"/>
    <w:rsid w:val="00FC62AB"/>
    <w:rsid w:val="00FD2796"/>
    <w:rsid w:val="00FD4292"/>
    <w:rsid w:val="00FD7C21"/>
    <w:rsid w:val="00FE181F"/>
    <w:rsid w:val="00FE2DE9"/>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qFormat="1"/>
    <w:lsdException w:name="caption" w:semiHidden="1" w:uiPriority="35" w:unhideWhenUsed="1" w:qFormat="1"/>
    <w:lsdException w:name="footnote reference" w:qFormat="1"/>
    <w:lsdException w:name="Title" w:uiPriority="10" w:qFormat="1"/>
    <w:lsdException w:name="Subtitle" w:uiPriority="11"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uiPriority w:val="99"/>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757F2"/>
    <w:rsid w:val="00081582"/>
    <w:rsid w:val="000908FB"/>
    <w:rsid w:val="001E42AC"/>
    <w:rsid w:val="002200E2"/>
    <w:rsid w:val="00224182"/>
    <w:rsid w:val="00270F9D"/>
    <w:rsid w:val="00291B53"/>
    <w:rsid w:val="00451CE6"/>
    <w:rsid w:val="004902DD"/>
    <w:rsid w:val="004C0C98"/>
    <w:rsid w:val="005455B3"/>
    <w:rsid w:val="00596038"/>
    <w:rsid w:val="005F2939"/>
    <w:rsid w:val="006667E8"/>
    <w:rsid w:val="007F3F95"/>
    <w:rsid w:val="0089364D"/>
    <w:rsid w:val="00974E94"/>
    <w:rsid w:val="00A1458C"/>
    <w:rsid w:val="00A66F70"/>
    <w:rsid w:val="00AB0D60"/>
    <w:rsid w:val="00B10E24"/>
    <w:rsid w:val="00B81CC7"/>
    <w:rsid w:val="00C220D1"/>
    <w:rsid w:val="00CD512D"/>
    <w:rsid w:val="00D305B3"/>
    <w:rsid w:val="00D52EB5"/>
    <w:rsid w:val="00D53CDE"/>
    <w:rsid w:val="00D53FB5"/>
    <w:rsid w:val="00DA1EAD"/>
    <w:rsid w:val="00DF34DB"/>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2AC"/>
    <w:rPr>
      <w:color w:val="808080"/>
    </w:rPr>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3.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4.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CBD/CP/MOP/DEC/10/13</dc:subject>
  <dc:creator>SECRETARIAT OF THE CONVENTION ON BIOLOGICAL DIVESITY</dc:creator>
  <cp:keywords>Conference of the Parties to the Convention on Biological Diversity, fifteenth meeting, 11-15 October 2021 and 25 April – 8 May 2022</cp:keywords>
  <cp:lastModifiedBy>Steve Pei</cp:lastModifiedBy>
  <cp:revision>8</cp:revision>
  <cp:lastPrinted>2023-02-17T13:41:00Z</cp:lastPrinted>
  <dcterms:created xsi:type="dcterms:W3CDTF">2023-02-17T13:39:00Z</dcterms:created>
  <dcterms:modified xsi:type="dcterms:W3CDTF">2023-02-17T21:26:00Z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