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99"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4"/>
        <w:gridCol w:w="5141"/>
        <w:gridCol w:w="4214"/>
      </w:tblGrid>
      <w:tr w:rsidR="00217EE4" w:rsidRPr="003D067D" w14:paraId="3D166906" w14:textId="77777777" w:rsidTr="008F77F6">
        <w:trPr>
          <w:trHeight w:val="844"/>
        </w:trPr>
        <w:tc>
          <w:tcPr>
            <w:tcW w:w="744" w:type="dxa"/>
            <w:tcBorders>
              <w:bottom w:val="single" w:sz="12" w:space="0" w:color="auto"/>
            </w:tcBorders>
          </w:tcPr>
          <w:p w14:paraId="04D825B1" w14:textId="77777777" w:rsidR="00217EE4" w:rsidRPr="008A0A75" w:rsidRDefault="00217EE4" w:rsidP="008F77F6">
            <w:pPr>
              <w:rPr>
                <w:kern w:val="22"/>
              </w:rPr>
            </w:pPr>
            <w:bookmarkStart w:id="0" w:name="_Hlk505247837"/>
            <w:r w:rsidRPr="008A0A75">
              <w:rPr>
                <w:noProof/>
                <w:kern w:val="22"/>
                <w:lang w:val="ru-RU" w:eastAsia="ru-RU"/>
              </w:rPr>
              <w:drawing>
                <wp:anchor distT="0" distB="0" distL="114300" distR="114300" simplePos="0" relativeHeight="251659264" behindDoc="0" locked="0" layoutInCell="1" allowOverlap="1" wp14:anchorId="26ECF2CA" wp14:editId="6B2AE9F9">
                  <wp:simplePos x="0" y="0"/>
                  <wp:positionH relativeFrom="column">
                    <wp:posOffset>365</wp:posOffset>
                  </wp:positionH>
                  <wp:positionV relativeFrom="page">
                    <wp:posOffset>-122</wp:posOffset>
                  </wp:positionV>
                  <wp:extent cx="476250" cy="402590"/>
                  <wp:effectExtent l="0" t="0" r="0" b="0"/>
                  <wp:wrapNone/>
                  <wp:docPr id="4"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732AAE5F" w14:textId="77777777" w:rsidR="00217EE4" w:rsidRPr="008A0A75" w:rsidRDefault="00217EE4" w:rsidP="008F77F6">
            <w:pPr>
              <w:ind w:left="175"/>
              <w:rPr>
                <w:kern w:val="22"/>
              </w:rPr>
            </w:pPr>
            <w:r w:rsidRPr="00FE14F7">
              <w:rPr>
                <w:noProof/>
                <w:lang w:val="ru-RU" w:eastAsia="ru-RU"/>
              </w:rPr>
              <w:drawing>
                <wp:inline distT="0" distB="0" distL="0" distR="0" wp14:anchorId="685EF74E" wp14:editId="1E42634C">
                  <wp:extent cx="806027" cy="345440"/>
                  <wp:effectExtent l="0" t="0" r="0" b="0"/>
                  <wp:docPr id="5"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07408" cy="346032"/>
                          </a:xfrm>
                          <a:prstGeom prst="rect">
                            <a:avLst/>
                          </a:prstGeom>
                          <a:noFill/>
                          <a:ln>
                            <a:noFill/>
                          </a:ln>
                        </pic:spPr>
                      </pic:pic>
                    </a:graphicData>
                  </a:graphic>
                </wp:inline>
              </w:drawing>
            </w:r>
          </w:p>
        </w:tc>
        <w:tc>
          <w:tcPr>
            <w:tcW w:w="4214" w:type="dxa"/>
            <w:tcBorders>
              <w:bottom w:val="single" w:sz="12" w:space="0" w:color="auto"/>
            </w:tcBorders>
          </w:tcPr>
          <w:p w14:paraId="47705FC2" w14:textId="77777777" w:rsidR="00217EE4" w:rsidRPr="008A0A75" w:rsidRDefault="00217EE4" w:rsidP="008F77F6">
            <w:pPr>
              <w:jc w:val="right"/>
              <w:rPr>
                <w:rFonts w:ascii="Arial" w:hAnsi="Arial" w:cs="Arial"/>
                <w:b/>
                <w:kern w:val="22"/>
                <w:sz w:val="32"/>
                <w:szCs w:val="32"/>
              </w:rPr>
            </w:pPr>
            <w:r w:rsidRPr="008A0A75">
              <w:rPr>
                <w:rFonts w:ascii="Arial" w:hAnsi="Arial" w:cs="Arial"/>
                <w:b/>
                <w:kern w:val="22"/>
                <w:sz w:val="32"/>
                <w:szCs w:val="32"/>
              </w:rPr>
              <w:t>CBD</w:t>
            </w:r>
          </w:p>
        </w:tc>
      </w:tr>
      <w:bookmarkEnd w:id="0"/>
    </w:tbl>
    <w:tbl>
      <w:tblPr>
        <w:tblW w:w="10207" w:type="dxa"/>
        <w:tblInd w:w="-318" w:type="dxa"/>
        <w:tblBorders>
          <w:bottom w:val="single" w:sz="36" w:space="0" w:color="000000"/>
        </w:tblBorders>
        <w:tblLayout w:type="fixed"/>
        <w:tblLook w:val="0000" w:firstRow="0" w:lastRow="0" w:firstColumn="0" w:lastColumn="0" w:noHBand="0" w:noVBand="0"/>
      </w:tblPr>
      <w:tblGrid>
        <w:gridCol w:w="6086"/>
        <w:gridCol w:w="1144"/>
        <w:gridCol w:w="2977"/>
      </w:tblGrid>
      <w:tr w:rsidR="00217EE4" w:rsidRPr="003D067D" w14:paraId="3DF22E9D" w14:textId="77777777" w:rsidTr="008F77F6">
        <w:trPr>
          <w:trHeight w:val="1693"/>
        </w:trPr>
        <w:tc>
          <w:tcPr>
            <w:tcW w:w="6086" w:type="dxa"/>
            <w:tcBorders>
              <w:top w:val="nil"/>
              <w:bottom w:val="single" w:sz="36" w:space="0" w:color="000000"/>
            </w:tcBorders>
          </w:tcPr>
          <w:p w14:paraId="1FC7D2F7" w14:textId="77777777" w:rsidR="00217EE4" w:rsidRDefault="00217EE4" w:rsidP="008F77F6">
            <w:pPr>
              <w:suppressLineNumbers/>
              <w:suppressAutoHyphens/>
              <w:rPr>
                <w:noProof/>
                <w:lang w:val="ru-RU" w:eastAsia="ru-RU"/>
              </w:rPr>
            </w:pPr>
          </w:p>
          <w:p w14:paraId="4FF501A8" w14:textId="77777777" w:rsidR="00217EE4" w:rsidRPr="003D067D" w:rsidRDefault="00217EE4" w:rsidP="008F77F6">
            <w:pPr>
              <w:suppressLineNumbers/>
              <w:suppressAutoHyphens/>
              <w:rPr>
                <w:rFonts w:ascii="Univers" w:hAnsi="Univers"/>
                <w:snapToGrid w:val="0"/>
                <w:kern w:val="22"/>
              </w:rPr>
            </w:pPr>
            <w:r>
              <w:rPr>
                <w:noProof/>
                <w:lang w:val="ru-RU" w:eastAsia="ru-RU"/>
              </w:rPr>
              <w:drawing>
                <wp:inline distT="0" distB="0" distL="0" distR="0" wp14:anchorId="73E82D07" wp14:editId="2D145E41">
                  <wp:extent cx="2611120" cy="1076740"/>
                  <wp:effectExtent l="0" t="0" r="0" b="9525"/>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6200" cy="1078835"/>
                          </a:xfrm>
                          <a:prstGeom prst="rect">
                            <a:avLst/>
                          </a:prstGeom>
                          <a:noFill/>
                          <a:ln>
                            <a:noFill/>
                          </a:ln>
                        </pic:spPr>
                      </pic:pic>
                    </a:graphicData>
                  </a:graphic>
                </wp:inline>
              </w:drawing>
            </w:r>
          </w:p>
        </w:tc>
        <w:tc>
          <w:tcPr>
            <w:tcW w:w="1144" w:type="dxa"/>
            <w:tcBorders>
              <w:top w:val="nil"/>
              <w:bottom w:val="single" w:sz="36" w:space="0" w:color="000000"/>
            </w:tcBorders>
          </w:tcPr>
          <w:p w14:paraId="054D5F27" w14:textId="77777777" w:rsidR="00217EE4" w:rsidRPr="00D0496C" w:rsidRDefault="00217EE4" w:rsidP="008F77F6">
            <w:pPr>
              <w:pStyle w:val="En-tte"/>
              <w:suppressLineNumbers/>
              <w:suppressAutoHyphens/>
              <w:rPr>
                <w:rFonts w:eastAsia="MS Mincho"/>
                <w:bCs/>
                <w:snapToGrid w:val="0"/>
                <w:kern w:val="22"/>
              </w:rPr>
            </w:pPr>
          </w:p>
        </w:tc>
        <w:tc>
          <w:tcPr>
            <w:tcW w:w="2977" w:type="dxa"/>
            <w:tcBorders>
              <w:top w:val="nil"/>
              <w:bottom w:val="single" w:sz="36" w:space="0" w:color="000000"/>
            </w:tcBorders>
          </w:tcPr>
          <w:p w14:paraId="04481BD6" w14:textId="77777777" w:rsidR="00217EE4" w:rsidRPr="001334EC" w:rsidRDefault="00217EE4" w:rsidP="008F77F6">
            <w:pPr>
              <w:suppressLineNumbers/>
              <w:suppressAutoHyphens/>
              <w:ind w:left="318"/>
              <w:rPr>
                <w:rFonts w:asciiTheme="majorBidi" w:hAnsiTheme="majorBidi" w:cstheme="majorBidi"/>
                <w:snapToGrid w:val="0"/>
                <w:kern w:val="22"/>
              </w:rPr>
            </w:pPr>
            <w:r w:rsidRPr="001334EC">
              <w:rPr>
                <w:rFonts w:asciiTheme="majorBidi" w:hAnsiTheme="majorBidi" w:cstheme="majorBidi"/>
                <w:snapToGrid w:val="0"/>
                <w:kern w:val="22"/>
              </w:rPr>
              <w:t>Distr.</w:t>
            </w:r>
          </w:p>
          <w:p w14:paraId="5D608ADA" w14:textId="11B57119" w:rsidR="00217EE4" w:rsidRPr="00677DFF" w:rsidRDefault="00677DFF" w:rsidP="008F77F6">
            <w:pPr>
              <w:suppressLineNumbers/>
              <w:suppressAutoHyphens/>
              <w:ind w:left="318"/>
              <w:rPr>
                <w:rFonts w:asciiTheme="majorBidi" w:hAnsiTheme="majorBidi" w:cstheme="majorBidi"/>
                <w:snapToGrid w:val="0"/>
                <w:kern w:val="22"/>
                <w:lang w:val="ru-RU"/>
              </w:rPr>
            </w:pPr>
            <w:r>
              <w:rPr>
                <w:caps/>
                <w:szCs w:val="22"/>
              </w:rPr>
              <w:t>General</w:t>
            </w:r>
          </w:p>
          <w:p w14:paraId="5BBBAA2E" w14:textId="77777777" w:rsidR="00217EE4" w:rsidRPr="001334EC" w:rsidRDefault="00217EE4" w:rsidP="008F77F6">
            <w:pPr>
              <w:suppressLineNumbers/>
              <w:suppressAutoHyphens/>
              <w:ind w:left="318"/>
              <w:rPr>
                <w:rFonts w:asciiTheme="majorBidi" w:hAnsiTheme="majorBidi" w:cstheme="majorBidi"/>
                <w:snapToGrid w:val="0"/>
                <w:kern w:val="22"/>
              </w:rPr>
            </w:pPr>
          </w:p>
          <w:bookmarkStart w:id="1" w:name="_Hlk22815168" w:displacedByCustomXml="next"/>
          <w:sdt>
            <w:sdtPr>
              <w:rPr>
                <w:lang w:val="en-US"/>
              </w:rPr>
              <w:alias w:val="Subject"/>
              <w:tag w:val=""/>
              <w:id w:val="-1155982080"/>
              <w:placeholder>
                <w:docPart w:val="82697F0D6E1642D7857F496C4D35E955"/>
              </w:placeholder>
              <w:dataBinding w:prefixMappings="xmlns:ns0='http://purl.org/dc/elements/1.1/' xmlns:ns1='http://schemas.openxmlformats.org/package/2006/metadata/core-properties' " w:xpath="/ns1:coreProperties[1]/ns0:subject[1]" w:storeItemID="{6C3C8BC8-F283-45AE-878A-BAB7291924A1}"/>
              <w:text/>
            </w:sdtPr>
            <w:sdtContent>
              <w:bookmarkEnd w:id="1" w:displacedByCustomXml="prev"/>
              <w:p w14:paraId="497C9082" w14:textId="17B910CA" w:rsidR="00217EE4" w:rsidRPr="001334EC" w:rsidRDefault="00677DFF" w:rsidP="008F77F6">
                <w:pPr>
                  <w:suppressLineNumbers/>
                  <w:suppressAutoHyphens/>
                  <w:ind w:left="318"/>
                  <w:rPr>
                    <w:rFonts w:asciiTheme="majorBidi" w:hAnsiTheme="majorBidi" w:cstheme="majorBidi"/>
                    <w:snapToGrid w:val="0"/>
                    <w:kern w:val="22"/>
                  </w:rPr>
                </w:pPr>
                <w:r w:rsidRPr="00677DFF">
                  <w:rPr>
                    <w:lang w:val="en-US"/>
                  </w:rPr>
                  <w:t>CBD/CP/MOP/DEC/10/13</w:t>
                </w:r>
              </w:p>
            </w:sdtContent>
          </w:sdt>
          <w:p w14:paraId="4AC0B759" w14:textId="2CD2918C" w:rsidR="00217EE4" w:rsidRPr="001334EC" w:rsidRDefault="00677DFF" w:rsidP="008F77F6">
            <w:pPr>
              <w:suppressLineNumbers/>
              <w:suppressAutoHyphens/>
              <w:ind w:left="318"/>
              <w:rPr>
                <w:rFonts w:asciiTheme="majorBidi" w:hAnsiTheme="majorBidi" w:cstheme="majorBidi"/>
                <w:snapToGrid w:val="0"/>
                <w:kern w:val="22"/>
              </w:rPr>
            </w:pPr>
            <w:r>
              <w:rPr>
                <w:rFonts w:asciiTheme="majorBidi" w:hAnsiTheme="majorBidi" w:cstheme="majorBidi"/>
                <w:snapToGrid w:val="0"/>
                <w:kern w:val="22"/>
                <w:lang w:val="ru-RU"/>
              </w:rPr>
              <w:t>1</w:t>
            </w:r>
            <w:r w:rsidR="00217EE4">
              <w:rPr>
                <w:rFonts w:asciiTheme="majorBidi" w:hAnsiTheme="majorBidi" w:cstheme="majorBidi"/>
                <w:snapToGrid w:val="0"/>
                <w:kern w:val="22"/>
                <w:lang w:val="ru-RU"/>
              </w:rPr>
              <w:t xml:space="preserve">9 </w:t>
            </w:r>
            <w:r w:rsidR="00217EE4">
              <w:rPr>
                <w:rFonts w:asciiTheme="majorBidi" w:hAnsiTheme="majorBidi" w:cstheme="majorBidi"/>
                <w:snapToGrid w:val="0"/>
                <w:kern w:val="22"/>
                <w:lang w:val="en-US"/>
              </w:rPr>
              <w:t>December</w:t>
            </w:r>
            <w:r w:rsidR="00217EE4" w:rsidRPr="001334EC">
              <w:rPr>
                <w:rFonts w:asciiTheme="majorBidi" w:hAnsiTheme="majorBidi" w:cstheme="majorBidi"/>
                <w:snapToGrid w:val="0"/>
                <w:kern w:val="22"/>
              </w:rPr>
              <w:t xml:space="preserve"> 2022</w:t>
            </w:r>
          </w:p>
          <w:p w14:paraId="5E46AF4A" w14:textId="77777777" w:rsidR="00217EE4" w:rsidRPr="001334EC" w:rsidRDefault="00217EE4" w:rsidP="008F77F6">
            <w:pPr>
              <w:suppressLineNumbers/>
              <w:suppressAutoHyphens/>
              <w:ind w:left="318"/>
              <w:rPr>
                <w:rFonts w:asciiTheme="majorBidi" w:hAnsiTheme="majorBidi" w:cstheme="majorBidi"/>
                <w:snapToGrid w:val="0"/>
                <w:kern w:val="22"/>
              </w:rPr>
            </w:pPr>
          </w:p>
          <w:p w14:paraId="58BFA18B" w14:textId="77777777" w:rsidR="00217EE4" w:rsidRPr="00FE14F7" w:rsidRDefault="00217EE4" w:rsidP="008F77F6">
            <w:pPr>
              <w:suppressLineNumbers/>
              <w:suppressAutoHyphens/>
              <w:ind w:left="318"/>
              <w:rPr>
                <w:rFonts w:asciiTheme="majorBidi" w:hAnsiTheme="majorBidi" w:cstheme="majorBidi"/>
                <w:snapToGrid w:val="0"/>
                <w:kern w:val="22"/>
              </w:rPr>
            </w:pPr>
            <w:r>
              <w:rPr>
                <w:rFonts w:asciiTheme="majorBidi" w:hAnsiTheme="majorBidi" w:cstheme="majorBidi"/>
                <w:snapToGrid w:val="0"/>
                <w:kern w:val="22"/>
              </w:rPr>
              <w:t>RUSSIAN</w:t>
            </w:r>
          </w:p>
          <w:p w14:paraId="4AA52E68" w14:textId="77777777" w:rsidR="00217EE4" w:rsidRPr="00731435" w:rsidRDefault="00217EE4" w:rsidP="008F77F6">
            <w:pPr>
              <w:suppressLineNumbers/>
              <w:suppressAutoHyphens/>
              <w:ind w:left="318"/>
              <w:rPr>
                <w:snapToGrid w:val="0"/>
                <w:kern w:val="22"/>
                <w:u w:val="single"/>
              </w:rPr>
            </w:pPr>
            <w:r w:rsidRPr="001334EC">
              <w:rPr>
                <w:rFonts w:asciiTheme="majorBidi" w:hAnsiTheme="majorBidi" w:cstheme="majorBidi"/>
                <w:snapToGrid w:val="0"/>
                <w:kern w:val="22"/>
              </w:rPr>
              <w:t>ORIGINAL: ENGLISH</w:t>
            </w:r>
          </w:p>
        </w:tc>
      </w:tr>
    </w:tbl>
    <w:p w14:paraId="0EF306EB" w14:textId="77777777" w:rsidR="00217EE4" w:rsidRDefault="00217EE4" w:rsidP="00217EE4">
      <w:pPr>
        <w:pStyle w:val="Cornernotation"/>
        <w:ind w:left="227" w:right="3780" w:hanging="227"/>
        <w:rPr>
          <w:lang w:val="ru-RU"/>
        </w:rPr>
      </w:pPr>
      <w:r>
        <w:rPr>
          <w:color w:val="000000"/>
          <w:lang w:val="ru-RU" w:bidi="he-IL"/>
        </w:rPr>
        <w:t>КОНФЕРЕНЦИЯ СТОРОН КОНВЕНЦИИ О БИОЛОГИЧЕСКОМ РАЗНООБРАЗИИ, ВЫСТУПАЮЩАЯ В КАЧЕСТВЕ СОВЕЩАНИЯ СТОРОН КАРТАХЕНСКОГО ПРОТОКОЛА ПО БИОБЕЗОПАСНОСТИ</w:t>
      </w:r>
    </w:p>
    <w:p w14:paraId="1C5D1C99" w14:textId="77777777" w:rsidR="00217EE4" w:rsidRPr="003E3A1C" w:rsidRDefault="00217EE4" w:rsidP="00217EE4">
      <w:pPr>
        <w:ind w:left="170" w:right="4115" w:hanging="170"/>
        <w:rPr>
          <w:lang w:val="ru-RU"/>
        </w:rPr>
      </w:pPr>
      <w:r>
        <w:rPr>
          <w:lang w:val="ru-RU"/>
        </w:rPr>
        <w:t xml:space="preserve">Десятое совещание, часть </w:t>
      </w:r>
      <w:r>
        <w:rPr>
          <w:lang w:val="fr-FR"/>
        </w:rPr>
        <w:t>II</w:t>
      </w:r>
    </w:p>
    <w:p w14:paraId="3B1EC80A" w14:textId="764474B3" w:rsidR="00217EE4" w:rsidRPr="003F7107" w:rsidRDefault="00217EE4" w:rsidP="00217EE4">
      <w:pPr>
        <w:pStyle w:val="Cornernotation"/>
        <w:rPr>
          <w:lang w:val="ru-RU"/>
        </w:rPr>
      </w:pPr>
      <w:r>
        <w:rPr>
          <w:szCs w:val="22"/>
          <w:lang w:val="ru-RU"/>
        </w:rPr>
        <w:t xml:space="preserve">Монреаль, Канада, </w:t>
      </w:r>
      <w:proofErr w:type="gramStart"/>
      <w:r>
        <w:rPr>
          <w:szCs w:val="22"/>
          <w:lang w:val="ru-RU"/>
        </w:rPr>
        <w:t>7-19</w:t>
      </w:r>
      <w:proofErr w:type="gramEnd"/>
      <w:r>
        <w:rPr>
          <w:szCs w:val="22"/>
          <w:lang w:val="ru-RU"/>
        </w:rPr>
        <w:t xml:space="preserve"> декабря 2022 г</w:t>
      </w:r>
      <w:r w:rsidR="003F7107">
        <w:rPr>
          <w:szCs w:val="22"/>
          <w:lang w:val="ru-RU"/>
        </w:rPr>
        <w:t>ода</w:t>
      </w:r>
    </w:p>
    <w:p w14:paraId="1923B0CF" w14:textId="57DEFACC" w:rsidR="0042763C" w:rsidRDefault="003F7107" w:rsidP="003F7107">
      <w:pPr>
        <w:rPr>
          <w:snapToGrid w:val="0"/>
          <w:kern w:val="22"/>
          <w:szCs w:val="22"/>
          <w:lang w:val="ru-RU"/>
        </w:rPr>
      </w:pPr>
      <w:r>
        <w:rPr>
          <w:snapToGrid w:val="0"/>
          <w:kern w:val="22"/>
          <w:szCs w:val="22"/>
          <w:lang w:val="ru-RU"/>
        </w:rPr>
        <w:t>Пункт</w:t>
      </w:r>
      <w:r w:rsidR="00217EE4" w:rsidRPr="003F7107">
        <w:rPr>
          <w:snapToGrid w:val="0"/>
          <w:kern w:val="22"/>
          <w:szCs w:val="22"/>
          <w:lang w:val="ru-RU"/>
        </w:rPr>
        <w:t xml:space="preserve"> </w:t>
      </w:r>
      <w:r w:rsidR="00217EE4">
        <w:rPr>
          <w:snapToGrid w:val="0"/>
          <w:kern w:val="22"/>
          <w:szCs w:val="22"/>
          <w:lang w:val="ru-RU"/>
        </w:rPr>
        <w:t>17</w:t>
      </w:r>
      <w:r w:rsidR="00217EE4" w:rsidRPr="003F7107">
        <w:rPr>
          <w:snapToGrid w:val="0"/>
          <w:kern w:val="22"/>
          <w:szCs w:val="22"/>
          <w:lang w:val="ru-RU"/>
        </w:rPr>
        <w:t xml:space="preserve"> </w:t>
      </w:r>
      <w:r>
        <w:rPr>
          <w:snapToGrid w:val="0"/>
          <w:kern w:val="22"/>
          <w:szCs w:val="22"/>
          <w:lang w:val="ru-RU"/>
        </w:rPr>
        <w:t>повестки дня</w:t>
      </w:r>
    </w:p>
    <w:p w14:paraId="0EA2C345" w14:textId="77777777" w:rsidR="008D6A2E" w:rsidRPr="005D254D" w:rsidRDefault="008D6A2E" w:rsidP="008D6A2E">
      <w:pPr>
        <w:spacing w:before="240" w:after="240"/>
        <w:jc w:val="center"/>
        <w:rPr>
          <w:b/>
          <w:bCs/>
        </w:rPr>
      </w:pPr>
      <w:r w:rsidRPr="005D254D">
        <w:rPr>
          <w:b/>
          <w:bCs/>
        </w:rPr>
        <w:t>РЕШЕНИЕ, ПРИНЯТОЕ СТОРОНАМИ КАРТАХЕНСКОГО ПРОТОКОЛА ПО БИОБЕЗОПАСНОСТИ</w:t>
      </w:r>
    </w:p>
    <w:p w14:paraId="5DA99371" w14:textId="1CE78149" w:rsidR="00C9161D" w:rsidRPr="00A5543C" w:rsidRDefault="00A5543C" w:rsidP="008D6A2E">
      <w:pPr>
        <w:spacing w:before="120" w:after="240"/>
        <w:jc w:val="center"/>
        <w:rPr>
          <w:b/>
          <w:bCs/>
          <w:caps/>
          <w:lang w:val="ru-RU"/>
        </w:rPr>
      </w:pPr>
      <w:sdt>
        <w:sdtPr>
          <w:rPr>
            <w:b/>
            <w:bCs/>
          </w:rPr>
          <w:alias w:val="Title"/>
          <w:tag w:val=""/>
          <w:id w:val="772832786"/>
          <w:placeholder>
            <w:docPart w:val="7E0485547563415784F9B28103CD7463"/>
          </w:placeholder>
          <w:dataBinding w:prefixMappings="xmlns:ns0='http://purl.org/dc/elements/1.1/' xmlns:ns1='http://schemas.openxmlformats.org/package/2006/metadata/core-properties' " w:xpath="/ns1:coreProperties[1]/ns0:title[1]" w:storeItemID="{6C3C8BC8-F283-45AE-878A-BAB7291924A1}"/>
          <w:text/>
        </w:sdtPr>
        <w:sdtContent>
          <w:r w:rsidRPr="00A5543C">
            <w:rPr>
              <w:b/>
              <w:bCs/>
            </w:rPr>
            <w:t>CP-10/13.</w:t>
          </w:r>
          <w:r w:rsidRPr="00A5543C">
            <w:rPr>
              <w:b/>
              <w:bCs/>
            </w:rPr>
            <w:tab/>
          </w:r>
          <w:proofErr w:type="spellStart"/>
          <w:r w:rsidRPr="00A5543C">
            <w:rPr>
              <w:b/>
              <w:bCs/>
            </w:rPr>
            <w:t>Нагойско</w:t>
          </w:r>
          <w:proofErr w:type="spellEnd"/>
          <w:r w:rsidRPr="00A5543C">
            <w:rPr>
              <w:b/>
              <w:bCs/>
            </w:rPr>
            <w:t xml:space="preserve"> – </w:t>
          </w:r>
          <w:proofErr w:type="spellStart"/>
          <w:r w:rsidRPr="00A5543C">
            <w:rPr>
              <w:b/>
              <w:bCs/>
            </w:rPr>
            <w:t>Куала-лумпурский</w:t>
          </w:r>
          <w:proofErr w:type="spellEnd"/>
          <w:r w:rsidRPr="00A5543C">
            <w:rPr>
              <w:b/>
              <w:bCs/>
            </w:rPr>
            <w:t xml:space="preserve"> </w:t>
          </w:r>
          <w:proofErr w:type="spellStart"/>
          <w:r w:rsidRPr="00A5543C">
            <w:rPr>
              <w:b/>
              <w:bCs/>
            </w:rPr>
            <w:t>дополнительный</w:t>
          </w:r>
          <w:proofErr w:type="spellEnd"/>
          <w:r w:rsidRPr="00A5543C">
            <w:rPr>
              <w:b/>
              <w:bCs/>
            </w:rPr>
            <w:t xml:space="preserve"> протокол об ответственности и возмещении</w:t>
          </w:r>
        </w:sdtContent>
      </w:sdt>
      <w:r w:rsidR="00105372" w:rsidRPr="00A5543C">
        <w:rPr>
          <w:b/>
          <w:bCs/>
          <w:caps/>
          <w:lang w:val="ru-RU"/>
        </w:rPr>
        <w:t xml:space="preserve"> </w:t>
      </w:r>
    </w:p>
    <w:p w14:paraId="72446CB4" w14:textId="1834F2C4" w:rsidR="002D3E86" w:rsidRPr="00836BE5" w:rsidRDefault="00836BE5" w:rsidP="0018035A">
      <w:pPr>
        <w:pStyle w:val="HEADING"/>
        <w:shd w:val="clear" w:color="auto" w:fill="FFFFFF" w:themeFill="background1"/>
        <w:spacing w:before="120"/>
        <w:ind w:firstLine="720"/>
        <w:jc w:val="both"/>
        <w:rPr>
          <w:b w:val="0"/>
          <w:bCs w:val="0"/>
          <w:i/>
          <w:caps w:val="0"/>
          <w:lang w:val="ru-RU"/>
        </w:rPr>
      </w:pPr>
      <w:r w:rsidRPr="00836BE5">
        <w:rPr>
          <w:b w:val="0"/>
          <w:bCs w:val="0"/>
          <w:i/>
          <w:caps w:val="0"/>
          <w:lang w:val="ru-RU"/>
        </w:rPr>
        <w:t xml:space="preserve">Конференция Сторон, выступающая в качестве совещания Сторон </w:t>
      </w:r>
      <w:proofErr w:type="spellStart"/>
      <w:r w:rsidRPr="00836BE5">
        <w:rPr>
          <w:b w:val="0"/>
          <w:bCs w:val="0"/>
          <w:i/>
          <w:caps w:val="0"/>
          <w:lang w:val="ru-RU"/>
        </w:rPr>
        <w:t>Картахенского</w:t>
      </w:r>
      <w:proofErr w:type="spellEnd"/>
      <w:r w:rsidRPr="00836BE5">
        <w:rPr>
          <w:b w:val="0"/>
          <w:bCs w:val="0"/>
          <w:i/>
          <w:caps w:val="0"/>
          <w:lang w:val="ru-RU"/>
        </w:rPr>
        <w:t xml:space="preserve"> протокола по биобезопасности и далее выступающая в качестве совещания Сторон </w:t>
      </w:r>
      <w:proofErr w:type="spellStart"/>
      <w:r w:rsidRPr="00836BE5">
        <w:rPr>
          <w:b w:val="0"/>
          <w:bCs w:val="0"/>
          <w:i/>
          <w:caps w:val="0"/>
          <w:lang w:val="ru-RU"/>
        </w:rPr>
        <w:t>Нагойско</w:t>
      </w:r>
      <w:proofErr w:type="spellEnd"/>
      <w:r w:rsidR="00A5008F">
        <w:rPr>
          <w:b w:val="0"/>
          <w:bCs w:val="0"/>
          <w:i/>
          <w:caps w:val="0"/>
          <w:lang w:val="ru-RU"/>
        </w:rPr>
        <w:t> </w:t>
      </w:r>
      <w:r w:rsidRPr="00836BE5">
        <w:rPr>
          <w:b w:val="0"/>
          <w:bCs w:val="0"/>
          <w:i/>
          <w:caps w:val="0"/>
          <w:lang w:val="ru-RU"/>
        </w:rPr>
        <w:t>–</w:t>
      </w:r>
      <w:r w:rsidR="00A5008F">
        <w:rPr>
          <w:b w:val="0"/>
          <w:bCs w:val="0"/>
          <w:i/>
          <w:caps w:val="0"/>
          <w:lang w:val="ru-RU"/>
        </w:rPr>
        <w:t> </w:t>
      </w:r>
      <w:r w:rsidRPr="00836BE5">
        <w:rPr>
          <w:b w:val="0"/>
          <w:bCs w:val="0"/>
          <w:i/>
          <w:caps w:val="0"/>
          <w:lang w:val="ru-RU"/>
        </w:rPr>
        <w:t>Куала-</w:t>
      </w:r>
      <w:proofErr w:type="spellStart"/>
      <w:r w:rsidRPr="00836BE5">
        <w:rPr>
          <w:b w:val="0"/>
          <w:bCs w:val="0"/>
          <w:i/>
          <w:caps w:val="0"/>
          <w:lang w:val="ru-RU"/>
        </w:rPr>
        <w:t>лумпурского</w:t>
      </w:r>
      <w:proofErr w:type="spellEnd"/>
      <w:r w:rsidRPr="00836BE5">
        <w:rPr>
          <w:b w:val="0"/>
          <w:bCs w:val="0"/>
          <w:i/>
          <w:caps w:val="0"/>
          <w:lang w:val="ru-RU"/>
        </w:rPr>
        <w:t xml:space="preserve"> дополнительного протокола об ответственности и возмещении</w:t>
      </w:r>
      <w:r w:rsidR="00B43132" w:rsidRPr="00800AFD">
        <w:rPr>
          <w:rStyle w:val="Appelnotedebasdep"/>
          <w:b w:val="0"/>
          <w:bCs w:val="0"/>
          <w:caps w:val="0"/>
          <w:kern w:val="22"/>
          <w:szCs w:val="22"/>
        </w:rPr>
        <w:footnoteReference w:id="1"/>
      </w:r>
      <w:r w:rsidR="00DC62DF" w:rsidRPr="00836BE5">
        <w:rPr>
          <w:b w:val="0"/>
          <w:bCs w:val="0"/>
          <w:i/>
          <w:caps w:val="0"/>
          <w:lang w:val="ru-RU"/>
        </w:rPr>
        <w:t>,</w:t>
      </w:r>
    </w:p>
    <w:p w14:paraId="3F135AFA" w14:textId="1613248E" w:rsidR="00836BE5" w:rsidRPr="00217EE4" w:rsidRDefault="00677DFF" w:rsidP="0018035A">
      <w:pPr>
        <w:pStyle w:val="HEADING"/>
        <w:shd w:val="clear" w:color="auto" w:fill="FFFFFF" w:themeFill="background1"/>
        <w:spacing w:before="120"/>
        <w:ind w:firstLine="720"/>
        <w:jc w:val="both"/>
        <w:rPr>
          <w:b w:val="0"/>
          <w:bCs w:val="0"/>
          <w:iCs/>
          <w:caps w:val="0"/>
          <w:lang w:val="ru-RU"/>
        </w:rPr>
      </w:pPr>
      <w:r>
        <w:rPr>
          <w:b w:val="0"/>
          <w:bCs w:val="0"/>
          <w:i/>
          <w:caps w:val="0"/>
          <w:lang w:val="ru-RU"/>
        </w:rPr>
        <w:t>с</w:t>
      </w:r>
      <w:r w:rsidR="00836BE5" w:rsidRPr="00217EE4">
        <w:rPr>
          <w:b w:val="0"/>
          <w:bCs w:val="0"/>
          <w:i/>
          <w:caps w:val="0"/>
          <w:lang w:val="ru-RU"/>
        </w:rPr>
        <w:t xml:space="preserve">сылаясь </w:t>
      </w:r>
      <w:r w:rsidR="00836BE5" w:rsidRPr="00217EE4">
        <w:rPr>
          <w:b w:val="0"/>
          <w:bCs w:val="0"/>
          <w:iCs/>
          <w:caps w:val="0"/>
          <w:lang w:val="ru-RU"/>
        </w:rPr>
        <w:t xml:space="preserve">на решение </w:t>
      </w:r>
      <w:r w:rsidR="00836BE5" w:rsidRPr="00B43132">
        <w:rPr>
          <w:b w:val="0"/>
          <w:bCs w:val="0"/>
          <w:iCs/>
          <w:caps w:val="0"/>
        </w:rPr>
        <w:t>CP</w:t>
      </w:r>
      <w:r w:rsidR="00836BE5" w:rsidRPr="00217EE4">
        <w:rPr>
          <w:b w:val="0"/>
          <w:bCs w:val="0"/>
          <w:iCs/>
          <w:caps w:val="0"/>
          <w:lang w:val="ru-RU"/>
        </w:rPr>
        <w:t>-9/15,</w:t>
      </w:r>
      <w:r w:rsidR="00962351">
        <w:rPr>
          <w:b w:val="0"/>
          <w:bCs w:val="0"/>
          <w:iCs/>
          <w:caps w:val="0"/>
          <w:lang w:val="ru-RU"/>
        </w:rPr>
        <w:t xml:space="preserve"> </w:t>
      </w:r>
    </w:p>
    <w:p w14:paraId="1B7758B6" w14:textId="32F37F9E" w:rsidR="000C4928" w:rsidRPr="00836BE5" w:rsidRDefault="00836BE5" w:rsidP="0018035A">
      <w:pPr>
        <w:pStyle w:val="HEADING"/>
        <w:shd w:val="clear" w:color="auto" w:fill="FFFFFF" w:themeFill="background1"/>
        <w:spacing w:before="120"/>
        <w:ind w:firstLine="720"/>
        <w:jc w:val="both"/>
        <w:rPr>
          <w:b w:val="0"/>
          <w:bCs w:val="0"/>
          <w:iCs/>
          <w:caps w:val="0"/>
          <w:lang w:val="ru-RU"/>
        </w:rPr>
      </w:pPr>
      <w:r w:rsidRPr="00836BE5">
        <w:rPr>
          <w:b w:val="0"/>
          <w:bCs w:val="0"/>
          <w:i/>
          <w:caps w:val="0"/>
          <w:lang w:val="ru-RU"/>
        </w:rPr>
        <w:t xml:space="preserve">отмечая </w:t>
      </w:r>
      <w:r w:rsidRPr="00836BE5">
        <w:rPr>
          <w:b w:val="0"/>
          <w:bCs w:val="0"/>
          <w:iCs/>
          <w:caps w:val="0"/>
          <w:lang w:val="ru-RU"/>
        </w:rPr>
        <w:t xml:space="preserve">информацию, представленную Сторонами в их четвертых национальных докладах, </w:t>
      </w:r>
      <w:r w:rsidR="00800AFD">
        <w:rPr>
          <w:b w:val="0"/>
          <w:bCs w:val="0"/>
          <w:iCs/>
          <w:caps w:val="0"/>
          <w:lang w:val="ru-RU"/>
        </w:rPr>
        <w:t>относительно</w:t>
      </w:r>
      <w:r w:rsidRPr="00836BE5">
        <w:rPr>
          <w:b w:val="0"/>
          <w:bCs w:val="0"/>
          <w:iCs/>
          <w:caps w:val="0"/>
          <w:lang w:val="ru-RU"/>
        </w:rPr>
        <w:t xml:space="preserve"> </w:t>
      </w:r>
      <w:proofErr w:type="spellStart"/>
      <w:r w:rsidRPr="00836BE5">
        <w:rPr>
          <w:b w:val="0"/>
          <w:bCs w:val="0"/>
          <w:iCs/>
          <w:caps w:val="0"/>
          <w:lang w:val="ru-RU"/>
        </w:rPr>
        <w:t>Нагойско</w:t>
      </w:r>
      <w:proofErr w:type="spellEnd"/>
      <w:r w:rsidRPr="00836BE5">
        <w:rPr>
          <w:b w:val="0"/>
          <w:bCs w:val="0"/>
          <w:iCs/>
          <w:caps w:val="0"/>
          <w:lang w:val="ru-RU"/>
        </w:rPr>
        <w:t xml:space="preserve"> – Куала-</w:t>
      </w:r>
      <w:proofErr w:type="spellStart"/>
      <w:r w:rsidRPr="00836BE5">
        <w:rPr>
          <w:b w:val="0"/>
          <w:bCs w:val="0"/>
          <w:iCs/>
          <w:caps w:val="0"/>
          <w:lang w:val="ru-RU"/>
        </w:rPr>
        <w:t>лумпурского</w:t>
      </w:r>
      <w:proofErr w:type="spellEnd"/>
      <w:r w:rsidRPr="00836BE5">
        <w:rPr>
          <w:b w:val="0"/>
          <w:bCs w:val="0"/>
          <w:iCs/>
          <w:caps w:val="0"/>
          <w:lang w:val="ru-RU"/>
        </w:rPr>
        <w:t xml:space="preserve"> дополнительного протокола об ответственности и возмещении</w:t>
      </w:r>
      <w:r w:rsidR="00E65182" w:rsidRPr="00836BE5">
        <w:rPr>
          <w:b w:val="0"/>
          <w:bCs w:val="0"/>
          <w:iCs/>
          <w:caps w:val="0"/>
          <w:lang w:val="ru-RU"/>
        </w:rPr>
        <w:t xml:space="preserve">, </w:t>
      </w:r>
    </w:p>
    <w:p w14:paraId="407B2B3E" w14:textId="102A50EE" w:rsidR="008C3199" w:rsidRPr="00836BE5" w:rsidRDefault="002A6AE2">
      <w:pPr>
        <w:pStyle w:val="HEADING"/>
        <w:keepNext w:val="0"/>
        <w:shd w:val="clear" w:color="auto" w:fill="FFFFFF" w:themeFill="background1"/>
        <w:spacing w:before="120"/>
        <w:ind w:firstLine="720"/>
        <w:jc w:val="both"/>
        <w:rPr>
          <w:b w:val="0"/>
          <w:bCs w:val="0"/>
          <w:caps w:val="0"/>
          <w:lang w:val="ru-RU"/>
        </w:rPr>
      </w:pPr>
      <w:r w:rsidRPr="00836BE5">
        <w:rPr>
          <w:b w:val="0"/>
          <w:bCs w:val="0"/>
          <w:kern w:val="22"/>
          <w:szCs w:val="22"/>
          <w:lang w:val="ru-RU"/>
        </w:rPr>
        <w:t>1.</w:t>
      </w:r>
      <w:r w:rsidRPr="00836BE5">
        <w:rPr>
          <w:b w:val="0"/>
          <w:bCs w:val="0"/>
          <w:kern w:val="22"/>
          <w:szCs w:val="22"/>
          <w:lang w:val="ru-RU"/>
        </w:rPr>
        <w:tab/>
      </w:r>
      <w:r w:rsidR="00836BE5" w:rsidRPr="00836BE5">
        <w:rPr>
          <w:b w:val="0"/>
          <w:bCs w:val="0"/>
          <w:i/>
          <w:caps w:val="0"/>
          <w:lang w:val="ru-RU"/>
        </w:rPr>
        <w:t xml:space="preserve">приветствует </w:t>
      </w:r>
      <w:r w:rsidR="00836BE5" w:rsidRPr="00836BE5">
        <w:rPr>
          <w:b w:val="0"/>
          <w:bCs w:val="0"/>
          <w:iCs/>
          <w:caps w:val="0"/>
          <w:lang w:val="ru-RU"/>
        </w:rPr>
        <w:t xml:space="preserve">дополнительные документы о ратификации, принятии, одобрении или присоединении к </w:t>
      </w:r>
      <w:proofErr w:type="spellStart"/>
      <w:r w:rsidR="00836BE5" w:rsidRPr="00836BE5">
        <w:rPr>
          <w:b w:val="0"/>
          <w:bCs w:val="0"/>
          <w:iCs/>
          <w:caps w:val="0"/>
          <w:lang w:val="ru-RU"/>
        </w:rPr>
        <w:t>Нагойско</w:t>
      </w:r>
      <w:proofErr w:type="spellEnd"/>
      <w:r w:rsidR="00836BE5" w:rsidRPr="00836BE5">
        <w:rPr>
          <w:b w:val="0"/>
          <w:bCs w:val="0"/>
          <w:iCs/>
          <w:caps w:val="0"/>
          <w:lang w:val="ru-RU"/>
        </w:rPr>
        <w:t xml:space="preserve"> – Куала-</w:t>
      </w:r>
      <w:proofErr w:type="spellStart"/>
      <w:r w:rsidR="00836BE5" w:rsidRPr="00836BE5">
        <w:rPr>
          <w:b w:val="0"/>
          <w:bCs w:val="0"/>
          <w:iCs/>
          <w:caps w:val="0"/>
          <w:lang w:val="ru-RU"/>
        </w:rPr>
        <w:t>лумпурскому</w:t>
      </w:r>
      <w:proofErr w:type="spellEnd"/>
      <w:r w:rsidR="00836BE5" w:rsidRPr="00836BE5">
        <w:rPr>
          <w:b w:val="0"/>
          <w:bCs w:val="0"/>
          <w:iCs/>
          <w:caps w:val="0"/>
          <w:lang w:val="ru-RU"/>
        </w:rPr>
        <w:t xml:space="preserve"> дополнительному протоколу об ответственности и возмещении к </w:t>
      </w:r>
      <w:proofErr w:type="spellStart"/>
      <w:r w:rsidR="00836BE5" w:rsidRPr="00836BE5">
        <w:rPr>
          <w:b w:val="0"/>
          <w:bCs w:val="0"/>
          <w:iCs/>
          <w:caps w:val="0"/>
          <w:lang w:val="ru-RU"/>
        </w:rPr>
        <w:t>Картахенскому</w:t>
      </w:r>
      <w:proofErr w:type="spellEnd"/>
      <w:r w:rsidR="00836BE5" w:rsidRPr="00836BE5">
        <w:rPr>
          <w:b w:val="0"/>
          <w:bCs w:val="0"/>
          <w:iCs/>
          <w:caps w:val="0"/>
          <w:lang w:val="ru-RU"/>
        </w:rPr>
        <w:t xml:space="preserve"> протоколу по биобезопасности, которые были переданы на хранение;</w:t>
      </w:r>
    </w:p>
    <w:p w14:paraId="7FCF749B" w14:textId="0A04BA9B" w:rsidR="00E4541C" w:rsidRPr="00836BE5" w:rsidRDefault="008C3199">
      <w:pPr>
        <w:pStyle w:val="HEADING"/>
        <w:keepNext w:val="0"/>
        <w:shd w:val="clear" w:color="auto" w:fill="FFFFFF" w:themeFill="background1"/>
        <w:spacing w:before="120"/>
        <w:ind w:firstLine="720"/>
        <w:jc w:val="both"/>
        <w:rPr>
          <w:b w:val="0"/>
          <w:bCs w:val="0"/>
          <w:caps w:val="0"/>
          <w:lang w:val="ru-RU"/>
        </w:rPr>
      </w:pPr>
      <w:r w:rsidRPr="00836BE5">
        <w:rPr>
          <w:b w:val="0"/>
          <w:bCs w:val="0"/>
          <w:caps w:val="0"/>
          <w:lang w:val="ru-RU"/>
        </w:rPr>
        <w:t>2.</w:t>
      </w:r>
      <w:r w:rsidRPr="00836BE5">
        <w:rPr>
          <w:b w:val="0"/>
          <w:bCs w:val="0"/>
          <w:caps w:val="0"/>
          <w:lang w:val="ru-RU"/>
        </w:rPr>
        <w:tab/>
      </w:r>
      <w:r w:rsidR="00836BE5" w:rsidRPr="002458F4">
        <w:rPr>
          <w:b w:val="0"/>
          <w:bCs w:val="0"/>
          <w:i/>
          <w:caps w:val="0"/>
          <w:lang w:val="ru-RU"/>
        </w:rPr>
        <w:t>отмечает с сожалением</w:t>
      </w:r>
      <w:r w:rsidR="00836BE5" w:rsidRPr="00836BE5">
        <w:rPr>
          <w:b w:val="0"/>
          <w:bCs w:val="0"/>
          <w:iCs/>
          <w:caps w:val="0"/>
          <w:lang w:val="ru-RU"/>
        </w:rPr>
        <w:t xml:space="preserve"> ограниченное число Сторон </w:t>
      </w:r>
      <w:proofErr w:type="spellStart"/>
      <w:r w:rsidR="00836BE5" w:rsidRPr="00836BE5">
        <w:rPr>
          <w:b w:val="0"/>
          <w:bCs w:val="0"/>
          <w:iCs/>
          <w:caps w:val="0"/>
          <w:lang w:val="ru-RU"/>
        </w:rPr>
        <w:t>Картахенского</w:t>
      </w:r>
      <w:proofErr w:type="spellEnd"/>
      <w:r w:rsidR="00836BE5" w:rsidRPr="00836BE5">
        <w:rPr>
          <w:b w:val="0"/>
          <w:bCs w:val="0"/>
          <w:iCs/>
          <w:caps w:val="0"/>
          <w:lang w:val="ru-RU"/>
        </w:rPr>
        <w:t xml:space="preserve"> протокола по биобезопасности, ратифицирова</w:t>
      </w:r>
      <w:r w:rsidR="0018035A">
        <w:rPr>
          <w:b w:val="0"/>
          <w:bCs w:val="0"/>
          <w:iCs/>
          <w:caps w:val="0"/>
          <w:lang w:val="ru-RU"/>
        </w:rPr>
        <w:t>вших</w:t>
      </w:r>
      <w:r w:rsidR="00836BE5" w:rsidRPr="00836BE5">
        <w:rPr>
          <w:b w:val="0"/>
          <w:bCs w:val="0"/>
          <w:iCs/>
          <w:caps w:val="0"/>
          <w:lang w:val="ru-RU"/>
        </w:rPr>
        <w:t xml:space="preserve"> </w:t>
      </w:r>
      <w:proofErr w:type="spellStart"/>
      <w:r w:rsidR="00836BE5" w:rsidRPr="00836BE5">
        <w:rPr>
          <w:b w:val="0"/>
          <w:bCs w:val="0"/>
          <w:iCs/>
          <w:caps w:val="0"/>
          <w:lang w:val="ru-RU"/>
        </w:rPr>
        <w:t>Нагойско</w:t>
      </w:r>
      <w:proofErr w:type="spellEnd"/>
      <w:r w:rsidR="002458F4">
        <w:rPr>
          <w:b w:val="0"/>
          <w:bCs w:val="0"/>
          <w:iCs/>
          <w:caps w:val="0"/>
          <w:lang w:val="ru-RU"/>
        </w:rPr>
        <w:t> </w:t>
      </w:r>
      <w:r w:rsidR="00836BE5" w:rsidRPr="00836BE5">
        <w:rPr>
          <w:b w:val="0"/>
          <w:bCs w:val="0"/>
          <w:iCs/>
          <w:caps w:val="0"/>
          <w:lang w:val="ru-RU"/>
        </w:rPr>
        <w:t>–</w:t>
      </w:r>
      <w:r w:rsidR="002458F4">
        <w:rPr>
          <w:b w:val="0"/>
          <w:bCs w:val="0"/>
          <w:iCs/>
          <w:caps w:val="0"/>
          <w:lang w:val="ru-RU"/>
        </w:rPr>
        <w:t> </w:t>
      </w:r>
      <w:r w:rsidR="00836BE5" w:rsidRPr="00836BE5">
        <w:rPr>
          <w:b w:val="0"/>
          <w:bCs w:val="0"/>
          <w:iCs/>
          <w:caps w:val="0"/>
          <w:lang w:val="ru-RU"/>
        </w:rPr>
        <w:t>Куала-</w:t>
      </w:r>
      <w:proofErr w:type="spellStart"/>
      <w:r w:rsidR="00836BE5" w:rsidRPr="00836BE5">
        <w:rPr>
          <w:b w:val="0"/>
          <w:bCs w:val="0"/>
          <w:iCs/>
          <w:caps w:val="0"/>
          <w:lang w:val="ru-RU"/>
        </w:rPr>
        <w:t>лумпурский</w:t>
      </w:r>
      <w:proofErr w:type="spellEnd"/>
      <w:r w:rsidR="00836BE5" w:rsidRPr="00836BE5">
        <w:rPr>
          <w:b w:val="0"/>
          <w:bCs w:val="0"/>
          <w:iCs/>
          <w:caps w:val="0"/>
          <w:lang w:val="ru-RU"/>
        </w:rPr>
        <w:t xml:space="preserve"> дополнительный протокол об ответственности и возмещении, и </w:t>
      </w:r>
      <w:r w:rsidR="00836BE5" w:rsidRPr="00AA54E5">
        <w:rPr>
          <w:b w:val="0"/>
          <w:bCs w:val="0"/>
          <w:iCs/>
          <w:caps w:val="0"/>
          <w:lang w:val="ru-RU"/>
        </w:rPr>
        <w:t>предлагает</w:t>
      </w:r>
      <w:r w:rsidR="00836BE5" w:rsidRPr="00836BE5">
        <w:rPr>
          <w:b w:val="0"/>
          <w:bCs w:val="0"/>
          <w:iCs/>
          <w:caps w:val="0"/>
          <w:lang w:val="ru-RU"/>
        </w:rPr>
        <w:t xml:space="preserve"> всем Сторонам </w:t>
      </w:r>
      <w:proofErr w:type="spellStart"/>
      <w:r w:rsidR="00836BE5" w:rsidRPr="00836BE5">
        <w:rPr>
          <w:b w:val="0"/>
          <w:bCs w:val="0"/>
          <w:iCs/>
          <w:caps w:val="0"/>
          <w:lang w:val="ru-RU"/>
        </w:rPr>
        <w:t>Картахенского</w:t>
      </w:r>
      <w:proofErr w:type="spellEnd"/>
      <w:r w:rsidR="00836BE5" w:rsidRPr="00836BE5">
        <w:rPr>
          <w:b w:val="0"/>
          <w:bCs w:val="0"/>
          <w:iCs/>
          <w:caps w:val="0"/>
          <w:lang w:val="ru-RU"/>
        </w:rPr>
        <w:t xml:space="preserve"> протокола по биобезопасности, которые еще не сделали этого, </w:t>
      </w:r>
      <w:r w:rsidR="0018035A">
        <w:rPr>
          <w:b w:val="0"/>
          <w:bCs w:val="0"/>
          <w:iCs/>
          <w:caps w:val="0"/>
          <w:lang w:val="ru-RU"/>
        </w:rPr>
        <w:t>как можно скорее</w:t>
      </w:r>
      <w:r w:rsidR="00836BE5" w:rsidRPr="00836BE5">
        <w:rPr>
          <w:b w:val="0"/>
          <w:bCs w:val="0"/>
          <w:iCs/>
          <w:caps w:val="0"/>
          <w:lang w:val="ru-RU"/>
        </w:rPr>
        <w:t xml:space="preserve"> сдать на хранение свой документ о ратификации, принятии, одобрении или присоединении к </w:t>
      </w:r>
      <w:proofErr w:type="spellStart"/>
      <w:r w:rsidR="00836BE5" w:rsidRPr="00836BE5">
        <w:rPr>
          <w:b w:val="0"/>
          <w:bCs w:val="0"/>
          <w:iCs/>
          <w:caps w:val="0"/>
          <w:lang w:val="ru-RU"/>
        </w:rPr>
        <w:t>Нагойско</w:t>
      </w:r>
      <w:proofErr w:type="spellEnd"/>
      <w:r w:rsidR="00836BE5" w:rsidRPr="00836BE5">
        <w:rPr>
          <w:b w:val="0"/>
          <w:bCs w:val="0"/>
          <w:iCs/>
          <w:caps w:val="0"/>
        </w:rPr>
        <w:t> </w:t>
      </w:r>
      <w:r w:rsidR="00836BE5" w:rsidRPr="00836BE5">
        <w:rPr>
          <w:b w:val="0"/>
          <w:bCs w:val="0"/>
          <w:iCs/>
          <w:caps w:val="0"/>
          <w:lang w:val="ru-RU"/>
        </w:rPr>
        <w:t>–</w:t>
      </w:r>
      <w:r w:rsidR="00836BE5" w:rsidRPr="00836BE5">
        <w:rPr>
          <w:b w:val="0"/>
          <w:bCs w:val="0"/>
          <w:iCs/>
          <w:caps w:val="0"/>
        </w:rPr>
        <w:t> </w:t>
      </w:r>
      <w:r w:rsidR="00836BE5" w:rsidRPr="00836BE5">
        <w:rPr>
          <w:b w:val="0"/>
          <w:bCs w:val="0"/>
          <w:iCs/>
          <w:caps w:val="0"/>
          <w:lang w:val="ru-RU"/>
        </w:rPr>
        <w:t>Куала-</w:t>
      </w:r>
      <w:proofErr w:type="spellStart"/>
      <w:r w:rsidR="00836BE5" w:rsidRPr="00836BE5">
        <w:rPr>
          <w:b w:val="0"/>
          <w:bCs w:val="0"/>
          <w:iCs/>
          <w:caps w:val="0"/>
          <w:lang w:val="ru-RU"/>
        </w:rPr>
        <w:t>лумпурскому</w:t>
      </w:r>
      <w:proofErr w:type="spellEnd"/>
      <w:r w:rsidR="00836BE5" w:rsidRPr="00836BE5">
        <w:rPr>
          <w:b w:val="0"/>
          <w:bCs w:val="0"/>
          <w:iCs/>
          <w:caps w:val="0"/>
          <w:lang w:val="ru-RU"/>
        </w:rPr>
        <w:t xml:space="preserve"> дополнительному протоколу об ответственности и возмещении;</w:t>
      </w:r>
    </w:p>
    <w:p w14:paraId="32B5AC59" w14:textId="30425D62" w:rsidR="002D3E86" w:rsidRPr="00836BE5" w:rsidRDefault="00F40AF4" w:rsidP="00E249FA">
      <w:pPr>
        <w:pStyle w:val="HEADING"/>
        <w:keepNext w:val="0"/>
        <w:shd w:val="clear" w:color="auto" w:fill="FFFFFF" w:themeFill="background1"/>
        <w:spacing w:before="120"/>
        <w:ind w:firstLine="720"/>
        <w:jc w:val="both"/>
        <w:rPr>
          <w:b w:val="0"/>
          <w:bCs w:val="0"/>
          <w:caps w:val="0"/>
          <w:lang w:val="ru-RU"/>
        </w:rPr>
      </w:pPr>
      <w:r w:rsidRPr="00836BE5">
        <w:rPr>
          <w:b w:val="0"/>
          <w:bCs w:val="0"/>
          <w:kern w:val="22"/>
          <w:szCs w:val="22"/>
          <w:lang w:val="ru-RU"/>
        </w:rPr>
        <w:t>3</w:t>
      </w:r>
      <w:r w:rsidR="002A6AE2" w:rsidRPr="00836BE5">
        <w:rPr>
          <w:b w:val="0"/>
          <w:bCs w:val="0"/>
          <w:kern w:val="22"/>
          <w:szCs w:val="22"/>
          <w:lang w:val="ru-RU"/>
        </w:rPr>
        <w:t>.</w:t>
      </w:r>
      <w:r w:rsidR="002A6AE2" w:rsidRPr="00836BE5">
        <w:rPr>
          <w:b w:val="0"/>
          <w:bCs w:val="0"/>
          <w:kern w:val="22"/>
          <w:szCs w:val="22"/>
          <w:lang w:val="ru-RU"/>
        </w:rPr>
        <w:tab/>
      </w:r>
      <w:r w:rsidR="00836BE5" w:rsidRPr="00836BE5">
        <w:rPr>
          <w:b w:val="0"/>
          <w:bCs w:val="0"/>
          <w:i/>
          <w:caps w:val="0"/>
          <w:lang w:val="ru-RU"/>
        </w:rPr>
        <w:t xml:space="preserve">приветствует </w:t>
      </w:r>
      <w:r w:rsidR="00836BE5" w:rsidRPr="002458F4">
        <w:rPr>
          <w:b w:val="0"/>
          <w:bCs w:val="0"/>
          <w:iCs/>
          <w:caps w:val="0"/>
          <w:lang w:val="ru-RU"/>
        </w:rPr>
        <w:t xml:space="preserve">прогресс, достигнутый многими Сторонами в осуществлении </w:t>
      </w:r>
      <w:proofErr w:type="spellStart"/>
      <w:r w:rsidR="00836BE5" w:rsidRPr="002458F4">
        <w:rPr>
          <w:b w:val="0"/>
          <w:bCs w:val="0"/>
          <w:iCs/>
          <w:caps w:val="0"/>
          <w:lang w:val="ru-RU"/>
        </w:rPr>
        <w:t>Нагойско</w:t>
      </w:r>
      <w:proofErr w:type="spellEnd"/>
      <w:r w:rsidR="00836BE5" w:rsidRPr="002458F4">
        <w:rPr>
          <w:b w:val="0"/>
          <w:bCs w:val="0"/>
          <w:iCs/>
          <w:caps w:val="0"/>
          <w:lang w:val="ru-RU"/>
        </w:rPr>
        <w:t xml:space="preserve"> – Куала-</w:t>
      </w:r>
      <w:proofErr w:type="spellStart"/>
      <w:r w:rsidR="00836BE5" w:rsidRPr="002458F4">
        <w:rPr>
          <w:b w:val="0"/>
          <w:bCs w:val="0"/>
          <w:iCs/>
          <w:caps w:val="0"/>
          <w:lang w:val="ru-RU"/>
        </w:rPr>
        <w:t>лумпурского</w:t>
      </w:r>
      <w:proofErr w:type="spellEnd"/>
      <w:r w:rsidR="00836BE5" w:rsidRPr="002458F4">
        <w:rPr>
          <w:b w:val="0"/>
          <w:bCs w:val="0"/>
          <w:iCs/>
          <w:caps w:val="0"/>
          <w:lang w:val="ru-RU"/>
        </w:rPr>
        <w:t xml:space="preserve"> дополнительного протокола об ответственности и возмещении и </w:t>
      </w:r>
      <w:r w:rsidR="00836BE5" w:rsidRPr="00AA54E5">
        <w:rPr>
          <w:b w:val="0"/>
          <w:bCs w:val="0"/>
          <w:iCs/>
          <w:caps w:val="0"/>
          <w:lang w:val="ru-RU"/>
        </w:rPr>
        <w:t>настоятельно призывает</w:t>
      </w:r>
      <w:r w:rsidR="00836BE5" w:rsidRPr="002458F4">
        <w:rPr>
          <w:b w:val="0"/>
          <w:bCs w:val="0"/>
          <w:iCs/>
          <w:caps w:val="0"/>
          <w:lang w:val="ru-RU"/>
        </w:rPr>
        <w:t xml:space="preserve"> Стороны Дополнительного протокола и далее принимать необходимые меры для его полного и эффективного осуществления;</w:t>
      </w:r>
      <w:r w:rsidR="002D3E86" w:rsidRPr="00836BE5">
        <w:rPr>
          <w:b w:val="0"/>
          <w:bCs w:val="0"/>
          <w:caps w:val="0"/>
          <w:lang w:val="ru-RU"/>
        </w:rPr>
        <w:t xml:space="preserve"> </w:t>
      </w:r>
    </w:p>
    <w:p w14:paraId="7EA1B17D" w14:textId="43DCD449" w:rsidR="002D3E86" w:rsidRPr="00836BE5" w:rsidRDefault="00621FB8" w:rsidP="00E249FA">
      <w:pPr>
        <w:pStyle w:val="HEADING"/>
        <w:keepNext w:val="0"/>
        <w:shd w:val="clear" w:color="auto" w:fill="FFFFFF" w:themeFill="background1"/>
        <w:spacing w:before="120"/>
        <w:ind w:firstLine="720"/>
        <w:jc w:val="both"/>
        <w:rPr>
          <w:b w:val="0"/>
          <w:bCs w:val="0"/>
          <w:caps w:val="0"/>
          <w:lang w:val="ru-RU"/>
        </w:rPr>
      </w:pPr>
      <w:r w:rsidRPr="00836BE5">
        <w:rPr>
          <w:b w:val="0"/>
          <w:bCs w:val="0"/>
          <w:kern w:val="22"/>
          <w:szCs w:val="22"/>
          <w:lang w:val="ru-RU"/>
        </w:rPr>
        <w:lastRenderedPageBreak/>
        <w:t>4</w:t>
      </w:r>
      <w:r w:rsidR="002A6AE2" w:rsidRPr="00836BE5">
        <w:rPr>
          <w:b w:val="0"/>
          <w:bCs w:val="0"/>
          <w:kern w:val="22"/>
          <w:szCs w:val="22"/>
          <w:lang w:val="ru-RU"/>
        </w:rPr>
        <w:t>.</w:t>
      </w:r>
      <w:r w:rsidR="002A6AE2" w:rsidRPr="00836BE5">
        <w:rPr>
          <w:b w:val="0"/>
          <w:bCs w:val="0"/>
          <w:kern w:val="22"/>
          <w:szCs w:val="22"/>
          <w:lang w:val="ru-RU"/>
        </w:rPr>
        <w:tab/>
      </w:r>
      <w:r w:rsidR="00836BE5" w:rsidRPr="00836BE5">
        <w:rPr>
          <w:b w:val="0"/>
          <w:bCs w:val="0"/>
          <w:i/>
          <w:iCs/>
          <w:caps w:val="0"/>
          <w:lang w:val="ru-RU"/>
        </w:rPr>
        <w:t xml:space="preserve">подчеркивает </w:t>
      </w:r>
      <w:r w:rsidR="00836BE5" w:rsidRPr="002458F4">
        <w:rPr>
          <w:b w:val="0"/>
          <w:bCs w:val="0"/>
          <w:caps w:val="0"/>
          <w:lang w:val="ru-RU"/>
        </w:rPr>
        <w:t xml:space="preserve">важную роль мероприятий по повышению информированности и созданию потенциала в содействии дальнейшей ратификации и осуществлению Дополнительного протокола, как признано в решении </w:t>
      </w:r>
      <w:r w:rsidR="00836BE5" w:rsidRPr="002458F4">
        <w:rPr>
          <w:b w:val="0"/>
          <w:bCs w:val="0"/>
          <w:caps w:val="0"/>
        </w:rPr>
        <w:t>CP</w:t>
      </w:r>
      <w:r w:rsidR="00836BE5" w:rsidRPr="002458F4">
        <w:rPr>
          <w:b w:val="0"/>
          <w:bCs w:val="0"/>
          <w:caps w:val="0"/>
          <w:lang w:val="ru-RU"/>
        </w:rPr>
        <w:t>-10/</w:t>
      </w:r>
      <w:r w:rsidR="00AA54E5">
        <w:rPr>
          <w:b w:val="0"/>
          <w:bCs w:val="0"/>
          <w:caps w:val="0"/>
          <w:lang w:val="ru-RU"/>
        </w:rPr>
        <w:t>7</w:t>
      </w:r>
      <w:r w:rsidR="00836BE5" w:rsidRPr="002458F4">
        <w:rPr>
          <w:b w:val="0"/>
          <w:bCs w:val="0"/>
          <w:caps w:val="0"/>
          <w:lang w:val="ru-RU"/>
        </w:rPr>
        <w:t xml:space="preserve"> о четвертой оценке и обзоре</w:t>
      </w:r>
      <w:r w:rsidR="00AA54E5">
        <w:rPr>
          <w:b w:val="0"/>
          <w:bCs w:val="0"/>
          <w:caps w:val="0"/>
          <w:lang w:val="ru-RU"/>
        </w:rPr>
        <w:t xml:space="preserve"> </w:t>
      </w:r>
      <w:r w:rsidR="00AA54E5" w:rsidRPr="00AA54E5">
        <w:rPr>
          <w:b w:val="0"/>
          <w:bCs w:val="0"/>
          <w:caps w:val="0"/>
          <w:lang w:val="ru-RU"/>
        </w:rPr>
        <w:t>эффективности</w:t>
      </w:r>
      <w:r w:rsidR="00836BE5" w:rsidRPr="002458F4">
        <w:rPr>
          <w:b w:val="0"/>
          <w:bCs w:val="0"/>
          <w:caps w:val="0"/>
          <w:lang w:val="ru-RU"/>
        </w:rPr>
        <w:t xml:space="preserve"> </w:t>
      </w:r>
      <w:proofErr w:type="spellStart"/>
      <w:r w:rsidR="00836BE5" w:rsidRPr="002458F4">
        <w:rPr>
          <w:b w:val="0"/>
          <w:bCs w:val="0"/>
          <w:caps w:val="0"/>
          <w:lang w:val="ru-RU"/>
        </w:rPr>
        <w:t>Картахенского</w:t>
      </w:r>
      <w:proofErr w:type="spellEnd"/>
      <w:r w:rsidR="00836BE5" w:rsidRPr="002458F4">
        <w:rPr>
          <w:b w:val="0"/>
          <w:bCs w:val="0"/>
          <w:caps w:val="0"/>
          <w:lang w:val="ru-RU"/>
        </w:rPr>
        <w:t xml:space="preserve"> протокола</w:t>
      </w:r>
      <w:r w:rsidR="00AA54E5">
        <w:rPr>
          <w:b w:val="0"/>
          <w:bCs w:val="0"/>
          <w:caps w:val="0"/>
          <w:lang w:val="ru-RU"/>
        </w:rPr>
        <w:t xml:space="preserve"> и </w:t>
      </w:r>
      <w:r w:rsidR="00905B5B" w:rsidRPr="00905B5B">
        <w:rPr>
          <w:b w:val="0"/>
          <w:bCs w:val="0"/>
          <w:caps w:val="0"/>
          <w:lang w:val="ru-RU"/>
        </w:rPr>
        <w:t>итогов</w:t>
      </w:r>
      <w:r w:rsidR="0018035A">
        <w:rPr>
          <w:b w:val="0"/>
          <w:bCs w:val="0"/>
          <w:caps w:val="0"/>
          <w:lang w:val="ru-RU"/>
        </w:rPr>
        <w:t>ой</w:t>
      </w:r>
      <w:r w:rsidR="00905B5B" w:rsidRPr="00905B5B">
        <w:rPr>
          <w:b w:val="0"/>
          <w:bCs w:val="0"/>
          <w:caps w:val="0"/>
          <w:lang w:val="ru-RU"/>
        </w:rPr>
        <w:t xml:space="preserve"> оценк</w:t>
      </w:r>
      <w:r w:rsidR="0018035A">
        <w:rPr>
          <w:b w:val="0"/>
          <w:bCs w:val="0"/>
          <w:caps w:val="0"/>
          <w:lang w:val="ru-RU"/>
        </w:rPr>
        <w:t>е</w:t>
      </w:r>
      <w:r w:rsidR="00905B5B" w:rsidRPr="00905B5B">
        <w:rPr>
          <w:b w:val="0"/>
          <w:bCs w:val="0"/>
          <w:caps w:val="0"/>
          <w:lang w:val="ru-RU"/>
        </w:rPr>
        <w:t xml:space="preserve"> </w:t>
      </w:r>
      <w:r w:rsidR="0018035A">
        <w:rPr>
          <w:b w:val="0"/>
          <w:bCs w:val="0"/>
          <w:caps w:val="0"/>
          <w:lang w:val="ru-RU"/>
        </w:rPr>
        <w:t>С</w:t>
      </w:r>
      <w:r w:rsidR="00905B5B" w:rsidRPr="00905B5B">
        <w:rPr>
          <w:b w:val="0"/>
          <w:bCs w:val="0"/>
          <w:caps w:val="0"/>
          <w:lang w:val="ru-RU"/>
        </w:rPr>
        <w:t xml:space="preserve">тратегического плана для </w:t>
      </w:r>
      <w:proofErr w:type="spellStart"/>
      <w:r w:rsidR="0018035A">
        <w:rPr>
          <w:b w:val="0"/>
          <w:bCs w:val="0"/>
          <w:caps w:val="0"/>
          <w:lang w:val="ru-RU"/>
        </w:rPr>
        <w:t>К</w:t>
      </w:r>
      <w:r w:rsidR="00905B5B" w:rsidRPr="00905B5B">
        <w:rPr>
          <w:b w:val="0"/>
          <w:bCs w:val="0"/>
          <w:caps w:val="0"/>
          <w:lang w:val="ru-RU"/>
        </w:rPr>
        <w:t>артахенского</w:t>
      </w:r>
      <w:proofErr w:type="spellEnd"/>
      <w:r w:rsidR="00905B5B" w:rsidRPr="00905B5B">
        <w:rPr>
          <w:b w:val="0"/>
          <w:bCs w:val="0"/>
          <w:caps w:val="0"/>
          <w:lang w:val="ru-RU"/>
        </w:rPr>
        <w:t xml:space="preserve"> протокола по биобезопасности на период </w:t>
      </w:r>
      <w:proofErr w:type="gramStart"/>
      <w:r w:rsidR="00905B5B" w:rsidRPr="00905B5B">
        <w:rPr>
          <w:b w:val="0"/>
          <w:bCs w:val="0"/>
          <w:caps w:val="0"/>
          <w:lang w:val="ru-RU"/>
        </w:rPr>
        <w:t>2011-2020</w:t>
      </w:r>
      <w:proofErr w:type="gramEnd"/>
      <w:r w:rsidR="00905B5B" w:rsidRPr="00905B5B">
        <w:rPr>
          <w:b w:val="0"/>
          <w:bCs w:val="0"/>
          <w:caps w:val="0"/>
          <w:lang w:val="ru-RU"/>
        </w:rPr>
        <w:t xml:space="preserve"> годов</w:t>
      </w:r>
      <w:r w:rsidR="00836BE5" w:rsidRPr="002458F4">
        <w:rPr>
          <w:b w:val="0"/>
          <w:bCs w:val="0"/>
          <w:caps w:val="0"/>
          <w:lang w:val="ru-RU"/>
        </w:rPr>
        <w:t>;</w:t>
      </w:r>
    </w:p>
    <w:p w14:paraId="1C22FC7A" w14:textId="57B4AF58" w:rsidR="002D3E86" w:rsidRPr="00281BC7" w:rsidRDefault="00621FB8" w:rsidP="00E249FA">
      <w:pPr>
        <w:pStyle w:val="HEADING"/>
        <w:keepNext w:val="0"/>
        <w:shd w:val="clear" w:color="auto" w:fill="FFFFFF" w:themeFill="background1"/>
        <w:spacing w:before="120"/>
        <w:ind w:firstLine="720"/>
        <w:jc w:val="both"/>
        <w:rPr>
          <w:b w:val="0"/>
          <w:bCs w:val="0"/>
          <w:iCs/>
          <w:caps w:val="0"/>
          <w:lang w:val="ru-RU"/>
        </w:rPr>
      </w:pPr>
      <w:r w:rsidRPr="001F3612">
        <w:rPr>
          <w:b w:val="0"/>
          <w:bCs w:val="0"/>
          <w:kern w:val="22"/>
          <w:szCs w:val="22"/>
          <w:lang w:val="ru-RU"/>
        </w:rPr>
        <w:t>5</w:t>
      </w:r>
      <w:r w:rsidR="002A6AE2" w:rsidRPr="001F3612">
        <w:rPr>
          <w:b w:val="0"/>
          <w:bCs w:val="0"/>
          <w:kern w:val="22"/>
          <w:szCs w:val="22"/>
          <w:lang w:val="ru-RU"/>
        </w:rPr>
        <w:t>.</w:t>
      </w:r>
      <w:r w:rsidR="002A6AE2" w:rsidRPr="001F3612">
        <w:rPr>
          <w:b w:val="0"/>
          <w:bCs w:val="0"/>
          <w:kern w:val="22"/>
          <w:szCs w:val="22"/>
          <w:lang w:val="ru-RU"/>
        </w:rPr>
        <w:tab/>
      </w:r>
      <w:r w:rsidR="001F3612" w:rsidRPr="009B3095">
        <w:rPr>
          <w:b w:val="0"/>
          <w:bCs w:val="0"/>
          <w:i/>
          <w:caps w:val="0"/>
          <w:lang w:val="ru-RU"/>
        </w:rPr>
        <w:t>приветствует</w:t>
      </w:r>
      <w:r w:rsidR="001F3612" w:rsidRPr="00281BC7">
        <w:rPr>
          <w:b w:val="0"/>
          <w:bCs w:val="0"/>
          <w:iCs/>
          <w:caps w:val="0"/>
          <w:lang w:val="ru-RU"/>
        </w:rPr>
        <w:t xml:space="preserve"> цель, касающуюся </w:t>
      </w:r>
      <w:proofErr w:type="spellStart"/>
      <w:r w:rsidR="001F3612" w:rsidRPr="00281BC7">
        <w:rPr>
          <w:b w:val="0"/>
          <w:bCs w:val="0"/>
          <w:iCs/>
          <w:caps w:val="0"/>
          <w:lang w:val="ru-RU"/>
        </w:rPr>
        <w:t>Нагойско</w:t>
      </w:r>
      <w:proofErr w:type="spellEnd"/>
      <w:r w:rsidR="001F3612" w:rsidRPr="00281BC7">
        <w:rPr>
          <w:b w:val="0"/>
          <w:bCs w:val="0"/>
          <w:iCs/>
          <w:caps w:val="0"/>
          <w:lang w:val="ru-RU"/>
        </w:rPr>
        <w:t xml:space="preserve"> – Куала-</w:t>
      </w:r>
      <w:proofErr w:type="spellStart"/>
      <w:r w:rsidR="001F3612" w:rsidRPr="00281BC7">
        <w:rPr>
          <w:b w:val="0"/>
          <w:bCs w:val="0"/>
          <w:iCs/>
          <w:caps w:val="0"/>
          <w:lang w:val="ru-RU"/>
        </w:rPr>
        <w:t>лумпурского</w:t>
      </w:r>
      <w:proofErr w:type="spellEnd"/>
      <w:r w:rsidR="001F3612" w:rsidRPr="00281BC7">
        <w:rPr>
          <w:b w:val="0"/>
          <w:bCs w:val="0"/>
          <w:iCs/>
          <w:caps w:val="0"/>
          <w:lang w:val="ru-RU"/>
        </w:rPr>
        <w:t xml:space="preserve"> дополнительного протокола об ответственности и возмещении, </w:t>
      </w:r>
      <w:r w:rsidR="00281BC7" w:rsidRPr="00281BC7">
        <w:rPr>
          <w:b w:val="0"/>
          <w:bCs w:val="0"/>
          <w:iCs/>
          <w:caps w:val="0"/>
          <w:lang w:val="ru-RU"/>
        </w:rPr>
        <w:t>в П</w:t>
      </w:r>
      <w:r w:rsidR="001F3612" w:rsidRPr="00281BC7">
        <w:rPr>
          <w:b w:val="0"/>
          <w:bCs w:val="0"/>
          <w:iCs/>
          <w:caps w:val="0"/>
          <w:lang w:val="ru-RU"/>
        </w:rPr>
        <w:t>лан</w:t>
      </w:r>
      <w:r w:rsidR="00281BC7" w:rsidRPr="00281BC7">
        <w:rPr>
          <w:b w:val="0"/>
          <w:bCs w:val="0"/>
          <w:iCs/>
          <w:caps w:val="0"/>
          <w:lang w:val="ru-RU"/>
        </w:rPr>
        <w:t>е</w:t>
      </w:r>
      <w:r w:rsidR="001F3612" w:rsidRPr="00281BC7">
        <w:rPr>
          <w:b w:val="0"/>
          <w:bCs w:val="0"/>
          <w:iCs/>
          <w:caps w:val="0"/>
          <w:lang w:val="ru-RU"/>
        </w:rPr>
        <w:t xml:space="preserve"> осуществления </w:t>
      </w:r>
      <w:proofErr w:type="spellStart"/>
      <w:r w:rsidR="001F3612" w:rsidRPr="00281BC7">
        <w:rPr>
          <w:b w:val="0"/>
          <w:bCs w:val="0"/>
          <w:iCs/>
          <w:caps w:val="0"/>
          <w:lang w:val="ru-RU"/>
        </w:rPr>
        <w:t>Картахенского</w:t>
      </w:r>
      <w:proofErr w:type="spellEnd"/>
      <w:r w:rsidR="001F3612" w:rsidRPr="00281BC7">
        <w:rPr>
          <w:b w:val="0"/>
          <w:bCs w:val="0"/>
          <w:iCs/>
          <w:caps w:val="0"/>
          <w:lang w:val="ru-RU"/>
        </w:rPr>
        <w:t xml:space="preserve"> протокола</w:t>
      </w:r>
      <w:r w:rsidR="003F1354">
        <w:rPr>
          <w:b w:val="0"/>
          <w:bCs w:val="0"/>
          <w:iCs/>
          <w:caps w:val="0"/>
          <w:lang w:val="ru-RU"/>
        </w:rPr>
        <w:t xml:space="preserve"> </w:t>
      </w:r>
      <w:r w:rsidR="003F1354" w:rsidRPr="00905B5B">
        <w:rPr>
          <w:b w:val="0"/>
          <w:bCs w:val="0"/>
          <w:caps w:val="0"/>
          <w:lang w:val="ru-RU"/>
        </w:rPr>
        <w:t>по биобезопасности</w:t>
      </w:r>
      <w:r w:rsidR="00281BC7" w:rsidRPr="00281BC7">
        <w:rPr>
          <w:b w:val="0"/>
          <w:bCs w:val="0"/>
          <w:iCs/>
          <w:caps w:val="0"/>
          <w:vertAlign w:val="superscript"/>
          <w:lang w:val="ru-RU"/>
        </w:rPr>
        <w:footnoteReference w:id="2"/>
      </w:r>
      <w:r w:rsidR="00281BC7" w:rsidRPr="00281BC7">
        <w:rPr>
          <w:b w:val="0"/>
          <w:bCs w:val="0"/>
          <w:iCs/>
          <w:caps w:val="0"/>
          <w:vertAlign w:val="superscript"/>
          <w:lang w:val="ru-RU"/>
        </w:rPr>
        <w:t xml:space="preserve"> </w:t>
      </w:r>
      <w:r w:rsidR="001F3612" w:rsidRPr="00281BC7">
        <w:rPr>
          <w:b w:val="0"/>
          <w:bCs w:val="0"/>
          <w:iCs/>
          <w:caps w:val="0"/>
          <w:lang w:val="ru-RU"/>
        </w:rPr>
        <w:t xml:space="preserve">и в </w:t>
      </w:r>
      <w:r w:rsidR="00281BC7">
        <w:rPr>
          <w:b w:val="0"/>
          <w:bCs w:val="0"/>
          <w:iCs/>
          <w:caps w:val="0"/>
          <w:lang w:val="ru-RU"/>
        </w:rPr>
        <w:t>П</w:t>
      </w:r>
      <w:r w:rsidR="001F3612" w:rsidRPr="00281BC7">
        <w:rPr>
          <w:b w:val="0"/>
          <w:bCs w:val="0"/>
          <w:iCs/>
          <w:caps w:val="0"/>
          <w:lang w:val="ru-RU"/>
        </w:rPr>
        <w:t xml:space="preserve">лане действий по созданию потенциала для </w:t>
      </w:r>
      <w:proofErr w:type="spellStart"/>
      <w:r w:rsidR="001F3612" w:rsidRPr="00281BC7">
        <w:rPr>
          <w:b w:val="0"/>
          <w:bCs w:val="0"/>
          <w:iCs/>
          <w:caps w:val="0"/>
          <w:lang w:val="ru-RU"/>
        </w:rPr>
        <w:t>Картахенского</w:t>
      </w:r>
      <w:proofErr w:type="spellEnd"/>
      <w:r w:rsidR="001F3612" w:rsidRPr="00281BC7">
        <w:rPr>
          <w:b w:val="0"/>
          <w:bCs w:val="0"/>
          <w:iCs/>
          <w:caps w:val="0"/>
          <w:lang w:val="ru-RU"/>
        </w:rPr>
        <w:t xml:space="preserve"> протокола</w:t>
      </w:r>
      <w:r w:rsidR="003F1354">
        <w:rPr>
          <w:b w:val="0"/>
          <w:bCs w:val="0"/>
          <w:iCs/>
          <w:caps w:val="0"/>
          <w:lang w:val="ru-RU"/>
        </w:rPr>
        <w:t xml:space="preserve"> </w:t>
      </w:r>
      <w:r w:rsidR="003F1354" w:rsidRPr="00905B5B">
        <w:rPr>
          <w:b w:val="0"/>
          <w:bCs w:val="0"/>
          <w:caps w:val="0"/>
          <w:lang w:val="ru-RU"/>
        </w:rPr>
        <w:t>по биобезопасности</w:t>
      </w:r>
      <w:r w:rsidR="00281BC7" w:rsidRPr="00281BC7">
        <w:rPr>
          <w:b w:val="0"/>
          <w:bCs w:val="0"/>
          <w:iCs/>
          <w:caps w:val="0"/>
          <w:vertAlign w:val="superscript"/>
          <w:lang w:val="ru-RU"/>
        </w:rPr>
        <w:footnoteReference w:id="3"/>
      </w:r>
      <w:r w:rsidR="001F3612" w:rsidRPr="00281BC7">
        <w:rPr>
          <w:b w:val="0"/>
          <w:bCs w:val="0"/>
          <w:iCs/>
          <w:caps w:val="0"/>
          <w:lang w:val="ru-RU"/>
        </w:rPr>
        <w:t>, а также соответствующи</w:t>
      </w:r>
      <w:r w:rsidR="006078D7">
        <w:rPr>
          <w:b w:val="0"/>
          <w:bCs w:val="0"/>
          <w:iCs/>
          <w:caps w:val="0"/>
          <w:lang w:val="ru-RU"/>
        </w:rPr>
        <w:t>е</w:t>
      </w:r>
      <w:r w:rsidR="001F3612" w:rsidRPr="00281BC7">
        <w:rPr>
          <w:b w:val="0"/>
          <w:bCs w:val="0"/>
          <w:iCs/>
          <w:caps w:val="0"/>
          <w:lang w:val="ru-RU"/>
        </w:rPr>
        <w:t xml:space="preserve"> мероприятия по созданию потенциала и признает, что </w:t>
      </w:r>
      <w:r w:rsidR="006078D7">
        <w:rPr>
          <w:b w:val="0"/>
          <w:bCs w:val="0"/>
          <w:iCs/>
          <w:caps w:val="0"/>
          <w:lang w:val="ru-RU"/>
        </w:rPr>
        <w:t>ряд</w:t>
      </w:r>
      <w:r w:rsidR="001F3612" w:rsidRPr="00281BC7">
        <w:rPr>
          <w:b w:val="0"/>
          <w:bCs w:val="0"/>
          <w:iCs/>
          <w:caps w:val="0"/>
          <w:lang w:val="ru-RU"/>
        </w:rPr>
        <w:t xml:space="preserve"> этих мероприятий предназначены главным образом для Сторон </w:t>
      </w:r>
      <w:proofErr w:type="spellStart"/>
      <w:r w:rsidR="001F3612" w:rsidRPr="00281BC7">
        <w:rPr>
          <w:b w:val="0"/>
          <w:bCs w:val="0"/>
          <w:iCs/>
          <w:caps w:val="0"/>
          <w:lang w:val="ru-RU"/>
        </w:rPr>
        <w:t>Нагойско</w:t>
      </w:r>
      <w:proofErr w:type="spellEnd"/>
      <w:r w:rsidR="002458F4" w:rsidRPr="00281BC7">
        <w:rPr>
          <w:b w:val="0"/>
          <w:bCs w:val="0"/>
          <w:iCs/>
          <w:caps w:val="0"/>
          <w:lang w:val="ru-RU"/>
        </w:rPr>
        <w:t> </w:t>
      </w:r>
      <w:r w:rsidR="001F3612" w:rsidRPr="00281BC7">
        <w:rPr>
          <w:b w:val="0"/>
          <w:bCs w:val="0"/>
          <w:iCs/>
          <w:caps w:val="0"/>
          <w:lang w:val="ru-RU"/>
        </w:rPr>
        <w:t>–</w:t>
      </w:r>
      <w:r w:rsidR="002458F4" w:rsidRPr="00281BC7">
        <w:rPr>
          <w:b w:val="0"/>
          <w:bCs w:val="0"/>
          <w:iCs/>
          <w:caps w:val="0"/>
          <w:lang w:val="ru-RU"/>
        </w:rPr>
        <w:t> </w:t>
      </w:r>
      <w:r w:rsidR="001F3612" w:rsidRPr="00281BC7">
        <w:rPr>
          <w:b w:val="0"/>
          <w:bCs w:val="0"/>
          <w:iCs/>
          <w:caps w:val="0"/>
          <w:lang w:val="ru-RU"/>
        </w:rPr>
        <w:t>Куала-</w:t>
      </w:r>
      <w:proofErr w:type="spellStart"/>
      <w:r w:rsidR="001F3612" w:rsidRPr="00281BC7">
        <w:rPr>
          <w:b w:val="0"/>
          <w:bCs w:val="0"/>
          <w:iCs/>
          <w:caps w:val="0"/>
          <w:lang w:val="ru-RU"/>
        </w:rPr>
        <w:t>лумпурского</w:t>
      </w:r>
      <w:proofErr w:type="spellEnd"/>
      <w:r w:rsidR="001F3612" w:rsidRPr="00281BC7">
        <w:rPr>
          <w:b w:val="0"/>
          <w:bCs w:val="0"/>
          <w:iCs/>
          <w:caps w:val="0"/>
          <w:lang w:val="ru-RU"/>
        </w:rPr>
        <w:t xml:space="preserve"> дополнительного протокола об ответственности и возмещении;</w:t>
      </w:r>
    </w:p>
    <w:p w14:paraId="053C95BD" w14:textId="3DB4CD84" w:rsidR="002D3E86" w:rsidRPr="001F3612" w:rsidRDefault="00621FB8" w:rsidP="00BB4EE9">
      <w:pPr>
        <w:pStyle w:val="HEADING"/>
        <w:keepNext w:val="0"/>
        <w:shd w:val="clear" w:color="auto" w:fill="FFFFFF" w:themeFill="background1"/>
        <w:spacing w:before="120"/>
        <w:ind w:firstLine="720"/>
        <w:jc w:val="both"/>
        <w:rPr>
          <w:b w:val="0"/>
          <w:bCs w:val="0"/>
          <w:caps w:val="0"/>
          <w:lang w:val="ru-RU"/>
        </w:rPr>
      </w:pPr>
      <w:r w:rsidRPr="001F3612">
        <w:rPr>
          <w:b w:val="0"/>
          <w:bCs w:val="0"/>
          <w:kern w:val="22"/>
          <w:szCs w:val="22"/>
          <w:lang w:val="ru-RU"/>
        </w:rPr>
        <w:t>6</w:t>
      </w:r>
      <w:r w:rsidR="002A6AE2" w:rsidRPr="001F3612">
        <w:rPr>
          <w:b w:val="0"/>
          <w:bCs w:val="0"/>
          <w:kern w:val="22"/>
          <w:szCs w:val="22"/>
          <w:lang w:val="ru-RU"/>
        </w:rPr>
        <w:t>.</w:t>
      </w:r>
      <w:r w:rsidR="002A6AE2" w:rsidRPr="001F3612">
        <w:rPr>
          <w:b w:val="0"/>
          <w:bCs w:val="0"/>
          <w:kern w:val="22"/>
          <w:szCs w:val="22"/>
          <w:lang w:val="ru-RU"/>
        </w:rPr>
        <w:tab/>
      </w:r>
      <w:r w:rsidR="001F3612" w:rsidRPr="001F3612">
        <w:rPr>
          <w:b w:val="0"/>
          <w:bCs w:val="0"/>
          <w:i/>
          <w:caps w:val="0"/>
          <w:lang w:val="ru-RU"/>
        </w:rPr>
        <w:t xml:space="preserve">напоминает </w:t>
      </w:r>
      <w:r w:rsidR="001F3612" w:rsidRPr="002458F4">
        <w:rPr>
          <w:b w:val="0"/>
          <w:bCs w:val="0"/>
          <w:iCs/>
          <w:caps w:val="0"/>
          <w:lang w:val="ru-RU"/>
        </w:rPr>
        <w:t xml:space="preserve">Сторонам </w:t>
      </w:r>
      <w:proofErr w:type="spellStart"/>
      <w:r w:rsidR="001F3612" w:rsidRPr="002458F4">
        <w:rPr>
          <w:b w:val="0"/>
          <w:bCs w:val="0"/>
          <w:iCs/>
          <w:caps w:val="0"/>
          <w:lang w:val="ru-RU"/>
        </w:rPr>
        <w:t>Нагойско</w:t>
      </w:r>
      <w:proofErr w:type="spellEnd"/>
      <w:r w:rsidR="001F3612" w:rsidRPr="002458F4">
        <w:rPr>
          <w:b w:val="0"/>
          <w:bCs w:val="0"/>
          <w:iCs/>
          <w:caps w:val="0"/>
          <w:lang w:val="ru-RU"/>
        </w:rPr>
        <w:t>-Куала-</w:t>
      </w:r>
      <w:proofErr w:type="spellStart"/>
      <w:r w:rsidR="001F3612" w:rsidRPr="002458F4">
        <w:rPr>
          <w:b w:val="0"/>
          <w:bCs w:val="0"/>
          <w:iCs/>
          <w:caps w:val="0"/>
          <w:lang w:val="ru-RU"/>
        </w:rPr>
        <w:t>лумпурского</w:t>
      </w:r>
      <w:proofErr w:type="spellEnd"/>
      <w:r w:rsidR="001F3612" w:rsidRPr="002458F4">
        <w:rPr>
          <w:b w:val="0"/>
          <w:bCs w:val="0"/>
          <w:iCs/>
          <w:caps w:val="0"/>
          <w:lang w:val="ru-RU"/>
        </w:rPr>
        <w:t xml:space="preserve"> дополнительного протокола об ответственности и возмещении о необходимости назначить компетентный орган для выполнения функций, изложенных в статье 5 Дополнительного протокола, и опубликовать информацию об этих компетентных органах с использованием общей формы, предусмотренной для этой цели в Механизме посредничества по биобезопасности;</w:t>
      </w:r>
    </w:p>
    <w:p w14:paraId="004916BB" w14:textId="477B3BB6" w:rsidR="002D3E86" w:rsidRPr="002458F4" w:rsidRDefault="00621FB8" w:rsidP="00E249FA">
      <w:pPr>
        <w:shd w:val="clear" w:color="auto" w:fill="FFFFFF" w:themeFill="background1"/>
        <w:spacing w:before="120"/>
        <w:ind w:firstLine="720"/>
        <w:rPr>
          <w:iCs/>
          <w:lang w:val="ru-RU"/>
        </w:rPr>
      </w:pPr>
      <w:r w:rsidRPr="001F3612">
        <w:rPr>
          <w:kern w:val="22"/>
          <w:szCs w:val="22"/>
          <w:lang w:val="ru-RU"/>
        </w:rPr>
        <w:t>7</w:t>
      </w:r>
      <w:r w:rsidR="00A12755" w:rsidRPr="001F3612">
        <w:rPr>
          <w:kern w:val="22"/>
          <w:szCs w:val="22"/>
          <w:lang w:val="ru-RU"/>
        </w:rPr>
        <w:t>.</w:t>
      </w:r>
      <w:r w:rsidR="00A12755" w:rsidRPr="001F3612">
        <w:rPr>
          <w:kern w:val="22"/>
          <w:szCs w:val="22"/>
          <w:lang w:val="ru-RU"/>
        </w:rPr>
        <w:tab/>
      </w:r>
      <w:r w:rsidR="001F3612" w:rsidRPr="001F3612">
        <w:rPr>
          <w:i/>
          <w:lang w:val="ru-RU"/>
        </w:rPr>
        <w:t xml:space="preserve">приветствует </w:t>
      </w:r>
      <w:r w:rsidR="001F3612" w:rsidRPr="002458F4">
        <w:rPr>
          <w:iCs/>
          <w:lang w:val="ru-RU"/>
        </w:rPr>
        <w:t xml:space="preserve">исследование механизмов финансового обеспечения (статья 10 </w:t>
      </w:r>
      <w:proofErr w:type="spellStart"/>
      <w:r w:rsidR="001F3612" w:rsidRPr="002458F4">
        <w:rPr>
          <w:iCs/>
          <w:lang w:val="ru-RU"/>
        </w:rPr>
        <w:t>Нагойско</w:t>
      </w:r>
      <w:proofErr w:type="spellEnd"/>
      <w:r w:rsidR="001F3612" w:rsidRPr="002458F4">
        <w:rPr>
          <w:iCs/>
          <w:lang w:val="ru-RU"/>
        </w:rPr>
        <w:t xml:space="preserve"> – Куала-</w:t>
      </w:r>
      <w:proofErr w:type="spellStart"/>
      <w:r w:rsidR="001F3612" w:rsidRPr="002458F4">
        <w:rPr>
          <w:iCs/>
          <w:lang w:val="ru-RU"/>
        </w:rPr>
        <w:t>лумпурского</w:t>
      </w:r>
      <w:proofErr w:type="spellEnd"/>
      <w:r w:rsidR="001F3612" w:rsidRPr="002458F4">
        <w:rPr>
          <w:iCs/>
          <w:lang w:val="ru-RU"/>
        </w:rPr>
        <w:t xml:space="preserve"> дополнительного протокола)</w:t>
      </w:r>
      <w:r w:rsidR="002458F4" w:rsidRPr="00CD388A">
        <w:rPr>
          <w:rStyle w:val="Appelnotedebasdep"/>
          <w:iCs/>
          <w:kern w:val="22"/>
          <w:szCs w:val="22"/>
        </w:rPr>
        <w:footnoteReference w:id="4"/>
      </w:r>
      <w:r w:rsidR="002D3E86" w:rsidRPr="002458F4">
        <w:rPr>
          <w:iCs/>
          <w:lang w:val="ru-RU"/>
        </w:rPr>
        <w:t>;</w:t>
      </w:r>
    </w:p>
    <w:p w14:paraId="3A3DC057" w14:textId="3FD9343C" w:rsidR="000E0CCF" w:rsidRPr="001F3612" w:rsidRDefault="000E0CCF" w:rsidP="00BB4EE9">
      <w:pPr>
        <w:shd w:val="clear" w:color="auto" w:fill="FFFFFF" w:themeFill="background1"/>
        <w:spacing w:before="120"/>
        <w:ind w:firstLine="720"/>
        <w:rPr>
          <w:iCs/>
          <w:lang w:val="ru-RU"/>
        </w:rPr>
      </w:pPr>
      <w:r w:rsidRPr="001F3612">
        <w:rPr>
          <w:lang w:val="ru-RU"/>
        </w:rPr>
        <w:t>8.</w:t>
      </w:r>
      <w:r w:rsidRPr="001F3612">
        <w:rPr>
          <w:lang w:val="ru-RU"/>
        </w:rPr>
        <w:tab/>
      </w:r>
      <w:r w:rsidR="001F3612" w:rsidRPr="001F3612">
        <w:rPr>
          <w:i/>
          <w:iCs/>
          <w:lang w:val="ru-RU"/>
        </w:rPr>
        <w:t xml:space="preserve">напоминает </w:t>
      </w:r>
      <w:r w:rsidR="001F3612" w:rsidRPr="002458F4">
        <w:rPr>
          <w:lang w:val="ru-RU"/>
        </w:rPr>
        <w:t xml:space="preserve">Сторонам </w:t>
      </w:r>
      <w:proofErr w:type="spellStart"/>
      <w:r w:rsidR="001F3612" w:rsidRPr="002458F4">
        <w:rPr>
          <w:lang w:val="ru-RU"/>
        </w:rPr>
        <w:t>Нагойско</w:t>
      </w:r>
      <w:proofErr w:type="spellEnd"/>
      <w:r w:rsidR="001F3612" w:rsidRPr="002458F4">
        <w:rPr>
          <w:lang w:val="ru-RU"/>
        </w:rPr>
        <w:t xml:space="preserve"> – Куала-</w:t>
      </w:r>
      <w:proofErr w:type="spellStart"/>
      <w:r w:rsidR="001F3612" w:rsidRPr="002458F4">
        <w:rPr>
          <w:lang w:val="ru-RU"/>
        </w:rPr>
        <w:t>лумпурского</w:t>
      </w:r>
      <w:proofErr w:type="spellEnd"/>
      <w:r w:rsidR="001F3612" w:rsidRPr="002458F4">
        <w:rPr>
          <w:lang w:val="ru-RU"/>
        </w:rPr>
        <w:t xml:space="preserve"> дополнительного протокола об ответственности и возмещении о принципе «загрязнитель платит» и </w:t>
      </w:r>
      <w:r w:rsidR="001F3612" w:rsidRPr="00AB1FAA">
        <w:rPr>
          <w:lang w:val="ru-RU"/>
        </w:rPr>
        <w:t>призывает</w:t>
      </w:r>
      <w:r w:rsidR="001F3612" w:rsidRPr="002458F4">
        <w:rPr>
          <w:lang w:val="ru-RU"/>
        </w:rPr>
        <w:t xml:space="preserve"> их учитывать этот принцип в соответствующих случаях при дальнейшей разработке механизмов финансового обеспечения;</w:t>
      </w:r>
    </w:p>
    <w:p w14:paraId="0EF9B7B6" w14:textId="0FFC0F02" w:rsidR="002D3E86" w:rsidRPr="001F3612" w:rsidRDefault="009F4C3C" w:rsidP="00E249FA">
      <w:pPr>
        <w:shd w:val="clear" w:color="auto" w:fill="FFFFFF" w:themeFill="background1"/>
        <w:spacing w:before="120" w:after="120"/>
        <w:ind w:firstLine="720"/>
        <w:rPr>
          <w:i/>
          <w:lang w:val="ru-RU"/>
        </w:rPr>
      </w:pPr>
      <w:r w:rsidRPr="001F3612">
        <w:rPr>
          <w:kern w:val="22"/>
          <w:szCs w:val="22"/>
          <w:lang w:val="ru-RU"/>
        </w:rPr>
        <w:t>9</w:t>
      </w:r>
      <w:r w:rsidR="00A12755" w:rsidRPr="001F3612">
        <w:rPr>
          <w:kern w:val="22"/>
          <w:szCs w:val="22"/>
          <w:lang w:val="ru-RU"/>
        </w:rPr>
        <w:t>.</w:t>
      </w:r>
      <w:r w:rsidR="00A12755" w:rsidRPr="001F3612">
        <w:rPr>
          <w:kern w:val="22"/>
          <w:szCs w:val="22"/>
          <w:lang w:val="ru-RU"/>
        </w:rPr>
        <w:tab/>
      </w:r>
      <w:r w:rsidR="001F3612" w:rsidRPr="001F3612">
        <w:rPr>
          <w:i/>
          <w:iCs/>
          <w:lang w:val="ru-RU"/>
        </w:rPr>
        <w:t xml:space="preserve">поручает </w:t>
      </w:r>
      <w:r w:rsidR="001F3612" w:rsidRPr="002458F4">
        <w:rPr>
          <w:lang w:val="ru-RU"/>
        </w:rPr>
        <w:t xml:space="preserve">Сторонам Дополнительного протокола и </w:t>
      </w:r>
      <w:r w:rsidR="001F3612" w:rsidRPr="00AB1FAA">
        <w:rPr>
          <w:lang w:val="ru-RU"/>
        </w:rPr>
        <w:t>предлагает</w:t>
      </w:r>
      <w:r w:rsidR="001F3612" w:rsidRPr="002458F4">
        <w:rPr>
          <w:lang w:val="ru-RU"/>
        </w:rPr>
        <w:t xml:space="preserve"> другим правительствам представить Исполнительному секретарю информацию о принятых ими мерах финансового обеспечения в отношении ущерба, причиненного живыми измененными организмами, в частности если они сообщили о внедрении подобных мер в своих </w:t>
      </w:r>
      <w:r w:rsidR="00FD7589">
        <w:rPr>
          <w:lang w:val="ru-RU"/>
        </w:rPr>
        <w:t xml:space="preserve">четвертых </w:t>
      </w:r>
      <w:r w:rsidR="001F3612" w:rsidRPr="002458F4">
        <w:rPr>
          <w:lang w:val="ru-RU"/>
        </w:rPr>
        <w:t>национальных докладах;</w:t>
      </w:r>
      <w:r w:rsidR="002D3E86" w:rsidRPr="001F3612">
        <w:rPr>
          <w:lang w:val="ru-RU"/>
        </w:rPr>
        <w:t xml:space="preserve"> </w:t>
      </w:r>
    </w:p>
    <w:p w14:paraId="1D09884E" w14:textId="34D8CBF3" w:rsidR="002D3E86" w:rsidRPr="001F3612" w:rsidRDefault="009F4C3C" w:rsidP="00E249FA">
      <w:pPr>
        <w:shd w:val="clear" w:color="auto" w:fill="FFFFFF" w:themeFill="background1"/>
        <w:spacing w:before="120" w:after="120"/>
        <w:ind w:firstLine="720"/>
        <w:rPr>
          <w:i/>
          <w:lang w:val="ru-RU"/>
        </w:rPr>
      </w:pPr>
      <w:r w:rsidRPr="001F3612">
        <w:rPr>
          <w:kern w:val="22"/>
          <w:szCs w:val="22"/>
          <w:lang w:val="ru-RU"/>
        </w:rPr>
        <w:t>10</w:t>
      </w:r>
      <w:r w:rsidR="00A12755" w:rsidRPr="001F3612">
        <w:rPr>
          <w:kern w:val="22"/>
          <w:szCs w:val="22"/>
          <w:lang w:val="ru-RU"/>
        </w:rPr>
        <w:t>.</w:t>
      </w:r>
      <w:r w:rsidR="00A12755" w:rsidRPr="001F3612">
        <w:rPr>
          <w:kern w:val="22"/>
          <w:szCs w:val="22"/>
          <w:lang w:val="ru-RU"/>
        </w:rPr>
        <w:tab/>
      </w:r>
      <w:r w:rsidR="001F3612" w:rsidRPr="001F3612">
        <w:rPr>
          <w:i/>
          <w:lang w:val="ru-RU"/>
        </w:rPr>
        <w:t xml:space="preserve">поручает </w:t>
      </w:r>
      <w:r w:rsidR="001F3612" w:rsidRPr="002458F4">
        <w:rPr>
          <w:iCs/>
          <w:lang w:val="ru-RU"/>
        </w:rPr>
        <w:t>Исполнительному секретарю обобщить информацию, представленную в соответствии с пунктом</w:t>
      </w:r>
      <w:r w:rsidR="001F3612" w:rsidRPr="002458F4">
        <w:rPr>
          <w:iCs/>
        </w:rPr>
        <w:t> </w:t>
      </w:r>
      <w:r w:rsidR="00AB1FAA">
        <w:rPr>
          <w:iCs/>
          <w:lang w:val="ru-RU"/>
        </w:rPr>
        <w:t>9</w:t>
      </w:r>
      <w:r w:rsidR="001F3612" w:rsidRPr="002458F4">
        <w:rPr>
          <w:iCs/>
          <w:lang w:val="ru-RU"/>
        </w:rPr>
        <w:t>, и представить ее на рассмотрение Конференци</w:t>
      </w:r>
      <w:r w:rsidR="00FC7032">
        <w:rPr>
          <w:iCs/>
          <w:lang w:val="ru-RU"/>
        </w:rPr>
        <w:t>и</w:t>
      </w:r>
      <w:r w:rsidR="001F3612" w:rsidRPr="002458F4">
        <w:rPr>
          <w:iCs/>
          <w:lang w:val="ru-RU"/>
        </w:rPr>
        <w:t xml:space="preserve"> Сторон, выступающей в качестве </w:t>
      </w:r>
      <w:r w:rsidR="0084555B">
        <w:rPr>
          <w:iCs/>
          <w:lang w:val="ru-RU"/>
        </w:rPr>
        <w:t>с</w:t>
      </w:r>
      <w:r w:rsidR="001F3612" w:rsidRPr="002458F4">
        <w:rPr>
          <w:iCs/>
          <w:lang w:val="ru-RU"/>
        </w:rPr>
        <w:t xml:space="preserve">овещания Сторон Протокола, на ее </w:t>
      </w:r>
      <w:r w:rsidR="00FC7032">
        <w:rPr>
          <w:iCs/>
          <w:lang w:val="ru-RU"/>
        </w:rPr>
        <w:t>11-м</w:t>
      </w:r>
      <w:r w:rsidR="001F3612" w:rsidRPr="002458F4">
        <w:rPr>
          <w:iCs/>
          <w:lang w:val="ru-RU"/>
        </w:rPr>
        <w:t xml:space="preserve"> совещании;</w:t>
      </w:r>
    </w:p>
    <w:p w14:paraId="11BEC940" w14:textId="66742324" w:rsidR="002D3E86" w:rsidRPr="001F3612" w:rsidRDefault="009F4C3C" w:rsidP="00AB1FAA">
      <w:pPr>
        <w:ind w:firstLine="720"/>
        <w:rPr>
          <w:iCs/>
          <w:lang w:val="ru-RU"/>
        </w:rPr>
      </w:pPr>
      <w:r w:rsidRPr="001F3612">
        <w:rPr>
          <w:kern w:val="22"/>
          <w:szCs w:val="22"/>
          <w:lang w:val="ru-RU"/>
        </w:rPr>
        <w:t>11</w:t>
      </w:r>
      <w:r w:rsidR="00A12755" w:rsidRPr="001F3612">
        <w:rPr>
          <w:kern w:val="22"/>
          <w:szCs w:val="22"/>
          <w:lang w:val="ru-RU"/>
        </w:rPr>
        <w:t>.</w:t>
      </w:r>
      <w:r w:rsidR="00A12755" w:rsidRPr="001F3612">
        <w:rPr>
          <w:kern w:val="22"/>
          <w:szCs w:val="22"/>
          <w:lang w:val="ru-RU"/>
        </w:rPr>
        <w:tab/>
      </w:r>
      <w:r w:rsidR="001F3612" w:rsidRPr="001F3612">
        <w:rPr>
          <w:i/>
          <w:lang w:val="ru-RU"/>
        </w:rPr>
        <w:t xml:space="preserve">приветствует </w:t>
      </w:r>
      <w:r w:rsidR="001F3612" w:rsidRPr="002458F4">
        <w:rPr>
          <w:iCs/>
          <w:lang w:val="ru-RU"/>
        </w:rPr>
        <w:t xml:space="preserve">включение вопросов о Дополнительном протоколе в форму </w:t>
      </w:r>
      <w:r w:rsidR="0084555B" w:rsidRPr="0084555B">
        <w:rPr>
          <w:iCs/>
          <w:lang w:val="ru-RU"/>
        </w:rPr>
        <w:t xml:space="preserve">представления </w:t>
      </w:r>
      <w:r w:rsidR="001F3612" w:rsidRPr="002458F4">
        <w:rPr>
          <w:iCs/>
          <w:lang w:val="ru-RU"/>
        </w:rPr>
        <w:t>пятых национальных докладов</w:t>
      </w:r>
      <w:r w:rsidR="00AB1FAA">
        <w:rPr>
          <w:iCs/>
          <w:vertAlign w:val="superscript"/>
        </w:rPr>
        <w:footnoteReference w:id="5"/>
      </w:r>
      <w:r w:rsidR="00AB1FAA">
        <w:rPr>
          <w:iCs/>
        </w:rPr>
        <w:t xml:space="preserve"> </w:t>
      </w:r>
      <w:r w:rsidR="002458F4">
        <w:rPr>
          <w:iCs/>
          <w:lang w:val="ru-RU"/>
        </w:rPr>
        <w:t>и</w:t>
      </w:r>
      <w:r w:rsidR="001F3612" w:rsidRPr="002458F4">
        <w:rPr>
          <w:iCs/>
          <w:lang w:val="ru-RU"/>
        </w:rPr>
        <w:t xml:space="preserve"> </w:t>
      </w:r>
      <w:r w:rsidR="001F3612" w:rsidRPr="00AA54E5">
        <w:rPr>
          <w:iCs/>
          <w:lang w:val="ru-RU"/>
        </w:rPr>
        <w:t>поручает</w:t>
      </w:r>
      <w:r w:rsidR="001F3612" w:rsidRPr="002458F4">
        <w:rPr>
          <w:iCs/>
          <w:lang w:val="ru-RU"/>
        </w:rPr>
        <w:t xml:space="preserve"> Сторонам Дополнительного протокола и предлагает другим правительствам ответить на эти вопросы;</w:t>
      </w:r>
    </w:p>
    <w:p w14:paraId="55FDCE98" w14:textId="1074FA57" w:rsidR="00B3369F" w:rsidRDefault="002A6AE2" w:rsidP="00E249FA">
      <w:pPr>
        <w:shd w:val="clear" w:color="auto" w:fill="FFFFFF" w:themeFill="background1"/>
        <w:spacing w:before="120" w:after="120"/>
        <w:ind w:firstLine="720"/>
        <w:rPr>
          <w:iCs/>
          <w:lang w:val="ru-RU"/>
        </w:rPr>
      </w:pPr>
      <w:r w:rsidRPr="001F3612">
        <w:rPr>
          <w:kern w:val="22"/>
          <w:szCs w:val="22"/>
          <w:lang w:val="ru-RU"/>
        </w:rPr>
        <w:t>1</w:t>
      </w:r>
      <w:r w:rsidR="009F4C3C" w:rsidRPr="001F3612">
        <w:rPr>
          <w:kern w:val="22"/>
          <w:szCs w:val="22"/>
          <w:lang w:val="ru-RU"/>
        </w:rPr>
        <w:t>2</w:t>
      </w:r>
      <w:r w:rsidR="00A12755" w:rsidRPr="001F3612">
        <w:rPr>
          <w:kern w:val="22"/>
          <w:szCs w:val="22"/>
          <w:lang w:val="ru-RU"/>
        </w:rPr>
        <w:t>.</w:t>
      </w:r>
      <w:r w:rsidR="00A12755" w:rsidRPr="001F3612">
        <w:rPr>
          <w:kern w:val="22"/>
          <w:szCs w:val="22"/>
          <w:lang w:val="ru-RU"/>
        </w:rPr>
        <w:tab/>
      </w:r>
      <w:r w:rsidR="001F3612" w:rsidRPr="001F3612">
        <w:rPr>
          <w:i/>
          <w:lang w:val="ru-RU"/>
        </w:rPr>
        <w:t xml:space="preserve">ссылается </w:t>
      </w:r>
      <w:r w:rsidR="001F3612" w:rsidRPr="002458F4">
        <w:rPr>
          <w:iCs/>
          <w:lang w:val="ru-RU"/>
        </w:rPr>
        <w:t xml:space="preserve">на статью 13 </w:t>
      </w:r>
      <w:proofErr w:type="spellStart"/>
      <w:r w:rsidR="001F3612" w:rsidRPr="002458F4">
        <w:rPr>
          <w:iCs/>
          <w:lang w:val="ru-RU"/>
        </w:rPr>
        <w:t>Нагойско</w:t>
      </w:r>
      <w:proofErr w:type="spellEnd"/>
      <w:r w:rsidR="001F3612" w:rsidRPr="002458F4">
        <w:rPr>
          <w:iCs/>
          <w:lang w:val="ru-RU"/>
        </w:rPr>
        <w:t xml:space="preserve"> – Куала-</w:t>
      </w:r>
      <w:proofErr w:type="spellStart"/>
      <w:r w:rsidR="00141AC7">
        <w:rPr>
          <w:iCs/>
          <w:lang w:val="ru-RU"/>
        </w:rPr>
        <w:t>л</w:t>
      </w:r>
      <w:r w:rsidR="001F3612" w:rsidRPr="002458F4">
        <w:rPr>
          <w:iCs/>
          <w:lang w:val="ru-RU"/>
        </w:rPr>
        <w:t>умпурского</w:t>
      </w:r>
      <w:proofErr w:type="spellEnd"/>
      <w:r w:rsidR="001F3612" w:rsidRPr="002458F4">
        <w:rPr>
          <w:iCs/>
          <w:lang w:val="ru-RU"/>
        </w:rPr>
        <w:t xml:space="preserve"> дополнительного протокола об ответственности и возмещении и </w:t>
      </w:r>
      <w:r w:rsidR="001F3612" w:rsidRPr="00AA54E5">
        <w:rPr>
          <w:iCs/>
          <w:lang w:val="ru-RU"/>
        </w:rPr>
        <w:t>постановляет</w:t>
      </w:r>
      <w:r w:rsidR="001F3612" w:rsidRPr="002458F4">
        <w:rPr>
          <w:iCs/>
          <w:lang w:val="ru-RU"/>
        </w:rPr>
        <w:t xml:space="preserve">, что первая оценка и обзор эффективности Дополнительного протокола должны быть проведены в контексте пятой оценки и обзора эффективности </w:t>
      </w:r>
      <w:proofErr w:type="spellStart"/>
      <w:r w:rsidR="001F3612" w:rsidRPr="002458F4">
        <w:rPr>
          <w:iCs/>
          <w:lang w:val="ru-RU"/>
        </w:rPr>
        <w:t>Картахенского</w:t>
      </w:r>
      <w:proofErr w:type="spellEnd"/>
      <w:r w:rsidR="001F3612" w:rsidRPr="002458F4">
        <w:rPr>
          <w:iCs/>
          <w:lang w:val="ru-RU"/>
        </w:rPr>
        <w:t xml:space="preserve"> протокола.</w:t>
      </w:r>
    </w:p>
    <w:p w14:paraId="72B4A269" w14:textId="77777777" w:rsidR="0084555B" w:rsidRPr="001F3612" w:rsidRDefault="0084555B" w:rsidP="00E249FA">
      <w:pPr>
        <w:shd w:val="clear" w:color="auto" w:fill="FFFFFF" w:themeFill="background1"/>
        <w:spacing w:before="120" w:after="120"/>
        <w:ind w:firstLine="720"/>
        <w:rPr>
          <w:rFonts w:asciiTheme="majorBidi" w:hAnsiTheme="majorBidi" w:cstheme="majorBidi"/>
          <w:b/>
          <w:bCs/>
          <w:snapToGrid w:val="0"/>
          <w:kern w:val="22"/>
          <w:lang w:val="ru-RU"/>
        </w:rPr>
      </w:pPr>
    </w:p>
    <w:p w14:paraId="7F6B0451" w14:textId="7C570775" w:rsidR="002A6AE2" w:rsidRPr="002A6AE2" w:rsidRDefault="002A6AE2" w:rsidP="00E249FA">
      <w:pPr>
        <w:shd w:val="clear" w:color="auto" w:fill="FFFFFF" w:themeFill="background1"/>
        <w:spacing w:before="120" w:after="120"/>
        <w:jc w:val="center"/>
        <w:rPr>
          <w:rFonts w:asciiTheme="majorBidi" w:hAnsiTheme="majorBidi" w:cstheme="majorBidi"/>
          <w:b/>
          <w:bCs/>
          <w:snapToGrid w:val="0"/>
          <w:kern w:val="22"/>
        </w:rPr>
      </w:pPr>
      <w:r>
        <w:rPr>
          <w:rFonts w:asciiTheme="majorBidi" w:hAnsiTheme="majorBidi" w:cstheme="majorBidi"/>
          <w:b/>
          <w:bCs/>
          <w:snapToGrid w:val="0"/>
          <w:kern w:val="22"/>
        </w:rPr>
        <w:t>__________</w:t>
      </w:r>
    </w:p>
    <w:sectPr w:rsidR="002A6AE2" w:rsidRPr="002A6AE2" w:rsidSect="000A50F5">
      <w:headerReference w:type="even" r:id="rId15"/>
      <w:headerReference w:type="default" r:id="rId16"/>
      <w:pgSz w:w="12240" w:h="15840"/>
      <w:pgMar w:top="562" w:right="1382" w:bottom="1138" w:left="138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12729" w14:textId="77777777" w:rsidR="00882FA5" w:rsidRDefault="00882FA5" w:rsidP="00CF1848">
      <w:r>
        <w:separator/>
      </w:r>
    </w:p>
  </w:endnote>
  <w:endnote w:type="continuationSeparator" w:id="0">
    <w:p w14:paraId="4FE5C803" w14:textId="77777777" w:rsidR="00882FA5" w:rsidRDefault="00882FA5"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EB6BE" w14:textId="77777777" w:rsidR="00882FA5" w:rsidRDefault="00882FA5" w:rsidP="00CF1848">
      <w:r>
        <w:separator/>
      </w:r>
    </w:p>
  </w:footnote>
  <w:footnote w:type="continuationSeparator" w:id="0">
    <w:p w14:paraId="58B65214" w14:textId="77777777" w:rsidR="00882FA5" w:rsidRDefault="00882FA5" w:rsidP="00CF1848">
      <w:r>
        <w:continuationSeparator/>
      </w:r>
    </w:p>
  </w:footnote>
  <w:footnote w:id="1">
    <w:p w14:paraId="01B8D3CB" w14:textId="4438BDD2" w:rsidR="00B43132" w:rsidRPr="002458F4" w:rsidRDefault="00B43132" w:rsidP="00B43132">
      <w:pPr>
        <w:pStyle w:val="Notedebasdepage"/>
        <w:suppressLineNumbers/>
        <w:suppressAutoHyphens/>
        <w:spacing w:before="60"/>
        <w:ind w:firstLine="0"/>
        <w:jc w:val="left"/>
        <w:rPr>
          <w:szCs w:val="18"/>
          <w:lang w:val="ru-RU"/>
        </w:rPr>
      </w:pPr>
      <w:r w:rsidRPr="00552AA0">
        <w:rPr>
          <w:rStyle w:val="Appelnotedebasdep"/>
          <w:kern w:val="22"/>
          <w:sz w:val="20"/>
          <w:szCs w:val="20"/>
        </w:rPr>
        <w:footnoteRef/>
      </w:r>
      <w:r w:rsidRPr="002458F4">
        <w:rPr>
          <w:szCs w:val="18"/>
          <w:lang w:val="ru-RU"/>
        </w:rPr>
        <w:t xml:space="preserve"> </w:t>
      </w:r>
      <w:r w:rsidR="002458F4" w:rsidRPr="002458F4">
        <w:rPr>
          <w:szCs w:val="18"/>
          <w:lang w:val="ru-RU"/>
        </w:rPr>
        <w:t xml:space="preserve">В соответствии с пунктом 1 статьи 14 Дополнительного протокола и согласно пункту 2 статьи 32 Конвенции о биологическом разнообразии Конференция Сторон, выступающая в качестве </w:t>
      </w:r>
      <w:r w:rsidR="008D6A2E">
        <w:rPr>
          <w:szCs w:val="18"/>
          <w:lang w:val="ru-RU"/>
        </w:rPr>
        <w:t>с</w:t>
      </w:r>
      <w:r w:rsidR="002458F4" w:rsidRPr="002458F4">
        <w:rPr>
          <w:szCs w:val="18"/>
          <w:lang w:val="ru-RU"/>
        </w:rPr>
        <w:t xml:space="preserve">овещания Сторон Протокола, выступает в качестве </w:t>
      </w:r>
      <w:r w:rsidR="008D6A2E">
        <w:rPr>
          <w:szCs w:val="18"/>
          <w:lang w:val="ru-RU"/>
        </w:rPr>
        <w:t>с</w:t>
      </w:r>
      <w:r w:rsidR="002458F4" w:rsidRPr="002458F4">
        <w:rPr>
          <w:szCs w:val="18"/>
          <w:lang w:val="ru-RU"/>
        </w:rPr>
        <w:t>овещания Сторон Дополнительного протокола.</w:t>
      </w:r>
      <w:r w:rsidR="002458F4">
        <w:rPr>
          <w:szCs w:val="18"/>
          <w:lang w:val="ru-RU"/>
        </w:rPr>
        <w:t xml:space="preserve"> </w:t>
      </w:r>
      <w:r w:rsidR="002458F4" w:rsidRPr="002458F4">
        <w:rPr>
          <w:szCs w:val="18"/>
          <w:lang w:val="ru-RU"/>
        </w:rPr>
        <w:t>Соответственно, настоящее решение было принято Сторонами Дополнительного протокола.</w:t>
      </w:r>
    </w:p>
  </w:footnote>
  <w:footnote w:id="2">
    <w:p w14:paraId="178DD9DE" w14:textId="22A11846" w:rsidR="00281BC7" w:rsidRDefault="00281BC7" w:rsidP="00281BC7">
      <w:pPr>
        <w:pStyle w:val="Notedebasdepage"/>
        <w:ind w:firstLine="0"/>
        <w:rPr>
          <w:szCs w:val="18"/>
          <w:lang w:val="en-US"/>
        </w:rPr>
      </w:pPr>
      <w:r w:rsidRPr="009B3095">
        <w:rPr>
          <w:rStyle w:val="Appelnotedebasdep"/>
          <w:sz w:val="20"/>
          <w:szCs w:val="16"/>
        </w:rPr>
        <w:footnoteRef/>
      </w:r>
      <w:r w:rsidRPr="009B3095">
        <w:rPr>
          <w:sz w:val="16"/>
          <w:szCs w:val="16"/>
        </w:rPr>
        <w:t xml:space="preserve"> </w:t>
      </w:r>
      <w:r w:rsidR="009B3095">
        <w:rPr>
          <w:szCs w:val="18"/>
          <w:lang w:val="ru-RU"/>
        </w:rPr>
        <w:t>Решение</w:t>
      </w:r>
      <w:r>
        <w:rPr>
          <w:szCs w:val="18"/>
          <w:lang w:val="en-US"/>
        </w:rPr>
        <w:t xml:space="preserve"> CP-10/4, </w:t>
      </w:r>
      <w:r w:rsidR="009B3095">
        <w:rPr>
          <w:szCs w:val="18"/>
          <w:lang w:val="ru-RU"/>
        </w:rPr>
        <w:t>приложение</w:t>
      </w:r>
      <w:r>
        <w:rPr>
          <w:szCs w:val="18"/>
          <w:lang w:val="en-US"/>
        </w:rPr>
        <w:t>.</w:t>
      </w:r>
    </w:p>
  </w:footnote>
  <w:footnote w:id="3">
    <w:p w14:paraId="3A786F7D" w14:textId="7EEE52D2" w:rsidR="00281BC7" w:rsidRDefault="00281BC7" w:rsidP="00281BC7">
      <w:pPr>
        <w:pStyle w:val="Notedebasdepage"/>
        <w:ind w:firstLine="0"/>
        <w:rPr>
          <w:szCs w:val="18"/>
          <w:lang w:val="en-US"/>
        </w:rPr>
      </w:pPr>
      <w:r w:rsidRPr="009B3095">
        <w:rPr>
          <w:rStyle w:val="Appelnotedebasdep"/>
          <w:sz w:val="20"/>
          <w:szCs w:val="16"/>
        </w:rPr>
        <w:footnoteRef/>
      </w:r>
      <w:r w:rsidRPr="009B3095">
        <w:rPr>
          <w:sz w:val="16"/>
          <w:szCs w:val="16"/>
        </w:rPr>
        <w:t xml:space="preserve"> </w:t>
      </w:r>
      <w:r w:rsidR="009B3095">
        <w:rPr>
          <w:szCs w:val="18"/>
          <w:lang w:val="ru-RU"/>
        </w:rPr>
        <w:t>Решение</w:t>
      </w:r>
      <w:r w:rsidR="009B3095">
        <w:rPr>
          <w:szCs w:val="18"/>
          <w:lang w:val="en-US"/>
        </w:rPr>
        <w:t xml:space="preserve"> </w:t>
      </w:r>
      <w:r>
        <w:rPr>
          <w:szCs w:val="18"/>
          <w:lang w:val="en-US"/>
        </w:rPr>
        <w:t xml:space="preserve">CP-10/4, </w:t>
      </w:r>
      <w:r w:rsidR="009B3095">
        <w:rPr>
          <w:szCs w:val="18"/>
          <w:lang w:val="ru-RU"/>
        </w:rPr>
        <w:t>приложение</w:t>
      </w:r>
      <w:r>
        <w:rPr>
          <w:szCs w:val="18"/>
          <w:lang w:val="en-US"/>
        </w:rPr>
        <w:t>.</w:t>
      </w:r>
    </w:p>
  </w:footnote>
  <w:footnote w:id="4">
    <w:p w14:paraId="6629644B" w14:textId="7A34B7C6" w:rsidR="002458F4" w:rsidRPr="00A5008F" w:rsidRDefault="002458F4" w:rsidP="002458F4">
      <w:pPr>
        <w:pStyle w:val="Notedebasdepage"/>
        <w:spacing w:before="60"/>
        <w:ind w:firstLine="0"/>
        <w:jc w:val="left"/>
        <w:rPr>
          <w:lang w:val="ru-RU"/>
        </w:rPr>
      </w:pPr>
      <w:r w:rsidRPr="00552AA0">
        <w:rPr>
          <w:rStyle w:val="Appelnotedebasdep"/>
          <w:kern w:val="22"/>
          <w:sz w:val="20"/>
          <w:szCs w:val="20"/>
        </w:rPr>
        <w:footnoteRef/>
      </w:r>
      <w:r w:rsidRPr="00A5008F">
        <w:rPr>
          <w:rStyle w:val="Appelnotedebasdep"/>
          <w:kern w:val="22"/>
          <w:sz w:val="20"/>
          <w:szCs w:val="20"/>
          <w:lang w:val="ru-RU"/>
        </w:rPr>
        <w:t xml:space="preserve"> </w:t>
      </w:r>
      <w:r w:rsidR="00A5008F">
        <w:rPr>
          <w:kern w:val="22"/>
          <w:sz w:val="20"/>
          <w:szCs w:val="20"/>
          <w:lang w:val="ru-RU"/>
        </w:rPr>
        <w:t xml:space="preserve"> </w:t>
      </w:r>
      <w:r w:rsidR="00A5008F" w:rsidRPr="00A5008F">
        <w:rPr>
          <w:lang w:val="ru-RU"/>
        </w:rPr>
        <w:t xml:space="preserve">Исследование представлено в документе </w:t>
      </w:r>
      <w:hyperlink r:id="rId1" w:history="1">
        <w:r w:rsidR="00A5008F" w:rsidRPr="003A2AFC">
          <w:rPr>
            <w:rStyle w:val="Lienhypertexte"/>
          </w:rPr>
          <w:t>CBD</w:t>
        </w:r>
        <w:r w:rsidR="00A5008F" w:rsidRPr="003A2AFC">
          <w:rPr>
            <w:rStyle w:val="Lienhypertexte"/>
            <w:lang w:val="ru-RU"/>
          </w:rPr>
          <w:t>/</w:t>
        </w:r>
        <w:r w:rsidR="00A5008F" w:rsidRPr="003A2AFC">
          <w:rPr>
            <w:rStyle w:val="Lienhypertexte"/>
          </w:rPr>
          <w:t>CP</w:t>
        </w:r>
        <w:r w:rsidR="00A5008F" w:rsidRPr="003A2AFC">
          <w:rPr>
            <w:rStyle w:val="Lienhypertexte"/>
            <w:lang w:val="ru-RU"/>
          </w:rPr>
          <w:t>/</w:t>
        </w:r>
        <w:r w:rsidR="00A5008F" w:rsidRPr="003A2AFC">
          <w:rPr>
            <w:rStyle w:val="Lienhypertexte"/>
          </w:rPr>
          <w:t>MOP</w:t>
        </w:r>
        <w:r w:rsidR="00A5008F" w:rsidRPr="003A2AFC">
          <w:rPr>
            <w:rStyle w:val="Lienhypertexte"/>
            <w:lang w:val="ru-RU"/>
          </w:rPr>
          <w:t>/10/</w:t>
        </w:r>
        <w:r w:rsidR="00A5008F" w:rsidRPr="003A2AFC">
          <w:rPr>
            <w:rStyle w:val="Lienhypertexte"/>
          </w:rPr>
          <w:t>INF</w:t>
        </w:r>
        <w:r w:rsidR="00A5008F" w:rsidRPr="003A2AFC">
          <w:rPr>
            <w:rStyle w:val="Lienhypertexte"/>
            <w:lang w:val="ru-RU"/>
          </w:rPr>
          <w:t>/1</w:t>
        </w:r>
      </w:hyperlink>
      <w:r w:rsidR="00A5008F" w:rsidRPr="00A5008F">
        <w:rPr>
          <w:lang w:val="ru-RU"/>
        </w:rPr>
        <w:t>. Рабочее резюме исследования доступно на всех шести языках Организации Объединенных Наций в приложении к документу CBD/CP/MOP/10/9</w:t>
      </w:r>
      <w:r w:rsidR="00A5008F">
        <w:rPr>
          <w:lang w:val="ru-RU"/>
        </w:rPr>
        <w:t>.</w:t>
      </w:r>
    </w:p>
  </w:footnote>
  <w:footnote w:id="5">
    <w:p w14:paraId="217DA35B" w14:textId="788E7F50" w:rsidR="00AB1FAA" w:rsidRDefault="00AB1FAA" w:rsidP="00AB1FAA">
      <w:pPr>
        <w:pStyle w:val="Notedebasdepage"/>
        <w:ind w:firstLine="0"/>
        <w:rPr>
          <w:lang w:val="en-US"/>
        </w:rPr>
      </w:pPr>
      <w:r w:rsidRPr="00AB1FAA">
        <w:rPr>
          <w:rStyle w:val="Appelnotedebasdep"/>
          <w:sz w:val="20"/>
          <w:szCs w:val="22"/>
        </w:rPr>
        <w:footnoteRef/>
      </w:r>
      <w:r>
        <w:t xml:space="preserve"> </w:t>
      </w:r>
      <w:r>
        <w:rPr>
          <w:lang w:val="ru-RU"/>
        </w:rPr>
        <w:t>См. решение</w:t>
      </w:r>
      <w:r>
        <w:rPr>
          <w:lang w:val="en-US"/>
        </w:rPr>
        <w:t xml:space="preserve"> CP-10/9.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594125222"/>
      <w:placeholder>
        <w:docPart w:val="E0A2A743B81A4B3C85C4D4F24EDEFC7E"/>
      </w:placeholder>
      <w:dataBinding w:prefixMappings="xmlns:ns0='http://purl.org/dc/elements/1.1/' xmlns:ns1='http://schemas.openxmlformats.org/package/2006/metadata/core-properties' " w:xpath="/ns1:coreProperties[1]/ns0:subject[1]" w:storeItemID="{6C3C8BC8-F283-45AE-878A-BAB7291924A1}"/>
      <w:text/>
    </w:sdtPr>
    <w:sdtContent>
      <w:p w14:paraId="0DFAA97C" w14:textId="03F72975" w:rsidR="00A373EB" w:rsidRPr="00442EED" w:rsidRDefault="00677DFF" w:rsidP="00A373EB">
        <w:pPr>
          <w:pStyle w:val="Cornernotation"/>
          <w:ind w:right="-36"/>
          <w:rPr>
            <w:i/>
            <w:iCs/>
          </w:rPr>
        </w:pPr>
        <w:r>
          <w:t>CBD/CP/MOP/DEC/10/13</w:t>
        </w:r>
      </w:p>
    </w:sdtContent>
  </w:sdt>
  <w:p w14:paraId="5CB52F24" w14:textId="66D403A8" w:rsidR="000E579F" w:rsidRPr="00DF1739" w:rsidRDefault="00A5008F" w:rsidP="00DF1739">
    <w:pPr>
      <w:pStyle w:val="En-tte"/>
      <w:spacing w:after="240"/>
      <w:rPr>
        <w:lang w:val="en-US"/>
      </w:rPr>
    </w:pPr>
    <w:r>
      <w:rPr>
        <w:lang w:val="ru-RU"/>
      </w:rPr>
      <w:t>Страница</w:t>
    </w:r>
    <w:r w:rsidR="00A373EB" w:rsidRPr="00C35549">
      <w:rPr>
        <w:lang w:val="en-US"/>
      </w:rPr>
      <w:t xml:space="preserve"> </w:t>
    </w:r>
    <w:r w:rsidR="00A373EB">
      <w:fldChar w:fldCharType="begin"/>
    </w:r>
    <w:r w:rsidR="00A373EB" w:rsidRPr="00C35549">
      <w:rPr>
        <w:lang w:val="en-US"/>
      </w:rPr>
      <w:instrText xml:space="preserve"> PAGE   \* MERGEFORMAT </w:instrText>
    </w:r>
    <w:r w:rsidR="00A373EB">
      <w:fldChar w:fldCharType="separate"/>
    </w:r>
    <w:r w:rsidR="00A373EB">
      <w:t>2</w:t>
    </w:r>
    <w:r w:rsidR="00A373E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14:paraId="74F36640" w14:textId="6531E773" w:rsidR="009505C9" w:rsidRPr="003F7107" w:rsidRDefault="00677DFF" w:rsidP="009505C9">
        <w:pPr>
          <w:pStyle w:val="En-tte"/>
          <w:jc w:val="right"/>
          <w:rPr>
            <w:lang w:val="fr-FR"/>
          </w:rPr>
        </w:pPr>
        <w:r>
          <w:rPr>
            <w:lang w:val="fr-FR"/>
          </w:rPr>
          <w:t>CBD/CP/MOP/DEC/10/13</w:t>
        </w:r>
      </w:p>
    </w:sdtContent>
  </w:sdt>
  <w:p w14:paraId="38A69C04" w14:textId="77777777" w:rsidR="009505C9" w:rsidRPr="003F7107" w:rsidRDefault="009505C9" w:rsidP="009505C9">
    <w:pPr>
      <w:pStyle w:val="En-tte"/>
      <w:jc w:val="right"/>
      <w:rPr>
        <w:lang w:val="fr-FR"/>
      </w:rPr>
    </w:pPr>
    <w:r w:rsidRPr="003F7107">
      <w:rPr>
        <w:lang w:val="fr-FR"/>
      </w:rPr>
      <w:t xml:space="preserve">Page </w:t>
    </w:r>
    <w:r>
      <w:fldChar w:fldCharType="begin"/>
    </w:r>
    <w:r w:rsidRPr="003F7107">
      <w:rPr>
        <w:lang w:val="fr-FR"/>
      </w:rPr>
      <w:instrText xml:space="preserve"> PAGE   \* MERGEFORMAT </w:instrText>
    </w:r>
    <w:r>
      <w:fldChar w:fldCharType="separate"/>
    </w:r>
    <w:r w:rsidR="00F6586C" w:rsidRPr="003F7107">
      <w:rPr>
        <w:noProof/>
        <w:lang w:val="fr-FR"/>
      </w:rPr>
      <w:t>3</w:t>
    </w:r>
    <w:r>
      <w:rPr>
        <w:noProof/>
      </w:rPr>
      <w:fldChar w:fldCharType="end"/>
    </w:r>
  </w:p>
  <w:p w14:paraId="6ABC0C1C" w14:textId="77777777" w:rsidR="009505C9" w:rsidRPr="003F7107" w:rsidRDefault="009505C9">
    <w:pPr>
      <w:pStyle w:val="En-tte"/>
      <w:rPr>
        <w:lang w:val="fr-FR"/>
      </w:rPr>
    </w:pPr>
  </w:p>
  <w:p w14:paraId="0AF4EC2C" w14:textId="77777777" w:rsidR="000E579F" w:rsidRPr="003F7107" w:rsidRDefault="000E579F">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868"/>
    <w:multiLevelType w:val="hybridMultilevel"/>
    <w:tmpl w:val="D916D63A"/>
    <w:lvl w:ilvl="0" w:tplc="29109CA6">
      <w:start w:val="1"/>
      <w:numFmt w:val="decimal"/>
      <w:lvlText w:val="%1."/>
      <w:lvlJc w:val="left"/>
      <w:pPr>
        <w:ind w:left="644" w:hanging="360"/>
      </w:pPr>
      <w:rPr>
        <w:rFonts w:ascii="Times New Roman" w:eastAsia="Times New Roman" w:hAnsi="Times New Roman" w:cs="Times New Roman"/>
        <w:b w:val="0"/>
        <w:i w:val="0"/>
      </w:rPr>
    </w:lvl>
    <w:lvl w:ilvl="1" w:tplc="133C4270">
      <w:start w:val="1"/>
      <w:numFmt w:val="lowerLetter"/>
      <w:lvlText w:val="(%2)"/>
      <w:lvlJc w:val="left"/>
      <w:pPr>
        <w:ind w:left="1364" w:hanging="360"/>
      </w:pPr>
      <w:rPr>
        <w:b w:val="0"/>
        <w:i w:val="0"/>
      </w:rPr>
    </w:lvl>
    <w:lvl w:ilvl="2" w:tplc="1009001B">
      <w:start w:val="1"/>
      <w:numFmt w:val="lowerRoman"/>
      <w:lvlText w:val="%3."/>
      <w:lvlJc w:val="right"/>
      <w:pPr>
        <w:ind w:left="2084" w:hanging="180"/>
      </w:pPr>
    </w:lvl>
    <w:lvl w:ilvl="3" w:tplc="1009000F">
      <w:start w:val="1"/>
      <w:numFmt w:val="decimal"/>
      <w:lvlText w:val="%4."/>
      <w:lvlJc w:val="left"/>
      <w:pPr>
        <w:ind w:left="2804" w:hanging="360"/>
      </w:pPr>
    </w:lvl>
    <w:lvl w:ilvl="4" w:tplc="10090019">
      <w:start w:val="1"/>
      <w:numFmt w:val="lowerLetter"/>
      <w:lvlText w:val="%5."/>
      <w:lvlJc w:val="left"/>
      <w:pPr>
        <w:ind w:left="3524" w:hanging="360"/>
      </w:pPr>
    </w:lvl>
    <w:lvl w:ilvl="5" w:tplc="1009001B">
      <w:start w:val="1"/>
      <w:numFmt w:val="lowerRoman"/>
      <w:lvlText w:val="%6."/>
      <w:lvlJc w:val="right"/>
      <w:pPr>
        <w:ind w:left="4244" w:hanging="180"/>
      </w:pPr>
    </w:lvl>
    <w:lvl w:ilvl="6" w:tplc="1009000F">
      <w:start w:val="1"/>
      <w:numFmt w:val="decimal"/>
      <w:lvlText w:val="%7."/>
      <w:lvlJc w:val="left"/>
      <w:pPr>
        <w:ind w:left="4964" w:hanging="360"/>
      </w:pPr>
    </w:lvl>
    <w:lvl w:ilvl="7" w:tplc="10090019">
      <w:start w:val="1"/>
      <w:numFmt w:val="lowerLetter"/>
      <w:lvlText w:val="%8."/>
      <w:lvlJc w:val="left"/>
      <w:pPr>
        <w:ind w:left="5684" w:hanging="360"/>
      </w:pPr>
    </w:lvl>
    <w:lvl w:ilvl="8" w:tplc="1009001B">
      <w:start w:val="1"/>
      <w:numFmt w:val="lowerRoman"/>
      <w:lvlText w:val="%9."/>
      <w:lvlJc w:val="right"/>
      <w:pPr>
        <w:ind w:left="6404"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33B3417"/>
    <w:multiLevelType w:val="hybridMultilevel"/>
    <w:tmpl w:val="7E6EB436"/>
    <w:lvl w:ilvl="0" w:tplc="1EA4FA72">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E23244"/>
    <w:multiLevelType w:val="multilevel"/>
    <w:tmpl w:val="419A0FBC"/>
    <w:lvl w:ilvl="0">
      <w:start w:val="14"/>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080"/>
        </w:tabs>
        <w:ind w:left="0" w:firstLine="720"/>
      </w:pPr>
      <w:rPr>
        <w:rFonts w:hint="default"/>
        <w:b w:val="0"/>
        <w:i w:val="0"/>
        <w:strike w:val="0"/>
        <w:sz w:val="22"/>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iCs w:val="0"/>
        <w:strike w:val="0"/>
      </w:rPr>
    </w:lvl>
    <w:lvl w:ilvl="7">
      <w:start w:val="1"/>
      <w:numFmt w:val="lowerLetter"/>
      <w:lvlText w:val="(%8)"/>
      <w:lvlJc w:val="left"/>
      <w:pPr>
        <w:tabs>
          <w:tab w:val="num" w:pos="2880"/>
        </w:tabs>
        <w:ind w:left="2880" w:hanging="360"/>
      </w:pPr>
      <w:rPr>
        <w:rFonts w:hint="default"/>
        <w:strike w:val="0"/>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7D7337"/>
    <w:multiLevelType w:val="hybridMultilevel"/>
    <w:tmpl w:val="AC0CCA2A"/>
    <w:lvl w:ilvl="0" w:tplc="D02A799E">
      <w:start w:val="1"/>
      <w:numFmt w:val="decimal"/>
      <w:lvlText w:val="%1."/>
      <w:lvlJc w:val="left"/>
      <w:pPr>
        <w:ind w:left="720" w:hanging="360"/>
      </w:pPr>
      <w:rPr>
        <w:rFonts w:hint="default"/>
      </w:rPr>
    </w:lvl>
    <w:lvl w:ilvl="1" w:tplc="07C0B2F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1435037">
    <w:abstractNumId w:val="5"/>
  </w:num>
  <w:num w:numId="2" w16cid:durableId="1656907212">
    <w:abstractNumId w:val="8"/>
  </w:num>
  <w:num w:numId="3" w16cid:durableId="794297092">
    <w:abstractNumId w:val="6"/>
  </w:num>
  <w:num w:numId="4" w16cid:durableId="1732650602">
    <w:abstractNumId w:val="8"/>
  </w:num>
  <w:num w:numId="5" w16cid:durableId="953025698">
    <w:abstractNumId w:val="7"/>
  </w:num>
  <w:num w:numId="6" w16cid:durableId="1531256659">
    <w:abstractNumId w:val="1"/>
  </w:num>
  <w:num w:numId="7" w16cid:durableId="580067013">
    <w:abstractNumId w:val="3"/>
  </w:num>
  <w:num w:numId="8" w16cid:durableId="991643831">
    <w:abstractNumId w:val="6"/>
    <w:lvlOverride w:ilvl="0">
      <w:startOverride w:val="1"/>
    </w:lvlOverride>
  </w:num>
  <w:num w:numId="9" w16cid:durableId="1333491940">
    <w:abstractNumId w:val="11"/>
  </w:num>
  <w:num w:numId="10" w16cid:durableId="1504054603">
    <w:abstractNumId w:val="6"/>
    <w:lvlOverride w:ilvl="0">
      <w:startOverride w:val="1"/>
    </w:lvlOverride>
  </w:num>
  <w:num w:numId="11" w16cid:durableId="1705642221">
    <w:abstractNumId w:val="6"/>
    <w:lvlOverride w:ilvl="0">
      <w:startOverride w:val="1"/>
    </w:lvlOverride>
  </w:num>
  <w:num w:numId="12" w16cid:durableId="1224416103">
    <w:abstractNumId w:val="6"/>
    <w:lvlOverride w:ilvl="0">
      <w:startOverride w:val="1"/>
    </w:lvlOverride>
  </w:num>
  <w:num w:numId="13" w16cid:durableId="961688244">
    <w:abstractNumId w:val="6"/>
    <w:lvlOverride w:ilvl="0">
      <w:startOverride w:val="1"/>
    </w:lvlOverride>
  </w:num>
  <w:num w:numId="14" w16cid:durableId="232592248">
    <w:abstractNumId w:val="10"/>
  </w:num>
  <w:num w:numId="15" w16cid:durableId="1626815008">
    <w:abstractNumId w:val="9"/>
  </w:num>
  <w:num w:numId="16" w16cid:durableId="109400507">
    <w:abstractNumId w:val="2"/>
  </w:num>
  <w:num w:numId="17" w16cid:durableId="1318266760">
    <w:abstractNumId w:val="13"/>
  </w:num>
  <w:num w:numId="18" w16cid:durableId="215746053">
    <w:abstractNumId w:val="15"/>
  </w:num>
  <w:num w:numId="19" w16cid:durableId="1354651372">
    <w:abstractNumId w:val="14"/>
  </w:num>
  <w:num w:numId="20" w16cid:durableId="1955671895">
    <w:abstractNumId w:val="4"/>
  </w:num>
  <w:num w:numId="21" w16cid:durableId="1538280381">
    <w:abstractNumId w:val="12"/>
  </w:num>
  <w:num w:numId="22" w16cid:durableId="1894538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2D"/>
    <w:rsid w:val="0003350E"/>
    <w:rsid w:val="0007171B"/>
    <w:rsid w:val="000A50F5"/>
    <w:rsid w:val="000B39F6"/>
    <w:rsid w:val="000C4928"/>
    <w:rsid w:val="000D0F0A"/>
    <w:rsid w:val="000E0CCF"/>
    <w:rsid w:val="000E15DD"/>
    <w:rsid w:val="000E579F"/>
    <w:rsid w:val="000E673A"/>
    <w:rsid w:val="000E6F38"/>
    <w:rsid w:val="000F74F5"/>
    <w:rsid w:val="00105372"/>
    <w:rsid w:val="00105AF5"/>
    <w:rsid w:val="001210E3"/>
    <w:rsid w:val="00121D96"/>
    <w:rsid w:val="001312AD"/>
    <w:rsid w:val="00131E7A"/>
    <w:rsid w:val="00134846"/>
    <w:rsid w:val="0013619F"/>
    <w:rsid w:val="00141AC7"/>
    <w:rsid w:val="00147354"/>
    <w:rsid w:val="00152854"/>
    <w:rsid w:val="00161C62"/>
    <w:rsid w:val="00162250"/>
    <w:rsid w:val="001657ED"/>
    <w:rsid w:val="00172AF6"/>
    <w:rsid w:val="00176CEE"/>
    <w:rsid w:val="0018035A"/>
    <w:rsid w:val="00183531"/>
    <w:rsid w:val="00186DD8"/>
    <w:rsid w:val="001B13FE"/>
    <w:rsid w:val="001C2B80"/>
    <w:rsid w:val="001C6CFA"/>
    <w:rsid w:val="001F3612"/>
    <w:rsid w:val="00212041"/>
    <w:rsid w:val="00215539"/>
    <w:rsid w:val="00217EE4"/>
    <w:rsid w:val="002458F4"/>
    <w:rsid w:val="00257190"/>
    <w:rsid w:val="00281BC7"/>
    <w:rsid w:val="00290D0B"/>
    <w:rsid w:val="002A6AE2"/>
    <w:rsid w:val="002D3E86"/>
    <w:rsid w:val="002E223E"/>
    <w:rsid w:val="0030169D"/>
    <w:rsid w:val="00302AAD"/>
    <w:rsid w:val="00303D01"/>
    <w:rsid w:val="003060EB"/>
    <w:rsid w:val="003153EB"/>
    <w:rsid w:val="003160EC"/>
    <w:rsid w:val="00321985"/>
    <w:rsid w:val="00330800"/>
    <w:rsid w:val="003423BE"/>
    <w:rsid w:val="00351205"/>
    <w:rsid w:val="00353F37"/>
    <w:rsid w:val="003571EC"/>
    <w:rsid w:val="00357EF1"/>
    <w:rsid w:val="00372F74"/>
    <w:rsid w:val="003A2AFC"/>
    <w:rsid w:val="003A5FFB"/>
    <w:rsid w:val="003D69AB"/>
    <w:rsid w:val="003E5B0D"/>
    <w:rsid w:val="003F1354"/>
    <w:rsid w:val="003F7107"/>
    <w:rsid w:val="003F7224"/>
    <w:rsid w:val="00410AA4"/>
    <w:rsid w:val="00415066"/>
    <w:rsid w:val="0042763C"/>
    <w:rsid w:val="00427D21"/>
    <w:rsid w:val="00430E63"/>
    <w:rsid w:val="00442EED"/>
    <w:rsid w:val="00443E56"/>
    <w:rsid w:val="00463DEC"/>
    <w:rsid w:val="004644C2"/>
    <w:rsid w:val="00467F9C"/>
    <w:rsid w:val="00471D48"/>
    <w:rsid w:val="00480E12"/>
    <w:rsid w:val="004D7D62"/>
    <w:rsid w:val="005056F9"/>
    <w:rsid w:val="00511F66"/>
    <w:rsid w:val="005208AC"/>
    <w:rsid w:val="00534681"/>
    <w:rsid w:val="005370B7"/>
    <w:rsid w:val="0054172D"/>
    <w:rsid w:val="00550860"/>
    <w:rsid w:val="00563442"/>
    <w:rsid w:val="00565B42"/>
    <w:rsid w:val="00577B8F"/>
    <w:rsid w:val="00580A39"/>
    <w:rsid w:val="005C4CE6"/>
    <w:rsid w:val="005D4965"/>
    <w:rsid w:val="006078D7"/>
    <w:rsid w:val="006122BA"/>
    <w:rsid w:val="00621FB8"/>
    <w:rsid w:val="00630F64"/>
    <w:rsid w:val="00635D99"/>
    <w:rsid w:val="0064733C"/>
    <w:rsid w:val="00664348"/>
    <w:rsid w:val="006670B4"/>
    <w:rsid w:val="00670691"/>
    <w:rsid w:val="00673967"/>
    <w:rsid w:val="00677DFF"/>
    <w:rsid w:val="00691E64"/>
    <w:rsid w:val="00697E73"/>
    <w:rsid w:val="006A66FF"/>
    <w:rsid w:val="006B2290"/>
    <w:rsid w:val="006F602C"/>
    <w:rsid w:val="00710CA9"/>
    <w:rsid w:val="00717D88"/>
    <w:rsid w:val="0075404A"/>
    <w:rsid w:val="00775D4B"/>
    <w:rsid w:val="00781F19"/>
    <w:rsid w:val="00786056"/>
    <w:rsid w:val="00791623"/>
    <w:rsid w:val="007942D3"/>
    <w:rsid w:val="00795075"/>
    <w:rsid w:val="007B2099"/>
    <w:rsid w:val="007B6C09"/>
    <w:rsid w:val="007B7741"/>
    <w:rsid w:val="007E09DA"/>
    <w:rsid w:val="00800AFD"/>
    <w:rsid w:val="00803A96"/>
    <w:rsid w:val="008178B6"/>
    <w:rsid w:val="0082191A"/>
    <w:rsid w:val="00822CE1"/>
    <w:rsid w:val="00825FA5"/>
    <w:rsid w:val="008346F9"/>
    <w:rsid w:val="00836BE5"/>
    <w:rsid w:val="00842CF0"/>
    <w:rsid w:val="0084555B"/>
    <w:rsid w:val="00865B74"/>
    <w:rsid w:val="00867CAE"/>
    <w:rsid w:val="00882FA5"/>
    <w:rsid w:val="00886630"/>
    <w:rsid w:val="008974F0"/>
    <w:rsid w:val="008A05E1"/>
    <w:rsid w:val="008B012A"/>
    <w:rsid w:val="008C3199"/>
    <w:rsid w:val="008D6A2E"/>
    <w:rsid w:val="008F19ED"/>
    <w:rsid w:val="00900477"/>
    <w:rsid w:val="00905B5B"/>
    <w:rsid w:val="00906E17"/>
    <w:rsid w:val="00930BA1"/>
    <w:rsid w:val="0093169E"/>
    <w:rsid w:val="009327B5"/>
    <w:rsid w:val="009505C9"/>
    <w:rsid w:val="00950752"/>
    <w:rsid w:val="009609CA"/>
    <w:rsid w:val="00962351"/>
    <w:rsid w:val="00963AF9"/>
    <w:rsid w:val="0096456F"/>
    <w:rsid w:val="00966424"/>
    <w:rsid w:val="0096679D"/>
    <w:rsid w:val="00966E96"/>
    <w:rsid w:val="00992636"/>
    <w:rsid w:val="009A7A30"/>
    <w:rsid w:val="009B3095"/>
    <w:rsid w:val="009C2805"/>
    <w:rsid w:val="009C2DE6"/>
    <w:rsid w:val="009C2ED7"/>
    <w:rsid w:val="009D22B6"/>
    <w:rsid w:val="009F0FBA"/>
    <w:rsid w:val="009F4C3C"/>
    <w:rsid w:val="00A027AC"/>
    <w:rsid w:val="00A12755"/>
    <w:rsid w:val="00A21375"/>
    <w:rsid w:val="00A24A3F"/>
    <w:rsid w:val="00A373EB"/>
    <w:rsid w:val="00A5008F"/>
    <w:rsid w:val="00A5543C"/>
    <w:rsid w:val="00A63485"/>
    <w:rsid w:val="00A64997"/>
    <w:rsid w:val="00A92578"/>
    <w:rsid w:val="00AA54E5"/>
    <w:rsid w:val="00AA5CA2"/>
    <w:rsid w:val="00AA6F39"/>
    <w:rsid w:val="00AA6F92"/>
    <w:rsid w:val="00AB023C"/>
    <w:rsid w:val="00AB1FAA"/>
    <w:rsid w:val="00AB6934"/>
    <w:rsid w:val="00AF42DE"/>
    <w:rsid w:val="00B03F69"/>
    <w:rsid w:val="00B3369F"/>
    <w:rsid w:val="00B343ED"/>
    <w:rsid w:val="00B34E14"/>
    <w:rsid w:val="00B350E1"/>
    <w:rsid w:val="00B43132"/>
    <w:rsid w:val="00B87427"/>
    <w:rsid w:val="00B94E6C"/>
    <w:rsid w:val="00BB4606"/>
    <w:rsid w:val="00BB4EE9"/>
    <w:rsid w:val="00BC123F"/>
    <w:rsid w:val="00BC3C3C"/>
    <w:rsid w:val="00BD58AA"/>
    <w:rsid w:val="00BF1FFA"/>
    <w:rsid w:val="00C04517"/>
    <w:rsid w:val="00C23D2F"/>
    <w:rsid w:val="00C240E2"/>
    <w:rsid w:val="00C443BD"/>
    <w:rsid w:val="00C451C5"/>
    <w:rsid w:val="00C56F09"/>
    <w:rsid w:val="00C61BBE"/>
    <w:rsid w:val="00C80B31"/>
    <w:rsid w:val="00C871AE"/>
    <w:rsid w:val="00C9161D"/>
    <w:rsid w:val="00C9532F"/>
    <w:rsid w:val="00CA0C1D"/>
    <w:rsid w:val="00CC45B5"/>
    <w:rsid w:val="00CD388A"/>
    <w:rsid w:val="00CD5C73"/>
    <w:rsid w:val="00CF1848"/>
    <w:rsid w:val="00D050D2"/>
    <w:rsid w:val="00D12044"/>
    <w:rsid w:val="00D33EFC"/>
    <w:rsid w:val="00D34A4B"/>
    <w:rsid w:val="00D40DBC"/>
    <w:rsid w:val="00D42703"/>
    <w:rsid w:val="00D60D5B"/>
    <w:rsid w:val="00D72909"/>
    <w:rsid w:val="00D76A18"/>
    <w:rsid w:val="00D80849"/>
    <w:rsid w:val="00D80EF8"/>
    <w:rsid w:val="00D82E8F"/>
    <w:rsid w:val="00D935FC"/>
    <w:rsid w:val="00DB0A74"/>
    <w:rsid w:val="00DC62DF"/>
    <w:rsid w:val="00DD118C"/>
    <w:rsid w:val="00DF1739"/>
    <w:rsid w:val="00E01720"/>
    <w:rsid w:val="00E249FA"/>
    <w:rsid w:val="00E44919"/>
    <w:rsid w:val="00E4541C"/>
    <w:rsid w:val="00E62151"/>
    <w:rsid w:val="00E64A3D"/>
    <w:rsid w:val="00E65182"/>
    <w:rsid w:val="00E66235"/>
    <w:rsid w:val="00E83C24"/>
    <w:rsid w:val="00E927FD"/>
    <w:rsid w:val="00E9318D"/>
    <w:rsid w:val="00E93ED6"/>
    <w:rsid w:val="00ED208D"/>
    <w:rsid w:val="00ED3228"/>
    <w:rsid w:val="00EE2CFA"/>
    <w:rsid w:val="00EF5DAC"/>
    <w:rsid w:val="00F40889"/>
    <w:rsid w:val="00F40AF4"/>
    <w:rsid w:val="00F53193"/>
    <w:rsid w:val="00F5357E"/>
    <w:rsid w:val="00F5590B"/>
    <w:rsid w:val="00F6586C"/>
    <w:rsid w:val="00F74131"/>
    <w:rsid w:val="00F8360C"/>
    <w:rsid w:val="00F84886"/>
    <w:rsid w:val="00F90796"/>
    <w:rsid w:val="00F94774"/>
    <w:rsid w:val="00F97776"/>
    <w:rsid w:val="00F9795B"/>
    <w:rsid w:val="00FA370A"/>
    <w:rsid w:val="00FA663B"/>
    <w:rsid w:val="00FB0D5E"/>
    <w:rsid w:val="00FB59BB"/>
    <w:rsid w:val="00FC53DB"/>
    <w:rsid w:val="00FC7032"/>
    <w:rsid w:val="00FD7589"/>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298739"/>
  <w15:docId w15:val="{B5C21F5C-35DB-41C5-8559-79AA817A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rsid w:val="00105372"/>
    <w:rPr>
      <w:color w:val="808080"/>
    </w:rPr>
  </w:style>
  <w:style w:type="paragraph" w:styleId="En-tte">
    <w:name w:val="header"/>
    <w:basedOn w:val="Normal"/>
    <w:link w:val="En-tteCar"/>
    <w:uiPriority w:val="99"/>
    <w:rsid w:val="007E09DA"/>
    <w:pPr>
      <w:tabs>
        <w:tab w:val="center" w:pos="4320"/>
        <w:tab w:val="right" w:pos="8640"/>
      </w:tabs>
    </w:pPr>
  </w:style>
  <w:style w:type="character" w:customStyle="1" w:styleId="En-tteCar">
    <w:name w:val="En-tête Car"/>
    <w:basedOn w:val="Policepardfaut"/>
    <w:link w:val="En-tte"/>
    <w:uiPriority w:val="99"/>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table bullets"/>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rsid w:val="006A66FF"/>
    <w:pPr>
      <w:spacing w:before="120" w:after="160" w:line="240" w:lineRule="exact"/>
    </w:pPr>
    <w:rPr>
      <w:rFonts w:asciiTheme="minorHAnsi" w:eastAsiaTheme="minorEastAsia" w:hAnsiTheme="minorHAnsi" w:cstheme="minorBidi"/>
      <w:vertAlign w:val="superscript"/>
      <w:lang w:val="fr-CA"/>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basedOn w:val="Policepardfaut"/>
    <w:link w:val="Paragraphedeliste"/>
    <w:uiPriority w:val="34"/>
    <w:qFormat/>
    <w:locked/>
    <w:rsid w:val="006A66FF"/>
    <w:rPr>
      <w:rFonts w:ascii="Times New Roman" w:eastAsia="Times New Roman" w:hAnsi="Times New Roman" w:cs="Times New Roman"/>
      <w:sz w:val="22"/>
      <w:lang w:val="en-GB"/>
    </w:rPr>
  </w:style>
  <w:style w:type="character" w:styleId="Mentionnonrsolue">
    <w:name w:val="Unresolved Mention"/>
    <w:basedOn w:val="Policepardfaut"/>
    <w:uiPriority w:val="99"/>
    <w:semiHidden/>
    <w:unhideWhenUsed/>
    <w:rsid w:val="003A2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275095">
      <w:bodyDiv w:val="1"/>
      <w:marLeft w:val="0"/>
      <w:marRight w:val="0"/>
      <w:marTop w:val="0"/>
      <w:marBottom w:val="0"/>
      <w:divBdr>
        <w:top w:val="none" w:sz="0" w:space="0" w:color="auto"/>
        <w:left w:val="none" w:sz="0" w:space="0" w:color="auto"/>
        <w:bottom w:val="none" w:sz="0" w:space="0" w:color="auto"/>
        <w:right w:val="none" w:sz="0" w:space="0" w:color="auto"/>
      </w:divBdr>
    </w:div>
    <w:div w:id="1495145235">
      <w:bodyDiv w:val="1"/>
      <w:marLeft w:val="0"/>
      <w:marRight w:val="0"/>
      <w:marTop w:val="0"/>
      <w:marBottom w:val="0"/>
      <w:divBdr>
        <w:top w:val="none" w:sz="0" w:space="0" w:color="auto"/>
        <w:left w:val="none" w:sz="0" w:space="0" w:color="auto"/>
        <w:bottom w:val="none" w:sz="0" w:space="0" w:color="auto"/>
        <w:right w:val="none" w:sz="0" w:space="0" w:color="auto"/>
      </w:divBdr>
    </w:div>
    <w:div w:id="1511722021">
      <w:bodyDiv w:val="1"/>
      <w:marLeft w:val="0"/>
      <w:marRight w:val="0"/>
      <w:marTop w:val="0"/>
      <w:marBottom w:val="0"/>
      <w:divBdr>
        <w:top w:val="none" w:sz="0" w:space="0" w:color="auto"/>
        <w:left w:val="none" w:sz="0" w:space="0" w:color="auto"/>
        <w:bottom w:val="none" w:sz="0" w:space="0" w:color="auto"/>
        <w:right w:val="none" w:sz="0" w:space="0" w:color="auto"/>
      </w:divBdr>
    </w:div>
    <w:div w:id="1596665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666c/d2a6/fb8da84da1a477e5a6879ccb/cp-mop-10-inf-01-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0485547563415784F9B28103CD7463"/>
        <w:category>
          <w:name w:val="General"/>
          <w:gallery w:val="placeholder"/>
        </w:category>
        <w:types>
          <w:type w:val="bbPlcHdr"/>
        </w:types>
        <w:behaviors>
          <w:behavior w:val="content"/>
        </w:behaviors>
        <w:guid w:val="{B19BDC96-2763-40DC-B8E8-8C15DFC49701}"/>
      </w:docPartPr>
      <w:docPartBody>
        <w:p w:rsidR="00800648" w:rsidRDefault="00AB72FA">
          <w:pPr>
            <w:pStyle w:val="7E0485547563415784F9B28103CD7463"/>
          </w:pPr>
          <w:r w:rsidRPr="007E02EB">
            <w:rPr>
              <w:rStyle w:val="Textedelespacerserv"/>
            </w:rPr>
            <w:t>[Title]</w:t>
          </w:r>
        </w:p>
      </w:docPartBody>
    </w:docPart>
    <w:docPart>
      <w:docPartPr>
        <w:name w:val="E0A2A743B81A4B3C85C4D4F24EDEFC7E"/>
        <w:category>
          <w:name w:val="General"/>
          <w:gallery w:val="placeholder"/>
        </w:category>
        <w:types>
          <w:type w:val="bbPlcHdr"/>
        </w:types>
        <w:behaviors>
          <w:behavior w:val="content"/>
        </w:behaviors>
        <w:guid w:val="{E3C6D588-CF6A-4A11-8366-E2059A76B58E}"/>
      </w:docPartPr>
      <w:docPartBody>
        <w:p w:rsidR="009A09AB" w:rsidRDefault="007C7D84" w:rsidP="007C7D84">
          <w:pPr>
            <w:pStyle w:val="E0A2A743B81A4B3C85C4D4F24EDEFC7E"/>
          </w:pPr>
          <w:r>
            <w:rPr>
              <w:rStyle w:val="Textedelespacerserv"/>
            </w:rPr>
            <w:t>[Subject]</w:t>
          </w:r>
        </w:p>
      </w:docPartBody>
    </w:docPart>
    <w:docPart>
      <w:docPartPr>
        <w:name w:val="82697F0D6E1642D7857F496C4D35E955"/>
        <w:category>
          <w:name w:val="Общие"/>
          <w:gallery w:val="placeholder"/>
        </w:category>
        <w:types>
          <w:type w:val="bbPlcHdr"/>
        </w:types>
        <w:behaviors>
          <w:behavior w:val="content"/>
        </w:behaviors>
        <w:guid w:val="{080BAE16-FA3D-41DF-BA38-C4AB59EF9CA1}"/>
      </w:docPartPr>
      <w:docPartBody>
        <w:p w:rsidR="00317801" w:rsidRDefault="00B65AA1" w:rsidP="00B65AA1">
          <w:pPr>
            <w:pStyle w:val="82697F0D6E1642D7857F496C4D35E955"/>
          </w:pPr>
          <w:r w:rsidRPr="00C725B6">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FA"/>
    <w:rsid w:val="00032833"/>
    <w:rsid w:val="00081345"/>
    <w:rsid w:val="00131D0D"/>
    <w:rsid w:val="00317801"/>
    <w:rsid w:val="004C6765"/>
    <w:rsid w:val="00501A4E"/>
    <w:rsid w:val="00630454"/>
    <w:rsid w:val="00640F68"/>
    <w:rsid w:val="007016B3"/>
    <w:rsid w:val="00711A6D"/>
    <w:rsid w:val="007C1885"/>
    <w:rsid w:val="007C7D84"/>
    <w:rsid w:val="00800648"/>
    <w:rsid w:val="0082251D"/>
    <w:rsid w:val="00841943"/>
    <w:rsid w:val="00854BF9"/>
    <w:rsid w:val="009A09AB"/>
    <w:rsid w:val="009E4AA0"/>
    <w:rsid w:val="00AB72FA"/>
    <w:rsid w:val="00B65AA1"/>
    <w:rsid w:val="00CE34D1"/>
    <w:rsid w:val="00D36602"/>
    <w:rsid w:val="00D42C79"/>
    <w:rsid w:val="00DD102D"/>
    <w:rsid w:val="00EB10FD"/>
    <w:rsid w:val="00FC7B2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B65AA1"/>
    <w:rPr>
      <w:color w:val="808080"/>
    </w:rPr>
  </w:style>
  <w:style w:type="paragraph" w:customStyle="1" w:styleId="7E0485547563415784F9B28103CD7463">
    <w:name w:val="7E0485547563415784F9B28103CD7463"/>
  </w:style>
  <w:style w:type="paragraph" w:customStyle="1" w:styleId="E0A2A743B81A4B3C85C4D4F24EDEFC7E">
    <w:name w:val="E0A2A743B81A4B3C85C4D4F24EDEFC7E"/>
    <w:rsid w:val="007C7D84"/>
    <w:rPr>
      <w:lang w:val="en-US" w:eastAsia="zh-CN"/>
    </w:rPr>
  </w:style>
  <w:style w:type="paragraph" w:customStyle="1" w:styleId="82697F0D6E1642D7857F496C4D35E955">
    <w:name w:val="82697F0D6E1642D7857F496C4D35E955"/>
    <w:rsid w:val="00B65AA1"/>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AE7B947B-81F0-49C5-BEBD-2A1EE00F1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2020-template-cbd2</Template>
  <TotalTime>66</TotalTime>
  <Pages>2</Pages>
  <Words>734</Words>
  <Characters>4039</Characters>
  <Application>Microsoft Office Word</Application>
  <DocSecurity>0</DocSecurity>
  <Lines>33</Lines>
  <Paragraphs>9</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10/13.	Нагойско – Куала-лумпурский дополнительный протокол об ответственности и возмещении</vt:lpstr>
      <vt:lpstr>Нагойско – Куала-лумпурский дополнительный протокол об ответственности и возмещении за ущерб</vt:lpstr>
      <vt:lpstr>Title</vt:lpstr>
    </vt:vector>
  </TitlesOfParts>
  <Company>SCBD</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CP-10/13.	Нагойско – Куала-лумпурский дополнительный протокол об ответственности и возмещении</dc:title>
  <dc:subject>CBD/CP/MOP/DEC/10/13</dc:subject>
  <dc:creator>Veronique Lefebvre</dc:creator>
  <cp:keywords>Conference of the Parties to the Convention on Biological Diversity serving as the meeting of the Parties to the Cartagena Protocol on Biosafety, tenth meeting</cp:keywords>
  <cp:lastModifiedBy>L A</cp:lastModifiedBy>
  <cp:revision>26</cp:revision>
  <cp:lastPrinted>2020-01-21T16:56:00Z</cp:lastPrinted>
  <dcterms:created xsi:type="dcterms:W3CDTF">2023-02-17T12:28:00Z</dcterms:created>
  <dcterms:modified xsi:type="dcterms:W3CDTF">2023-02-18T09:56:00Z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