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5141"/>
        <w:gridCol w:w="4089"/>
      </w:tblGrid>
      <w:tr w:rsidR="00C9161D" w:rsidRPr="000A44B2" w:rsidTr="000B550F">
        <w:trPr>
          <w:trHeight w:val="851"/>
        </w:trPr>
        <w:tc>
          <w:tcPr>
            <w:tcW w:w="977" w:type="dxa"/>
            <w:tcBorders>
              <w:bottom w:val="single" w:sz="12" w:space="0" w:color="auto"/>
            </w:tcBorders>
          </w:tcPr>
          <w:p w:rsidR="00C9161D" w:rsidRPr="000A44B2" w:rsidRDefault="00C9161D" w:rsidP="00321985">
            <w:pPr>
              <w:rPr>
                <w:lang w:val="es-UY"/>
              </w:rPr>
            </w:pPr>
            <w:r w:rsidRPr="000A44B2">
              <w:rPr>
                <w:lang w:val="es-UY"/>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rsidR="00FA663B" w:rsidRPr="000A44B2" w:rsidRDefault="000B550F" w:rsidP="00321985">
            <w:pPr>
              <w:rPr>
                <w:lang w:val="es-UY"/>
              </w:rPr>
            </w:pPr>
            <w:r w:rsidRPr="000A44B2">
              <w:rPr>
                <w:lang w:val="es-UY"/>
              </w:rPr>
              <w:drawing>
                <wp:anchor distT="0" distB="0" distL="114300" distR="114300" simplePos="0" relativeHeight="251659264" behindDoc="1" locked="0" layoutInCell="1" allowOverlap="1">
                  <wp:simplePos x="0" y="0"/>
                  <wp:positionH relativeFrom="column">
                    <wp:posOffset>-53975</wp:posOffset>
                  </wp:positionH>
                  <wp:positionV relativeFrom="paragraph">
                    <wp:posOffset>15875</wp:posOffset>
                  </wp:positionV>
                  <wp:extent cx="671830" cy="396240"/>
                  <wp:effectExtent l="19050" t="0" r="0" b="0"/>
                  <wp:wrapTight wrapText="bothSides">
                    <wp:wrapPolygon edited="0">
                      <wp:start x="-611" y="0"/>
                      <wp:lineTo x="-611" y="20903"/>
                      <wp:lineTo x="21396" y="20903"/>
                      <wp:lineTo x="21396" y="18813"/>
                      <wp:lineTo x="18340" y="16723"/>
                      <wp:lineTo x="20785" y="16723"/>
                      <wp:lineTo x="21396" y="14632"/>
                      <wp:lineTo x="21396" y="0"/>
                      <wp:lineTo x="-611" y="0"/>
                    </wp:wrapPolygon>
                  </wp:wrapTight>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srcRect/>
                          <a:stretch>
                            <a:fillRect/>
                          </a:stretch>
                        </pic:blipFill>
                        <pic:spPr bwMode="auto">
                          <a:xfrm>
                            <a:off x="0" y="0"/>
                            <a:ext cx="673100" cy="393700"/>
                          </a:xfrm>
                          <a:prstGeom prst="rect">
                            <a:avLst/>
                          </a:prstGeom>
                          <a:noFill/>
                        </pic:spPr>
                      </pic:pic>
                    </a:graphicData>
                  </a:graphic>
                </wp:anchor>
              </w:drawing>
            </w:r>
          </w:p>
        </w:tc>
        <w:tc>
          <w:tcPr>
            <w:tcW w:w="4089" w:type="dxa"/>
            <w:tcBorders>
              <w:bottom w:val="single" w:sz="12" w:space="0" w:color="auto"/>
            </w:tcBorders>
          </w:tcPr>
          <w:p w:rsidR="00C9161D" w:rsidRPr="000A44B2" w:rsidRDefault="00C9161D" w:rsidP="00C9161D">
            <w:pPr>
              <w:jc w:val="right"/>
              <w:rPr>
                <w:rFonts w:ascii="Arial" w:hAnsi="Arial" w:cs="Arial"/>
                <w:b/>
                <w:sz w:val="32"/>
                <w:szCs w:val="32"/>
                <w:lang w:val="es-UY"/>
              </w:rPr>
            </w:pPr>
            <w:proofErr w:type="spellStart"/>
            <w:r w:rsidRPr="000A44B2">
              <w:rPr>
                <w:rFonts w:ascii="Arial" w:hAnsi="Arial" w:cs="Arial"/>
                <w:b/>
                <w:sz w:val="32"/>
                <w:szCs w:val="32"/>
                <w:lang w:val="es-UY"/>
              </w:rPr>
              <w:t>CBD</w:t>
            </w:r>
            <w:proofErr w:type="spellEnd"/>
          </w:p>
        </w:tc>
      </w:tr>
      <w:tr w:rsidR="00C9161D" w:rsidRPr="000A44B2" w:rsidTr="000B550F">
        <w:tc>
          <w:tcPr>
            <w:tcW w:w="6118" w:type="dxa"/>
            <w:gridSpan w:val="2"/>
            <w:tcBorders>
              <w:top w:val="single" w:sz="12" w:space="0" w:color="auto"/>
              <w:bottom w:val="single" w:sz="36" w:space="0" w:color="auto"/>
            </w:tcBorders>
            <w:vAlign w:val="center"/>
          </w:tcPr>
          <w:p w:rsidR="00C9161D" w:rsidRPr="000A44B2" w:rsidRDefault="000B550F" w:rsidP="00C9161D">
            <w:pPr>
              <w:rPr>
                <w:lang w:val="es-UY"/>
              </w:rPr>
            </w:pPr>
            <w:r w:rsidRPr="000A44B2">
              <w:rPr>
                <w:lang w:val="es-UY"/>
              </w:rPr>
              <w:drawing>
                <wp:inline distT="0" distB="0" distL="0" distR="0">
                  <wp:extent cx="2908300" cy="1047750"/>
                  <wp:effectExtent l="19050" t="0" r="635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srcRect/>
                          <a:stretch>
                            <a:fillRect/>
                          </a:stretch>
                        </pic:blipFill>
                        <pic:spPr bwMode="auto">
                          <a:xfrm>
                            <a:off x="0" y="0"/>
                            <a:ext cx="2908300" cy="1047750"/>
                          </a:xfrm>
                          <a:prstGeom prst="rect">
                            <a:avLst/>
                          </a:prstGeom>
                          <a:noFill/>
                          <a:ln w="9525">
                            <a:noFill/>
                            <a:miter lim="800000"/>
                            <a:headEnd/>
                            <a:tailEnd/>
                          </a:ln>
                        </pic:spPr>
                      </pic:pic>
                    </a:graphicData>
                  </a:graphic>
                </wp:inline>
              </w:drawing>
            </w:r>
          </w:p>
        </w:tc>
        <w:tc>
          <w:tcPr>
            <w:tcW w:w="4089" w:type="dxa"/>
            <w:tcBorders>
              <w:top w:val="single" w:sz="12" w:space="0" w:color="auto"/>
              <w:bottom w:val="single" w:sz="36" w:space="0" w:color="auto"/>
            </w:tcBorders>
          </w:tcPr>
          <w:p w:rsidR="00C9161D" w:rsidRPr="000A44B2" w:rsidRDefault="00C9161D" w:rsidP="00176CEE">
            <w:pPr>
              <w:ind w:left="1215"/>
              <w:rPr>
                <w:szCs w:val="22"/>
                <w:lang w:val="es-UY"/>
              </w:rPr>
            </w:pPr>
            <w:proofErr w:type="spellStart"/>
            <w:r w:rsidRPr="000A44B2">
              <w:rPr>
                <w:szCs w:val="22"/>
                <w:lang w:val="es-UY"/>
              </w:rPr>
              <w:t>Distr</w:t>
            </w:r>
            <w:proofErr w:type="spellEnd"/>
            <w:r w:rsidRPr="000A44B2">
              <w:rPr>
                <w:szCs w:val="22"/>
                <w:lang w:val="es-UY"/>
              </w:rPr>
              <w:t>.</w:t>
            </w:r>
          </w:p>
          <w:p w:rsidR="00C9161D" w:rsidRPr="000A44B2" w:rsidRDefault="00615041" w:rsidP="00176CEE">
            <w:pPr>
              <w:ind w:left="1215"/>
              <w:rPr>
                <w:szCs w:val="22"/>
                <w:lang w:val="es-UY"/>
              </w:rPr>
            </w:pPr>
            <w:r w:rsidRPr="000A44B2">
              <w:rPr>
                <w:caps/>
                <w:szCs w:val="22"/>
                <w:lang w:val="es-UY"/>
              </w:rPr>
              <w:t>GENERAL</w:t>
            </w:r>
          </w:p>
          <w:p w:rsidR="00C9161D" w:rsidRPr="000A44B2" w:rsidRDefault="00C9161D" w:rsidP="00176CEE">
            <w:pPr>
              <w:ind w:left="1215"/>
              <w:rPr>
                <w:szCs w:val="22"/>
                <w:lang w:val="es-UY"/>
              </w:rPr>
            </w:pPr>
          </w:p>
          <w:p w:rsidR="00C9161D" w:rsidRPr="000A44B2" w:rsidRDefault="00402AA6" w:rsidP="00176CEE">
            <w:pPr>
              <w:ind w:left="1215"/>
              <w:rPr>
                <w:szCs w:val="22"/>
                <w:lang w:val="es-UY"/>
              </w:rPr>
            </w:pPr>
            <w:sdt>
              <w:sdtPr>
                <w:rPr>
                  <w:lang w:val="es-UY"/>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proofErr w:type="spellStart"/>
                <w:r w:rsidR="0030169D" w:rsidRPr="000A44B2">
                  <w:rPr>
                    <w:lang w:val="es-UY"/>
                  </w:rPr>
                  <w:t>CBD</w:t>
                </w:r>
                <w:proofErr w:type="spellEnd"/>
                <w:r w:rsidR="0030169D" w:rsidRPr="000A44B2">
                  <w:rPr>
                    <w:lang w:val="es-UY"/>
                  </w:rPr>
                  <w:t>/</w:t>
                </w:r>
                <w:proofErr w:type="spellStart"/>
                <w:r w:rsidR="00937130" w:rsidRPr="000A44B2">
                  <w:rPr>
                    <w:lang w:val="es-UY"/>
                  </w:rPr>
                  <w:t>C</w:t>
                </w:r>
                <w:r w:rsidR="005E0ED3" w:rsidRPr="000A44B2">
                  <w:rPr>
                    <w:lang w:val="es-UY"/>
                  </w:rPr>
                  <w:t>P</w:t>
                </w:r>
                <w:proofErr w:type="spellEnd"/>
                <w:r w:rsidR="005E0ED3" w:rsidRPr="000A44B2">
                  <w:rPr>
                    <w:lang w:val="es-UY"/>
                  </w:rPr>
                  <w:t>/</w:t>
                </w:r>
                <w:proofErr w:type="spellStart"/>
                <w:r w:rsidR="005E0ED3" w:rsidRPr="000A44B2">
                  <w:rPr>
                    <w:lang w:val="es-UY"/>
                  </w:rPr>
                  <w:t>MOP</w:t>
                </w:r>
                <w:proofErr w:type="spellEnd"/>
                <w:r w:rsidR="005E0ED3" w:rsidRPr="000A44B2">
                  <w:rPr>
                    <w:lang w:val="es-UY"/>
                  </w:rPr>
                  <w:t>/</w:t>
                </w:r>
                <w:r w:rsidR="00615041" w:rsidRPr="000A44B2">
                  <w:rPr>
                    <w:lang w:val="es-UY"/>
                  </w:rPr>
                  <w:t>DEC/</w:t>
                </w:r>
                <w:r w:rsidR="005E0ED3" w:rsidRPr="000A44B2">
                  <w:rPr>
                    <w:lang w:val="es-UY"/>
                  </w:rPr>
                  <w:t>10</w:t>
                </w:r>
                <w:r w:rsidR="00937130" w:rsidRPr="000A44B2">
                  <w:rPr>
                    <w:lang w:val="es-UY"/>
                  </w:rPr>
                  <w:t>/</w:t>
                </w:r>
                <w:r w:rsidR="00615041" w:rsidRPr="000A44B2">
                  <w:rPr>
                    <w:lang w:val="es-UY"/>
                  </w:rPr>
                  <w:t>13</w:t>
                </w:r>
              </w:sdtContent>
            </w:sdt>
          </w:p>
          <w:p w:rsidR="00C9161D" w:rsidRPr="000A44B2" w:rsidRDefault="003B16C1" w:rsidP="00176CEE">
            <w:pPr>
              <w:ind w:left="1215"/>
              <w:rPr>
                <w:szCs w:val="22"/>
                <w:lang w:val="es-UY"/>
              </w:rPr>
            </w:pPr>
            <w:r w:rsidRPr="000A44B2">
              <w:rPr>
                <w:szCs w:val="22"/>
                <w:lang w:val="es-UY"/>
              </w:rPr>
              <w:t>1</w:t>
            </w:r>
            <w:r w:rsidR="002D7597" w:rsidRPr="000A44B2">
              <w:rPr>
                <w:szCs w:val="22"/>
                <w:lang w:val="es-UY"/>
              </w:rPr>
              <w:t xml:space="preserve">9 </w:t>
            </w:r>
            <w:r w:rsidR="000B550F" w:rsidRPr="000A44B2">
              <w:rPr>
                <w:szCs w:val="22"/>
                <w:lang w:val="es-UY"/>
              </w:rPr>
              <w:t>d</w:t>
            </w:r>
            <w:r w:rsidR="002D7597" w:rsidRPr="000A44B2">
              <w:rPr>
                <w:szCs w:val="22"/>
                <w:lang w:val="es-UY"/>
              </w:rPr>
              <w:t>e</w:t>
            </w:r>
            <w:r w:rsidR="000B550F" w:rsidRPr="000A44B2">
              <w:rPr>
                <w:szCs w:val="22"/>
                <w:lang w:val="es-UY"/>
              </w:rPr>
              <w:t xml:space="preserve"> di</w:t>
            </w:r>
            <w:r w:rsidR="002D7597" w:rsidRPr="000A44B2">
              <w:rPr>
                <w:szCs w:val="22"/>
                <w:lang w:val="es-UY"/>
              </w:rPr>
              <w:t>c</w:t>
            </w:r>
            <w:r w:rsidR="000B550F" w:rsidRPr="000A44B2">
              <w:rPr>
                <w:szCs w:val="22"/>
                <w:lang w:val="es-UY"/>
              </w:rPr>
              <w:t>i</w:t>
            </w:r>
            <w:r w:rsidR="002D7597" w:rsidRPr="000A44B2">
              <w:rPr>
                <w:szCs w:val="22"/>
                <w:lang w:val="es-UY"/>
              </w:rPr>
              <w:t>embr</w:t>
            </w:r>
            <w:r w:rsidR="000B550F" w:rsidRPr="000A44B2">
              <w:rPr>
                <w:szCs w:val="22"/>
                <w:lang w:val="es-UY"/>
              </w:rPr>
              <w:t>e</w:t>
            </w:r>
            <w:r w:rsidR="00F6586C" w:rsidRPr="000A44B2">
              <w:rPr>
                <w:szCs w:val="22"/>
                <w:lang w:val="es-UY"/>
              </w:rPr>
              <w:t xml:space="preserve"> </w:t>
            </w:r>
            <w:r w:rsidR="000B550F" w:rsidRPr="000A44B2">
              <w:rPr>
                <w:szCs w:val="22"/>
                <w:lang w:val="es-UY"/>
              </w:rPr>
              <w:t xml:space="preserve">de </w:t>
            </w:r>
            <w:r w:rsidR="00F6586C" w:rsidRPr="000A44B2">
              <w:rPr>
                <w:szCs w:val="22"/>
                <w:lang w:val="es-UY"/>
              </w:rPr>
              <w:t>20</w:t>
            </w:r>
            <w:r w:rsidR="00FC25F8" w:rsidRPr="000A44B2">
              <w:rPr>
                <w:szCs w:val="22"/>
                <w:lang w:val="es-UY"/>
              </w:rPr>
              <w:t>2</w:t>
            </w:r>
            <w:r w:rsidR="00B26ACD" w:rsidRPr="000A44B2">
              <w:rPr>
                <w:szCs w:val="22"/>
                <w:lang w:val="es-UY"/>
              </w:rPr>
              <w:t>2</w:t>
            </w:r>
          </w:p>
          <w:p w:rsidR="00C9161D" w:rsidRPr="000A44B2" w:rsidRDefault="00C9161D" w:rsidP="00176CEE">
            <w:pPr>
              <w:ind w:left="1215"/>
              <w:rPr>
                <w:szCs w:val="22"/>
                <w:lang w:val="es-UY"/>
              </w:rPr>
            </w:pPr>
          </w:p>
          <w:p w:rsidR="000B550F" w:rsidRPr="000A44B2" w:rsidRDefault="000B550F" w:rsidP="00176CEE">
            <w:pPr>
              <w:ind w:left="1215"/>
              <w:rPr>
                <w:szCs w:val="22"/>
                <w:lang w:val="es-UY"/>
              </w:rPr>
            </w:pPr>
            <w:r w:rsidRPr="000A44B2">
              <w:rPr>
                <w:szCs w:val="22"/>
                <w:lang w:val="es-UY"/>
              </w:rPr>
              <w:t>ESPAÑOL</w:t>
            </w:r>
          </w:p>
          <w:p w:rsidR="00C9161D" w:rsidRPr="000A44B2" w:rsidRDefault="006B2290" w:rsidP="00176CEE">
            <w:pPr>
              <w:ind w:left="1215"/>
              <w:rPr>
                <w:szCs w:val="22"/>
                <w:lang w:val="es-UY"/>
              </w:rPr>
            </w:pPr>
            <w:r w:rsidRPr="000A44B2">
              <w:rPr>
                <w:szCs w:val="22"/>
                <w:lang w:val="es-UY"/>
              </w:rPr>
              <w:t xml:space="preserve">ORIGINAL: </w:t>
            </w:r>
            <w:r w:rsidR="000B550F" w:rsidRPr="000A44B2">
              <w:rPr>
                <w:szCs w:val="22"/>
                <w:lang w:val="es-UY"/>
              </w:rPr>
              <w:t>I</w:t>
            </w:r>
            <w:r w:rsidR="00C9161D" w:rsidRPr="000A44B2">
              <w:rPr>
                <w:szCs w:val="22"/>
                <w:lang w:val="es-UY"/>
              </w:rPr>
              <w:t>NGL</w:t>
            </w:r>
            <w:r w:rsidR="000B550F" w:rsidRPr="000A44B2">
              <w:rPr>
                <w:szCs w:val="22"/>
                <w:lang w:val="es-UY"/>
              </w:rPr>
              <w:t>É</w:t>
            </w:r>
            <w:r w:rsidR="00C9161D" w:rsidRPr="000A44B2">
              <w:rPr>
                <w:szCs w:val="22"/>
                <w:lang w:val="es-UY"/>
              </w:rPr>
              <w:t>S</w:t>
            </w:r>
          </w:p>
          <w:p w:rsidR="00C9161D" w:rsidRPr="000A44B2" w:rsidRDefault="00C9161D">
            <w:pPr>
              <w:rPr>
                <w:lang w:val="es-UY"/>
              </w:rPr>
            </w:pPr>
          </w:p>
        </w:tc>
      </w:tr>
    </w:tbl>
    <w:p w:rsidR="000B550F" w:rsidRPr="000A44B2" w:rsidRDefault="000B550F" w:rsidP="000B550F">
      <w:pPr>
        <w:pStyle w:val="Cornernotation"/>
        <w:kinsoku w:val="0"/>
        <w:overflowPunct w:val="0"/>
        <w:autoSpaceDE w:val="0"/>
        <w:autoSpaceDN w:val="0"/>
        <w:spacing w:before="60"/>
        <w:ind w:left="227" w:right="4302" w:hanging="227"/>
        <w:rPr>
          <w:snapToGrid w:val="0"/>
          <w:kern w:val="22"/>
          <w:lang w:val="es-UY"/>
        </w:rPr>
      </w:pPr>
      <w:r w:rsidRPr="000A44B2">
        <w:rPr>
          <w:snapToGrid w:val="0"/>
          <w:lang w:val="es-UY"/>
        </w:rPr>
        <w:t>CONFERENCIA DE LAS PARTES EN EL CONVENIO SOBRE LA DIVERSIDAD BIOLÓGICA QUE ACTÚA COMO REUNIÓN DE LAS PARTES EN EL PROTOCOLO DE CARTAGENA SOBRE SEGURIDAD DE LA BIOTECNOLOGÍA</w:t>
      </w:r>
    </w:p>
    <w:p w:rsidR="000B550F" w:rsidRPr="000A44B2" w:rsidRDefault="000B550F" w:rsidP="000B550F">
      <w:pPr>
        <w:pStyle w:val="Cornernotation"/>
        <w:kinsoku w:val="0"/>
        <w:overflowPunct w:val="0"/>
        <w:autoSpaceDE w:val="0"/>
        <w:autoSpaceDN w:val="0"/>
        <w:ind w:left="0" w:right="4512" w:firstLine="0"/>
        <w:rPr>
          <w:snapToGrid w:val="0"/>
          <w:kern w:val="22"/>
          <w:lang w:val="es-UY"/>
        </w:rPr>
      </w:pPr>
      <w:r w:rsidRPr="000A44B2">
        <w:rPr>
          <w:snapToGrid w:val="0"/>
          <w:kern w:val="22"/>
          <w:lang w:val="es-UY"/>
        </w:rPr>
        <w:t>Décima reunión</w:t>
      </w:r>
      <w:r w:rsidR="00C554E9" w:rsidRPr="000A44B2">
        <w:rPr>
          <w:snapToGrid w:val="0"/>
          <w:kern w:val="22"/>
          <w:lang w:val="es-UY"/>
        </w:rPr>
        <w:t xml:space="preserve"> </w:t>
      </w:r>
      <w:r w:rsidRPr="000A44B2">
        <w:rPr>
          <w:snapToGrid w:val="0"/>
          <w:kern w:val="22"/>
          <w:lang w:val="es-UY"/>
        </w:rPr>
        <w:t>– Parte II</w:t>
      </w:r>
    </w:p>
    <w:p w:rsidR="000B550F" w:rsidRPr="000A44B2" w:rsidRDefault="000B550F" w:rsidP="000B550F">
      <w:pPr>
        <w:pStyle w:val="Cornernotation"/>
        <w:kinsoku w:val="0"/>
        <w:overflowPunct w:val="0"/>
        <w:autoSpaceDE w:val="0"/>
        <w:autoSpaceDN w:val="0"/>
        <w:ind w:left="227" w:right="4512" w:hanging="227"/>
        <w:rPr>
          <w:snapToGrid w:val="0"/>
          <w:kern w:val="22"/>
          <w:szCs w:val="22"/>
          <w:lang w:val="es-UY" w:eastAsia="nb-NO"/>
        </w:rPr>
      </w:pPr>
      <w:r w:rsidRPr="000A44B2">
        <w:rPr>
          <w:snapToGrid w:val="0"/>
          <w:kern w:val="22"/>
          <w:szCs w:val="22"/>
          <w:lang w:val="es-UY" w:eastAsia="nb-NO"/>
        </w:rPr>
        <w:t>Montreal (Canadá)</w:t>
      </w:r>
      <w:r w:rsidR="00FC490A">
        <w:rPr>
          <w:snapToGrid w:val="0"/>
          <w:kern w:val="22"/>
          <w:szCs w:val="22"/>
          <w:lang w:val="es-UY" w:eastAsia="nb-NO"/>
        </w:rPr>
        <w:t>,</w:t>
      </w:r>
      <w:r w:rsidRPr="000A44B2">
        <w:rPr>
          <w:snapToGrid w:val="0"/>
          <w:kern w:val="22"/>
          <w:szCs w:val="22"/>
          <w:lang w:val="es-UY" w:eastAsia="nb-NO"/>
        </w:rPr>
        <w:t xml:space="preserve"> 7 a 19 de diciembre de 2022</w:t>
      </w:r>
    </w:p>
    <w:p w:rsidR="00C554E9" w:rsidRPr="000A44B2" w:rsidRDefault="000B550F" w:rsidP="000B550F">
      <w:pPr>
        <w:rPr>
          <w:snapToGrid w:val="0"/>
          <w:kern w:val="22"/>
          <w:szCs w:val="22"/>
          <w:lang w:val="es-UY"/>
        </w:rPr>
      </w:pPr>
      <w:r w:rsidRPr="000A44B2">
        <w:rPr>
          <w:snapToGrid w:val="0"/>
          <w:kern w:val="22"/>
          <w:szCs w:val="22"/>
          <w:lang w:val="es-UY"/>
        </w:rPr>
        <w:t>Tema</w:t>
      </w:r>
      <w:r w:rsidR="00134846" w:rsidRPr="000A44B2">
        <w:rPr>
          <w:snapToGrid w:val="0"/>
          <w:kern w:val="22"/>
          <w:szCs w:val="22"/>
          <w:lang w:val="es-UY"/>
        </w:rPr>
        <w:t xml:space="preserve"> </w:t>
      </w:r>
      <w:r w:rsidR="002D7597" w:rsidRPr="000A44B2">
        <w:rPr>
          <w:snapToGrid w:val="0"/>
          <w:kern w:val="22"/>
          <w:szCs w:val="22"/>
          <w:lang w:val="es-UY"/>
        </w:rPr>
        <w:t>17</w:t>
      </w:r>
      <w:r w:rsidRPr="000A44B2">
        <w:rPr>
          <w:snapToGrid w:val="0"/>
          <w:kern w:val="22"/>
          <w:szCs w:val="22"/>
          <w:lang w:val="es-UY"/>
        </w:rPr>
        <w:t xml:space="preserve"> del programa</w:t>
      </w:r>
      <w:r w:rsidR="00134846" w:rsidRPr="000A44B2">
        <w:rPr>
          <w:snapToGrid w:val="0"/>
          <w:kern w:val="22"/>
          <w:szCs w:val="22"/>
          <w:lang w:val="es-UY"/>
        </w:rPr>
        <w:t xml:space="preserve"> </w:t>
      </w:r>
    </w:p>
    <w:p w:rsidR="00C9161D" w:rsidRPr="000A44B2" w:rsidRDefault="00C554E9" w:rsidP="00C554E9">
      <w:pPr>
        <w:spacing w:before="240" w:after="240"/>
        <w:jc w:val="center"/>
        <w:rPr>
          <w:lang w:val="es-UY"/>
        </w:rPr>
      </w:pPr>
      <w:r w:rsidRPr="000A44B2">
        <w:rPr>
          <w:rFonts w:ascii="Times New Roman Bold" w:hAnsi="Times New Roman Bold"/>
          <w:b/>
          <w:caps/>
          <w:lang w:val="es-UY"/>
        </w:rPr>
        <w:t>DecisiÓn adoptAdA POR LAS PARTES EN EL PROTOCOLO DE Cartagena SOBRE SEGURIDAD DE LA BIOTECNOLOGÍA</w:t>
      </w:r>
    </w:p>
    <w:p w:rsidR="00C9161D" w:rsidRPr="000A44B2" w:rsidRDefault="000A44B2" w:rsidP="00C554E9">
      <w:pPr>
        <w:spacing w:before="120" w:after="240"/>
        <w:jc w:val="center"/>
        <w:rPr>
          <w:b/>
          <w:caps/>
          <w:lang w:val="es-UY"/>
        </w:rPr>
      </w:pPr>
      <w:sdt>
        <w:sdtPr>
          <w:rPr>
            <w:rStyle w:val="TableGrid"/>
            <w:b/>
            <w:bCs/>
            <w:iCs/>
            <w:lang w:val="es-UY"/>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Content>
          <w:r w:rsidRPr="000A44B2">
            <w:rPr>
              <w:rStyle w:val="TableGrid"/>
              <w:b/>
              <w:bCs/>
              <w:iCs/>
              <w:lang w:val="es-UY"/>
            </w:rPr>
            <w:t>CP-10/13.   Protocolo Suplementario de Nagoya-Kuala Lumpur sobre Responsabilidad y Compensación</w:t>
          </w:r>
        </w:sdtContent>
      </w:sdt>
    </w:p>
    <w:p w:rsidR="000B550F" w:rsidRPr="000A44B2" w:rsidRDefault="000B550F" w:rsidP="000B550F">
      <w:pPr>
        <w:pStyle w:val="HEADING"/>
        <w:shd w:val="clear" w:color="auto" w:fill="FFFFFF" w:themeFill="background1"/>
        <w:ind w:firstLine="720"/>
        <w:jc w:val="both"/>
        <w:rPr>
          <w:b w:val="0"/>
          <w:bCs w:val="0"/>
          <w:i/>
          <w:caps w:val="0"/>
          <w:lang w:val="es-UY"/>
        </w:rPr>
      </w:pPr>
      <w:r w:rsidRPr="000A44B2">
        <w:rPr>
          <w:b w:val="0"/>
          <w:i/>
          <w:caps w:val="0"/>
          <w:lang w:val="es-UY"/>
        </w:rPr>
        <w:t>La Conferencia de las Partes que actúa como reunión de las Partes en el Protocolo de Cartagena sobre Seguridad de la Biotecnología y que también actúa como reunión de las Partes en el Protocolo Suplementario de Nagoya-Kuala Lumpur sobre Responsabilidad y Compensación</w:t>
      </w:r>
      <w:r w:rsidRPr="000A44B2">
        <w:rPr>
          <w:rStyle w:val="FootnoteReference"/>
          <w:b w:val="0"/>
          <w:bCs w:val="0"/>
          <w:caps w:val="0"/>
          <w:kern w:val="22"/>
          <w:sz w:val="20"/>
          <w:szCs w:val="20"/>
          <w:lang w:val="es-UY"/>
        </w:rPr>
        <w:footnoteReference w:id="1"/>
      </w:r>
      <w:r w:rsidRPr="000A44B2">
        <w:rPr>
          <w:b w:val="0"/>
          <w:i/>
          <w:caps w:val="0"/>
          <w:lang w:val="es-UY"/>
        </w:rPr>
        <w:t>,</w:t>
      </w:r>
    </w:p>
    <w:p w:rsidR="000B550F" w:rsidRPr="000A44B2" w:rsidRDefault="000B550F" w:rsidP="000B550F">
      <w:pPr>
        <w:pStyle w:val="HEADING"/>
        <w:shd w:val="clear" w:color="auto" w:fill="FFFFFF" w:themeFill="background1"/>
        <w:ind w:firstLine="720"/>
        <w:jc w:val="both"/>
        <w:rPr>
          <w:b w:val="0"/>
          <w:bCs w:val="0"/>
          <w:iCs/>
          <w:caps w:val="0"/>
          <w:lang w:val="es-UY"/>
        </w:rPr>
      </w:pPr>
      <w:r w:rsidRPr="000A44B2">
        <w:rPr>
          <w:b w:val="0"/>
          <w:i/>
          <w:iCs/>
          <w:caps w:val="0"/>
          <w:lang w:val="es-UY"/>
        </w:rPr>
        <w:t>Recordando</w:t>
      </w:r>
      <w:r w:rsidRPr="000A44B2">
        <w:rPr>
          <w:b w:val="0"/>
          <w:caps w:val="0"/>
          <w:lang w:val="es-UY"/>
        </w:rPr>
        <w:t xml:space="preserve"> la decisión CP-9/15, </w:t>
      </w:r>
    </w:p>
    <w:p w:rsidR="000B550F" w:rsidRPr="000A44B2" w:rsidRDefault="000B550F" w:rsidP="000B550F">
      <w:pPr>
        <w:pStyle w:val="HEADING"/>
        <w:shd w:val="clear" w:color="auto" w:fill="FFFFFF" w:themeFill="background1"/>
        <w:ind w:firstLine="720"/>
        <w:jc w:val="both"/>
        <w:rPr>
          <w:b w:val="0"/>
          <w:bCs w:val="0"/>
          <w:iCs/>
          <w:caps w:val="0"/>
          <w:lang w:val="es-UY"/>
        </w:rPr>
      </w:pPr>
      <w:r w:rsidRPr="000A44B2">
        <w:rPr>
          <w:b w:val="0"/>
          <w:i/>
          <w:caps w:val="0"/>
          <w:lang w:val="es-UY"/>
        </w:rPr>
        <w:t xml:space="preserve">Tomando nota </w:t>
      </w:r>
      <w:r w:rsidRPr="000A44B2">
        <w:rPr>
          <w:b w:val="0"/>
          <w:caps w:val="0"/>
          <w:lang w:val="es-UY"/>
        </w:rPr>
        <w:t xml:space="preserve">de la información suministrada por las Partes en sus cuartos informes nacionales en relación con el </w:t>
      </w:r>
      <w:bookmarkStart w:id="0" w:name="_Hlk121335950"/>
      <w:r w:rsidRPr="000A44B2">
        <w:rPr>
          <w:b w:val="0"/>
          <w:caps w:val="0"/>
          <w:lang w:val="es-UY"/>
        </w:rPr>
        <w:t>Protocolo Suplementario de Nagoya-Kuala Lumpur sobre Responsabilidad y Compensación</w:t>
      </w:r>
      <w:bookmarkEnd w:id="0"/>
      <w:r w:rsidRPr="000A44B2">
        <w:rPr>
          <w:b w:val="0"/>
          <w:caps w:val="0"/>
          <w:lang w:val="es-UY"/>
        </w:rPr>
        <w:t xml:space="preserve">, </w:t>
      </w:r>
    </w:p>
    <w:p w:rsidR="000B550F" w:rsidRPr="000A44B2" w:rsidRDefault="000B550F" w:rsidP="000B550F">
      <w:pPr>
        <w:pStyle w:val="HEADING"/>
        <w:keepNext w:val="0"/>
        <w:shd w:val="clear" w:color="auto" w:fill="FFFFFF" w:themeFill="background1"/>
        <w:spacing w:before="120"/>
        <w:ind w:firstLine="720"/>
        <w:jc w:val="both"/>
        <w:rPr>
          <w:b w:val="0"/>
          <w:bCs w:val="0"/>
          <w:caps w:val="0"/>
          <w:lang w:val="es-UY"/>
        </w:rPr>
      </w:pPr>
      <w:r w:rsidRPr="000A44B2">
        <w:rPr>
          <w:b w:val="0"/>
          <w:lang w:val="es-UY"/>
        </w:rPr>
        <w:t>1.</w:t>
      </w:r>
      <w:r w:rsidRPr="000A44B2">
        <w:rPr>
          <w:b w:val="0"/>
          <w:lang w:val="es-UY"/>
        </w:rPr>
        <w:tab/>
      </w:r>
      <w:r w:rsidRPr="000A44B2">
        <w:rPr>
          <w:b w:val="0"/>
          <w:i/>
          <w:iCs/>
          <w:caps w:val="0"/>
          <w:lang w:val="es-UY"/>
        </w:rPr>
        <w:t>Acoge con satisfacción</w:t>
      </w:r>
      <w:r w:rsidRPr="000A44B2">
        <w:rPr>
          <w:b w:val="0"/>
          <w:caps w:val="0"/>
          <w:lang w:val="es-UY"/>
        </w:rPr>
        <w:t xml:space="preserve"> los instrumentos adicionales de ratificación, aceptación, aprobación o adhesión al Protocolo Suplementario de Nagoya</w:t>
      </w:r>
      <w:r w:rsidR="008A0ED9">
        <w:rPr>
          <w:b w:val="0"/>
          <w:bCs w:val="0"/>
          <w:iCs/>
          <w:caps w:val="0"/>
        </w:rPr>
        <w:t>-</w:t>
      </w:r>
      <w:r w:rsidRPr="000A44B2">
        <w:rPr>
          <w:b w:val="0"/>
          <w:caps w:val="0"/>
          <w:lang w:val="es-UY"/>
        </w:rPr>
        <w:t>Kuala Lumpur sobre Responsabilidad y Compensación que se han depositado;</w:t>
      </w:r>
    </w:p>
    <w:p w:rsidR="000B550F" w:rsidRPr="000A44B2" w:rsidRDefault="000B550F" w:rsidP="000B550F">
      <w:pPr>
        <w:pStyle w:val="HEADING"/>
        <w:keepNext w:val="0"/>
        <w:shd w:val="clear" w:color="auto" w:fill="FFFFFF" w:themeFill="background1"/>
        <w:spacing w:before="120"/>
        <w:ind w:firstLine="720"/>
        <w:jc w:val="both"/>
        <w:rPr>
          <w:b w:val="0"/>
          <w:bCs w:val="0"/>
          <w:caps w:val="0"/>
          <w:lang w:val="es-UY"/>
        </w:rPr>
      </w:pPr>
      <w:r w:rsidRPr="000A44B2">
        <w:rPr>
          <w:b w:val="0"/>
          <w:caps w:val="0"/>
          <w:lang w:val="es-UY"/>
        </w:rPr>
        <w:t>2.</w:t>
      </w:r>
      <w:r w:rsidRPr="000A44B2">
        <w:rPr>
          <w:b w:val="0"/>
          <w:caps w:val="0"/>
          <w:lang w:val="es-UY"/>
        </w:rPr>
        <w:tab/>
      </w:r>
      <w:r w:rsidR="00AD1A9A" w:rsidRPr="000A44B2">
        <w:rPr>
          <w:b w:val="0"/>
          <w:i/>
          <w:iCs/>
          <w:caps w:val="0"/>
          <w:lang w:val="es-UY"/>
        </w:rPr>
        <w:t>Observa</w:t>
      </w:r>
      <w:r w:rsidRPr="000A44B2">
        <w:rPr>
          <w:b w:val="0"/>
          <w:i/>
          <w:iCs/>
          <w:caps w:val="0"/>
          <w:lang w:val="es-UY"/>
        </w:rPr>
        <w:t xml:space="preserve"> con pesar</w:t>
      </w:r>
      <w:r w:rsidR="00AD1A9A" w:rsidRPr="000A44B2">
        <w:rPr>
          <w:b w:val="0"/>
          <w:caps w:val="0"/>
          <w:lang w:val="es-UY"/>
        </w:rPr>
        <w:t xml:space="preserve"> </w:t>
      </w:r>
      <w:r w:rsidRPr="000A44B2">
        <w:rPr>
          <w:b w:val="0"/>
          <w:caps w:val="0"/>
          <w:lang w:val="es-UY"/>
        </w:rPr>
        <w:t xml:space="preserve">el número limitado de Partes en el Protocolo de Cartagena sobre Seguridad de la Biotecnología que </w:t>
      </w:r>
      <w:r w:rsidR="00AD1A9A" w:rsidRPr="000A44B2">
        <w:rPr>
          <w:b w:val="0"/>
          <w:caps w:val="0"/>
          <w:lang w:val="es-UY"/>
        </w:rPr>
        <w:t xml:space="preserve">han </w:t>
      </w:r>
      <w:r w:rsidRPr="000A44B2">
        <w:rPr>
          <w:b w:val="0"/>
          <w:caps w:val="0"/>
          <w:lang w:val="es-UY"/>
        </w:rPr>
        <w:t>ratifica</w:t>
      </w:r>
      <w:r w:rsidR="00AD1A9A" w:rsidRPr="000A44B2">
        <w:rPr>
          <w:b w:val="0"/>
          <w:caps w:val="0"/>
          <w:lang w:val="es-UY"/>
        </w:rPr>
        <w:t>d</w:t>
      </w:r>
      <w:r w:rsidRPr="000A44B2">
        <w:rPr>
          <w:b w:val="0"/>
          <w:caps w:val="0"/>
          <w:lang w:val="es-UY"/>
        </w:rPr>
        <w:t>o el Protocolo Suplementario de Nagoya</w:t>
      </w:r>
      <w:r w:rsidR="008A0ED9">
        <w:rPr>
          <w:b w:val="0"/>
          <w:bCs w:val="0"/>
          <w:iCs/>
          <w:caps w:val="0"/>
        </w:rPr>
        <w:t>-</w:t>
      </w:r>
      <w:r w:rsidRPr="000A44B2">
        <w:rPr>
          <w:b w:val="0"/>
          <w:caps w:val="0"/>
          <w:lang w:val="es-UY"/>
        </w:rPr>
        <w:t xml:space="preserve">Kuala Lumpur sobre Responsabilidad y Compensación e </w:t>
      </w:r>
      <w:r w:rsidRPr="000A44B2">
        <w:rPr>
          <w:b w:val="0"/>
          <w:i/>
          <w:caps w:val="0"/>
          <w:lang w:val="es-UY"/>
        </w:rPr>
        <w:t>invita</w:t>
      </w:r>
      <w:r w:rsidRPr="000A44B2">
        <w:rPr>
          <w:b w:val="0"/>
          <w:caps w:val="0"/>
          <w:lang w:val="es-UY"/>
        </w:rPr>
        <w:t xml:space="preserve"> a todas las Partes en el Protocolo de Cartagena sobre Seguridad de la Biotecnología que aún no ha</w:t>
      </w:r>
      <w:r w:rsidR="00AD1A9A" w:rsidRPr="000A44B2">
        <w:rPr>
          <w:b w:val="0"/>
          <w:caps w:val="0"/>
          <w:lang w:val="es-UY"/>
        </w:rPr>
        <w:t>ya</w:t>
      </w:r>
      <w:r w:rsidRPr="000A44B2">
        <w:rPr>
          <w:b w:val="0"/>
          <w:caps w:val="0"/>
          <w:lang w:val="es-UY"/>
        </w:rPr>
        <w:t>n depositado su instrumento de ratificación, aceptación, aprobación o adhesión al Protocolo Suplementario de Nagoya</w:t>
      </w:r>
      <w:r w:rsidR="008A0ED9">
        <w:rPr>
          <w:b w:val="0"/>
          <w:bCs w:val="0"/>
          <w:iCs/>
          <w:caps w:val="0"/>
        </w:rPr>
        <w:t>-</w:t>
      </w:r>
      <w:r w:rsidRPr="000A44B2">
        <w:rPr>
          <w:b w:val="0"/>
          <w:caps w:val="0"/>
          <w:lang w:val="es-UY"/>
        </w:rPr>
        <w:t>Kuala Lumpur sobre Responsabilidad y Compensación a que lo hagan lo antes posible;</w:t>
      </w:r>
    </w:p>
    <w:p w:rsidR="000B550F" w:rsidRPr="000A44B2" w:rsidRDefault="000B550F" w:rsidP="000B550F">
      <w:pPr>
        <w:pStyle w:val="HEADING"/>
        <w:keepNext w:val="0"/>
        <w:shd w:val="clear" w:color="auto" w:fill="FFFFFF" w:themeFill="background1"/>
        <w:spacing w:before="120"/>
        <w:ind w:firstLine="720"/>
        <w:jc w:val="both"/>
        <w:rPr>
          <w:b w:val="0"/>
          <w:bCs w:val="0"/>
          <w:caps w:val="0"/>
          <w:lang w:val="es-UY"/>
        </w:rPr>
      </w:pPr>
      <w:r w:rsidRPr="000A44B2">
        <w:rPr>
          <w:b w:val="0"/>
          <w:lang w:val="es-UY"/>
        </w:rPr>
        <w:t>3.</w:t>
      </w:r>
      <w:r w:rsidRPr="000A44B2">
        <w:rPr>
          <w:b w:val="0"/>
          <w:lang w:val="es-UY"/>
        </w:rPr>
        <w:tab/>
      </w:r>
      <w:r w:rsidRPr="000A44B2">
        <w:rPr>
          <w:b w:val="0"/>
          <w:i/>
          <w:caps w:val="0"/>
          <w:lang w:val="es-UY"/>
        </w:rPr>
        <w:t xml:space="preserve">Acoge </w:t>
      </w:r>
      <w:r w:rsidRPr="000A44B2">
        <w:rPr>
          <w:b w:val="0"/>
          <w:i/>
          <w:iCs/>
          <w:caps w:val="0"/>
          <w:lang w:val="es-UY"/>
        </w:rPr>
        <w:t>con satisfacción</w:t>
      </w:r>
      <w:r w:rsidRPr="000A44B2">
        <w:rPr>
          <w:b w:val="0"/>
          <w:caps w:val="0"/>
          <w:lang w:val="es-UY"/>
        </w:rPr>
        <w:t xml:space="preserve"> los progresos realizados por muchas Partes en la aplicación del Protocolo Suplementario de Nagoya</w:t>
      </w:r>
      <w:r w:rsidR="008A0ED9">
        <w:rPr>
          <w:b w:val="0"/>
          <w:bCs w:val="0"/>
          <w:iCs/>
          <w:caps w:val="0"/>
        </w:rPr>
        <w:t>-</w:t>
      </w:r>
      <w:r w:rsidRPr="000A44B2">
        <w:rPr>
          <w:b w:val="0"/>
          <w:caps w:val="0"/>
          <w:lang w:val="es-UY"/>
        </w:rPr>
        <w:t xml:space="preserve">Kuala Lumpur sobre Responsabilidad y Compensación e </w:t>
      </w:r>
      <w:r w:rsidRPr="000A44B2">
        <w:rPr>
          <w:b w:val="0"/>
          <w:i/>
          <w:caps w:val="0"/>
          <w:lang w:val="es-UY"/>
        </w:rPr>
        <w:t>insta</w:t>
      </w:r>
      <w:r w:rsidRPr="000A44B2">
        <w:rPr>
          <w:b w:val="0"/>
          <w:caps w:val="0"/>
          <w:lang w:val="es-UY"/>
        </w:rPr>
        <w:t xml:space="preserve"> a las </w:t>
      </w:r>
      <w:r w:rsidRPr="000A44B2">
        <w:rPr>
          <w:b w:val="0"/>
          <w:caps w:val="0"/>
          <w:lang w:val="es-UY"/>
        </w:rPr>
        <w:lastRenderedPageBreak/>
        <w:t xml:space="preserve">Partes en el Protocolo Suplementario a que adopten las medidas adicionales necesarias para su aplicación plena y efectiva; </w:t>
      </w:r>
    </w:p>
    <w:p w:rsidR="000B550F" w:rsidRPr="000A44B2" w:rsidRDefault="000B550F" w:rsidP="000B550F">
      <w:pPr>
        <w:pStyle w:val="HEADING"/>
        <w:keepNext w:val="0"/>
        <w:shd w:val="clear" w:color="auto" w:fill="FFFFFF" w:themeFill="background1"/>
        <w:spacing w:before="120"/>
        <w:ind w:firstLine="720"/>
        <w:jc w:val="both"/>
        <w:rPr>
          <w:b w:val="0"/>
          <w:bCs w:val="0"/>
          <w:caps w:val="0"/>
          <w:lang w:val="es-UY"/>
        </w:rPr>
      </w:pPr>
      <w:r w:rsidRPr="000A44B2">
        <w:rPr>
          <w:b w:val="0"/>
          <w:lang w:val="es-UY"/>
        </w:rPr>
        <w:t>4.</w:t>
      </w:r>
      <w:r w:rsidRPr="000A44B2">
        <w:rPr>
          <w:b w:val="0"/>
          <w:lang w:val="es-UY"/>
        </w:rPr>
        <w:tab/>
      </w:r>
      <w:r w:rsidR="00AD1A9A" w:rsidRPr="000A44B2">
        <w:rPr>
          <w:b w:val="0"/>
          <w:i/>
          <w:caps w:val="0"/>
          <w:lang w:val="es-UY"/>
        </w:rPr>
        <w:t>Subraya</w:t>
      </w:r>
      <w:r w:rsidRPr="000A44B2">
        <w:rPr>
          <w:b w:val="0"/>
          <w:caps w:val="0"/>
          <w:lang w:val="es-UY"/>
        </w:rPr>
        <w:t xml:space="preserve"> la importancia de las actividades de concienciación y creación de capacidad para apoyar nuevas ratificaciones y la aplicación del Protocolo Suplementario, tal como se reconoce en la decisión CP-10/</w:t>
      </w:r>
      <w:r w:rsidR="00D3734E">
        <w:rPr>
          <w:b w:val="0"/>
          <w:caps w:val="0"/>
          <w:lang w:val="es-UY"/>
        </w:rPr>
        <w:t>7</w:t>
      </w:r>
      <w:r w:rsidRPr="000A44B2">
        <w:rPr>
          <w:b w:val="0"/>
          <w:caps w:val="0"/>
          <w:lang w:val="es-UY"/>
        </w:rPr>
        <w:t xml:space="preserve"> sobre la cuarta evaluación y revisión </w:t>
      </w:r>
      <w:r w:rsidR="00D3734E">
        <w:rPr>
          <w:b w:val="0"/>
          <w:caps w:val="0"/>
          <w:lang w:val="es-UY"/>
        </w:rPr>
        <w:t xml:space="preserve">de la eficacia </w:t>
      </w:r>
      <w:r w:rsidRPr="000A44B2">
        <w:rPr>
          <w:b w:val="0"/>
          <w:caps w:val="0"/>
          <w:lang w:val="es-UY"/>
        </w:rPr>
        <w:t>del Protocolo de Cartagena</w:t>
      </w:r>
      <w:r w:rsidR="00D3734E">
        <w:rPr>
          <w:b w:val="0"/>
          <w:caps w:val="0"/>
          <w:lang w:val="es-UY"/>
        </w:rPr>
        <w:t xml:space="preserve"> y la evaluación final del Plan Estratégico para el Protocolo de Cartagena sobre Seguridad de la Biotecnología para el período 2011-2020</w:t>
      </w:r>
      <w:r w:rsidRPr="000A44B2">
        <w:rPr>
          <w:b w:val="0"/>
          <w:caps w:val="0"/>
          <w:lang w:val="es-UY"/>
        </w:rPr>
        <w:t>;</w:t>
      </w:r>
    </w:p>
    <w:p w:rsidR="000B550F" w:rsidRPr="000A44B2" w:rsidRDefault="000B550F" w:rsidP="000B550F">
      <w:pPr>
        <w:pStyle w:val="HEADING"/>
        <w:keepNext w:val="0"/>
        <w:shd w:val="clear" w:color="auto" w:fill="FFFFFF" w:themeFill="background1"/>
        <w:spacing w:before="120"/>
        <w:ind w:firstLine="720"/>
        <w:jc w:val="both"/>
        <w:rPr>
          <w:b w:val="0"/>
          <w:bCs w:val="0"/>
          <w:caps w:val="0"/>
          <w:lang w:val="es-UY"/>
        </w:rPr>
      </w:pPr>
      <w:r w:rsidRPr="000A44B2">
        <w:rPr>
          <w:b w:val="0"/>
          <w:lang w:val="es-UY"/>
        </w:rPr>
        <w:t>5.</w:t>
      </w:r>
      <w:r w:rsidRPr="000A44B2">
        <w:rPr>
          <w:b w:val="0"/>
          <w:lang w:val="es-UY"/>
        </w:rPr>
        <w:tab/>
      </w:r>
      <w:r w:rsidRPr="000A44B2">
        <w:rPr>
          <w:b w:val="0"/>
          <w:i/>
          <w:iCs/>
          <w:caps w:val="0"/>
          <w:lang w:val="es-UY"/>
        </w:rPr>
        <w:t xml:space="preserve">Acoge con </w:t>
      </w:r>
      <w:r w:rsidR="00AD1A9A" w:rsidRPr="000A44B2">
        <w:rPr>
          <w:b w:val="0"/>
          <w:i/>
          <w:iCs/>
          <w:caps w:val="0"/>
          <w:lang w:val="es-UY"/>
        </w:rPr>
        <w:t>satisfacción</w:t>
      </w:r>
      <w:r w:rsidRPr="000A44B2">
        <w:rPr>
          <w:b w:val="0"/>
          <w:caps w:val="0"/>
          <w:lang w:val="es-UY"/>
        </w:rPr>
        <w:t xml:space="preserve"> el objetivo </w:t>
      </w:r>
      <w:r w:rsidR="00AD1A9A" w:rsidRPr="000A44B2">
        <w:rPr>
          <w:b w:val="0"/>
          <w:caps w:val="0"/>
          <w:lang w:val="es-UY"/>
        </w:rPr>
        <w:t>ref</w:t>
      </w:r>
      <w:r w:rsidRPr="000A44B2">
        <w:rPr>
          <w:b w:val="0"/>
          <w:caps w:val="0"/>
          <w:lang w:val="es-UY"/>
        </w:rPr>
        <w:t>e</w:t>
      </w:r>
      <w:r w:rsidR="00AD1A9A" w:rsidRPr="000A44B2">
        <w:rPr>
          <w:b w:val="0"/>
          <w:caps w:val="0"/>
          <w:lang w:val="es-UY"/>
        </w:rPr>
        <w:t>rido a</w:t>
      </w:r>
      <w:r w:rsidRPr="000A44B2">
        <w:rPr>
          <w:b w:val="0"/>
          <w:caps w:val="0"/>
          <w:lang w:val="es-UY"/>
        </w:rPr>
        <w:t>l Protocolo Suplementario de Nagoya</w:t>
      </w:r>
      <w:r w:rsidR="008A0ED9">
        <w:rPr>
          <w:b w:val="0"/>
          <w:bCs w:val="0"/>
          <w:iCs/>
          <w:caps w:val="0"/>
        </w:rPr>
        <w:t>-</w:t>
      </w:r>
      <w:r w:rsidRPr="000A44B2">
        <w:rPr>
          <w:b w:val="0"/>
          <w:caps w:val="0"/>
          <w:lang w:val="es-UY"/>
        </w:rPr>
        <w:t xml:space="preserve">Kuala Lumpur sobre Responsabilidad y Compensación en el </w:t>
      </w:r>
      <w:r w:rsidR="007575D0">
        <w:rPr>
          <w:b w:val="0"/>
          <w:caps w:val="0"/>
          <w:lang w:val="es-UY"/>
        </w:rPr>
        <w:t>P</w:t>
      </w:r>
      <w:r w:rsidRPr="000A44B2">
        <w:rPr>
          <w:b w:val="0"/>
          <w:caps w:val="0"/>
          <w:lang w:val="es-UY"/>
        </w:rPr>
        <w:t xml:space="preserve">lan de </w:t>
      </w:r>
      <w:r w:rsidR="007575D0">
        <w:rPr>
          <w:b w:val="0"/>
          <w:caps w:val="0"/>
          <w:lang w:val="es-UY"/>
        </w:rPr>
        <w:t>A</w:t>
      </w:r>
      <w:r w:rsidRPr="000A44B2">
        <w:rPr>
          <w:b w:val="0"/>
          <w:caps w:val="0"/>
          <w:lang w:val="es-UY"/>
        </w:rPr>
        <w:t xml:space="preserve">plicación del Protocolo de Cartagena </w:t>
      </w:r>
      <w:r w:rsidR="007575D0">
        <w:rPr>
          <w:b w:val="0"/>
          <w:caps w:val="0"/>
          <w:lang w:val="es-UY"/>
        </w:rPr>
        <w:t>sobre Seguridad de la Biotecnología</w:t>
      </w:r>
      <w:r w:rsidR="007575D0" w:rsidRPr="007575D0">
        <w:rPr>
          <w:rStyle w:val="FootnoteReference"/>
          <w:b w:val="0"/>
          <w:bCs w:val="0"/>
          <w:caps w:val="0"/>
        </w:rPr>
        <w:footnoteReference w:id="2"/>
      </w:r>
      <w:r w:rsidR="007575D0">
        <w:rPr>
          <w:b w:val="0"/>
          <w:caps w:val="0"/>
          <w:lang w:val="es-UY"/>
        </w:rPr>
        <w:t xml:space="preserve"> </w:t>
      </w:r>
      <w:r w:rsidRPr="000A44B2">
        <w:rPr>
          <w:b w:val="0"/>
          <w:caps w:val="0"/>
          <w:lang w:val="es-UY"/>
        </w:rPr>
        <w:t xml:space="preserve">y </w:t>
      </w:r>
      <w:r w:rsidR="00AD1A9A" w:rsidRPr="000A44B2">
        <w:rPr>
          <w:b w:val="0"/>
          <w:caps w:val="0"/>
          <w:lang w:val="es-UY"/>
        </w:rPr>
        <w:t>e</w:t>
      </w:r>
      <w:r w:rsidRPr="000A44B2">
        <w:rPr>
          <w:b w:val="0"/>
          <w:caps w:val="0"/>
          <w:lang w:val="es-UY"/>
        </w:rPr>
        <w:t xml:space="preserve">n el </w:t>
      </w:r>
      <w:r w:rsidR="00851F97" w:rsidRPr="000A44B2">
        <w:rPr>
          <w:b w:val="0"/>
          <w:caps w:val="0"/>
          <w:lang w:val="es-UY"/>
        </w:rPr>
        <w:t xml:space="preserve">Plan </w:t>
      </w:r>
      <w:r w:rsidRPr="000A44B2">
        <w:rPr>
          <w:b w:val="0"/>
          <w:caps w:val="0"/>
          <w:lang w:val="es-UY"/>
        </w:rPr>
        <w:t xml:space="preserve">de </w:t>
      </w:r>
      <w:r w:rsidR="00851F97" w:rsidRPr="000A44B2">
        <w:rPr>
          <w:b w:val="0"/>
          <w:caps w:val="0"/>
          <w:lang w:val="es-UY"/>
        </w:rPr>
        <w:t xml:space="preserve">Acción </w:t>
      </w:r>
      <w:r w:rsidRPr="000A44B2">
        <w:rPr>
          <w:b w:val="0"/>
          <w:caps w:val="0"/>
          <w:lang w:val="es-UY"/>
        </w:rPr>
        <w:t xml:space="preserve">para la </w:t>
      </w:r>
      <w:r w:rsidR="00851F97" w:rsidRPr="000A44B2">
        <w:rPr>
          <w:b w:val="0"/>
          <w:caps w:val="0"/>
          <w:lang w:val="es-UY"/>
        </w:rPr>
        <w:t xml:space="preserve">Creación </w:t>
      </w:r>
      <w:r w:rsidRPr="000A44B2">
        <w:rPr>
          <w:b w:val="0"/>
          <w:caps w:val="0"/>
          <w:lang w:val="es-UY"/>
        </w:rPr>
        <w:t xml:space="preserve">de </w:t>
      </w:r>
      <w:r w:rsidR="00851F97" w:rsidRPr="000A44B2">
        <w:rPr>
          <w:b w:val="0"/>
          <w:caps w:val="0"/>
          <w:lang w:val="es-UY"/>
        </w:rPr>
        <w:t xml:space="preserve">Capacidad </w:t>
      </w:r>
      <w:r w:rsidRPr="000A44B2">
        <w:rPr>
          <w:b w:val="0"/>
          <w:caps w:val="0"/>
          <w:lang w:val="es-UY"/>
        </w:rPr>
        <w:t>para el Protocolo de Cartagena</w:t>
      </w:r>
      <w:r w:rsidR="00851F97">
        <w:rPr>
          <w:b w:val="0"/>
          <w:caps w:val="0"/>
          <w:lang w:val="es-UY"/>
        </w:rPr>
        <w:t xml:space="preserve"> sobre Seguridad de la Biotecnología</w:t>
      </w:r>
      <w:r w:rsidR="00851F97" w:rsidRPr="007604B4">
        <w:rPr>
          <w:rStyle w:val="FootnoteReference"/>
          <w:b w:val="0"/>
          <w:bCs w:val="0"/>
          <w:caps w:val="0"/>
        </w:rPr>
        <w:footnoteReference w:id="3"/>
      </w:r>
      <w:r w:rsidRPr="000A44B2">
        <w:rPr>
          <w:b w:val="0"/>
          <w:caps w:val="0"/>
          <w:lang w:val="es-UY"/>
        </w:rPr>
        <w:t>, así como las acti</w:t>
      </w:r>
      <w:r w:rsidR="00AD1A9A" w:rsidRPr="000A44B2">
        <w:rPr>
          <w:b w:val="0"/>
          <w:caps w:val="0"/>
          <w:lang w:val="es-UY"/>
        </w:rPr>
        <w:t>vidades relacionadas de creación de capacidad</w:t>
      </w:r>
      <w:r w:rsidRPr="000A44B2">
        <w:rPr>
          <w:b w:val="0"/>
          <w:caps w:val="0"/>
          <w:lang w:val="es-UY"/>
        </w:rPr>
        <w:t xml:space="preserve">, y </w:t>
      </w:r>
      <w:r w:rsidRPr="000A44B2">
        <w:rPr>
          <w:b w:val="0"/>
          <w:i/>
          <w:iCs/>
          <w:caps w:val="0"/>
          <w:lang w:val="es-UY"/>
        </w:rPr>
        <w:t>reconoce</w:t>
      </w:r>
      <w:r w:rsidR="00AD1A9A" w:rsidRPr="000A44B2">
        <w:rPr>
          <w:b w:val="0"/>
          <w:caps w:val="0"/>
          <w:lang w:val="es-UY"/>
        </w:rPr>
        <w:t xml:space="preserve"> que algunas de es</w:t>
      </w:r>
      <w:r w:rsidRPr="000A44B2">
        <w:rPr>
          <w:b w:val="0"/>
          <w:caps w:val="0"/>
          <w:lang w:val="es-UY"/>
        </w:rPr>
        <w:t>as actividades están dirigidas principalmente a las Partes en el Protocolo Suplementario de Nagoya</w:t>
      </w:r>
      <w:r w:rsidR="008A0ED9">
        <w:rPr>
          <w:b w:val="0"/>
          <w:bCs w:val="0"/>
          <w:iCs/>
          <w:caps w:val="0"/>
        </w:rPr>
        <w:t>-</w:t>
      </w:r>
      <w:r w:rsidRPr="000A44B2">
        <w:rPr>
          <w:b w:val="0"/>
          <w:caps w:val="0"/>
          <w:lang w:val="es-UY"/>
        </w:rPr>
        <w:t>Kuala Lumpur sobre Responsabilidad y Compensación;</w:t>
      </w:r>
    </w:p>
    <w:p w:rsidR="000B550F" w:rsidRPr="000A44B2" w:rsidRDefault="000B550F" w:rsidP="000B550F">
      <w:pPr>
        <w:pStyle w:val="HEADING"/>
        <w:keepNext w:val="0"/>
        <w:shd w:val="clear" w:color="auto" w:fill="FFFFFF" w:themeFill="background1"/>
        <w:spacing w:before="120"/>
        <w:ind w:firstLine="720"/>
        <w:jc w:val="both"/>
        <w:rPr>
          <w:b w:val="0"/>
          <w:bCs w:val="0"/>
          <w:caps w:val="0"/>
          <w:lang w:val="es-UY"/>
        </w:rPr>
      </w:pPr>
      <w:r w:rsidRPr="000A44B2">
        <w:rPr>
          <w:b w:val="0"/>
          <w:lang w:val="es-UY"/>
        </w:rPr>
        <w:t>6.</w:t>
      </w:r>
      <w:r w:rsidRPr="000A44B2">
        <w:rPr>
          <w:b w:val="0"/>
          <w:lang w:val="es-UY"/>
        </w:rPr>
        <w:tab/>
      </w:r>
      <w:r w:rsidRPr="000A44B2">
        <w:rPr>
          <w:b w:val="0"/>
          <w:i/>
          <w:iCs/>
          <w:lang w:val="es-UY"/>
        </w:rPr>
        <w:t>r</w:t>
      </w:r>
      <w:r w:rsidRPr="000A44B2">
        <w:rPr>
          <w:b w:val="0"/>
          <w:bCs w:val="0"/>
          <w:i/>
          <w:iCs/>
          <w:caps w:val="0"/>
          <w:lang w:val="es-UY"/>
        </w:rPr>
        <w:t>ecuerda</w:t>
      </w:r>
      <w:r w:rsidRPr="000A44B2">
        <w:rPr>
          <w:b w:val="0"/>
          <w:bCs w:val="0"/>
          <w:caps w:val="0"/>
          <w:lang w:val="es-UY"/>
        </w:rPr>
        <w:t xml:space="preserve"> a las </w:t>
      </w:r>
      <w:r w:rsidR="00AD1A9A" w:rsidRPr="000A44B2">
        <w:rPr>
          <w:b w:val="0"/>
          <w:bCs w:val="0"/>
          <w:caps w:val="0"/>
          <w:lang w:val="es-UY"/>
        </w:rPr>
        <w:t>P</w:t>
      </w:r>
      <w:r w:rsidRPr="000A44B2">
        <w:rPr>
          <w:b w:val="0"/>
          <w:bCs w:val="0"/>
          <w:caps w:val="0"/>
          <w:lang w:val="es-UY"/>
        </w:rPr>
        <w:t>artes en el Protocolo Suplementario de Nagoya</w:t>
      </w:r>
      <w:r w:rsidR="008A0ED9">
        <w:rPr>
          <w:b w:val="0"/>
          <w:bCs w:val="0"/>
          <w:iCs/>
          <w:caps w:val="0"/>
        </w:rPr>
        <w:t>-</w:t>
      </w:r>
      <w:r w:rsidRPr="000A44B2">
        <w:rPr>
          <w:b w:val="0"/>
          <w:bCs w:val="0"/>
          <w:caps w:val="0"/>
          <w:lang w:val="es-UY"/>
        </w:rPr>
        <w:t>Kuala Lumpur sobre Responsabilidad y Compensación que designen una autoridad competente para desempeñar las funciones establecidas en el artículo</w:t>
      </w:r>
      <w:r w:rsidR="00AD1A9A" w:rsidRPr="000A44B2">
        <w:rPr>
          <w:b w:val="0"/>
          <w:bCs w:val="0"/>
          <w:caps w:val="0"/>
          <w:lang w:val="es-UY"/>
        </w:rPr>
        <w:t> </w:t>
      </w:r>
      <w:r w:rsidRPr="000A44B2">
        <w:rPr>
          <w:b w:val="0"/>
          <w:bCs w:val="0"/>
          <w:caps w:val="0"/>
          <w:lang w:val="es-UY"/>
        </w:rPr>
        <w:t>5 del Protocolo Suplementario y que publiquen información sobre estas autoridades competentes utilizando el f</w:t>
      </w:r>
      <w:r w:rsidR="00AD1A9A" w:rsidRPr="000A44B2">
        <w:rPr>
          <w:b w:val="0"/>
          <w:bCs w:val="0"/>
          <w:caps w:val="0"/>
          <w:lang w:val="es-UY"/>
        </w:rPr>
        <w:t>ormato común disponible para es</w:t>
      </w:r>
      <w:r w:rsidRPr="000A44B2">
        <w:rPr>
          <w:b w:val="0"/>
          <w:bCs w:val="0"/>
          <w:caps w:val="0"/>
          <w:lang w:val="es-UY"/>
        </w:rPr>
        <w:t>e fin en el Centro de Intercambio de Información sobre Seguridad de la Biotecnología;</w:t>
      </w:r>
    </w:p>
    <w:p w:rsidR="000B550F" w:rsidRPr="000A44B2" w:rsidRDefault="000B550F" w:rsidP="000B550F">
      <w:pPr>
        <w:shd w:val="clear" w:color="auto" w:fill="FFFFFF" w:themeFill="background1"/>
        <w:spacing w:before="120"/>
        <w:ind w:firstLine="720"/>
        <w:rPr>
          <w:lang w:val="es-UY"/>
        </w:rPr>
      </w:pPr>
      <w:r w:rsidRPr="000A44B2">
        <w:rPr>
          <w:lang w:val="es-UY"/>
        </w:rPr>
        <w:t>7.</w:t>
      </w:r>
      <w:r w:rsidRPr="000A44B2">
        <w:rPr>
          <w:lang w:val="es-UY"/>
        </w:rPr>
        <w:tab/>
      </w:r>
      <w:r w:rsidRPr="000A44B2">
        <w:rPr>
          <w:i/>
          <w:lang w:val="es-UY"/>
        </w:rPr>
        <w:t>Acoge con satisfacción</w:t>
      </w:r>
      <w:r w:rsidRPr="000A44B2">
        <w:rPr>
          <w:lang w:val="es-UY"/>
        </w:rPr>
        <w:t xml:space="preserve"> el estudio sobre los mecanismos de garantía financiera (artículo</w:t>
      </w:r>
      <w:r w:rsidR="00AD1A9A" w:rsidRPr="000A44B2">
        <w:rPr>
          <w:lang w:val="es-UY"/>
        </w:rPr>
        <w:t> </w:t>
      </w:r>
      <w:r w:rsidRPr="000A44B2">
        <w:rPr>
          <w:lang w:val="es-UY"/>
        </w:rPr>
        <w:t>10 del Protocolo Suplementario de Nagoya</w:t>
      </w:r>
      <w:r w:rsidR="008A0ED9">
        <w:rPr>
          <w:iCs/>
        </w:rPr>
        <w:t>-</w:t>
      </w:r>
      <w:r w:rsidRPr="000A44B2">
        <w:rPr>
          <w:lang w:val="es-UY"/>
        </w:rPr>
        <w:t>Kuala Lumpur)</w:t>
      </w:r>
      <w:r w:rsidRPr="000A44B2">
        <w:rPr>
          <w:rStyle w:val="FootnoteReference"/>
          <w:kern w:val="22"/>
          <w:sz w:val="20"/>
          <w:szCs w:val="20"/>
          <w:lang w:val="es-UY"/>
        </w:rPr>
        <w:footnoteReference w:id="4"/>
      </w:r>
      <w:r w:rsidRPr="000A44B2">
        <w:rPr>
          <w:lang w:val="es-UY"/>
        </w:rPr>
        <w:t>;</w:t>
      </w:r>
    </w:p>
    <w:p w:rsidR="000B550F" w:rsidRPr="000A44B2" w:rsidRDefault="000B550F" w:rsidP="000B550F">
      <w:pPr>
        <w:shd w:val="clear" w:color="auto" w:fill="FFFFFF" w:themeFill="background1"/>
        <w:spacing w:before="120"/>
        <w:ind w:firstLine="720"/>
        <w:rPr>
          <w:iCs/>
          <w:lang w:val="es-UY"/>
        </w:rPr>
      </w:pPr>
      <w:r w:rsidRPr="000A44B2">
        <w:rPr>
          <w:lang w:val="es-UY"/>
        </w:rPr>
        <w:t>8.</w:t>
      </w:r>
      <w:r w:rsidRPr="000A44B2">
        <w:rPr>
          <w:lang w:val="es-UY"/>
        </w:rPr>
        <w:tab/>
      </w:r>
      <w:r w:rsidRPr="000A44B2">
        <w:rPr>
          <w:i/>
          <w:iCs/>
          <w:lang w:val="es-UY"/>
        </w:rPr>
        <w:t>Recuerda</w:t>
      </w:r>
      <w:r w:rsidRPr="000A44B2">
        <w:rPr>
          <w:lang w:val="es-UY"/>
        </w:rPr>
        <w:t xml:space="preserve"> a las Partes en el Protocolo Suplementario de Nagoya</w:t>
      </w:r>
      <w:r w:rsidR="008A0ED9">
        <w:rPr>
          <w:iCs/>
        </w:rPr>
        <w:t>-</w:t>
      </w:r>
      <w:r w:rsidRPr="000A44B2">
        <w:rPr>
          <w:lang w:val="es-UY"/>
        </w:rPr>
        <w:t xml:space="preserve">Kuala Lumpur sobre Responsabilidad y Compensación el principio de que quien contamina paga, y las </w:t>
      </w:r>
      <w:r w:rsidRPr="000A44B2">
        <w:rPr>
          <w:i/>
          <w:iCs/>
          <w:lang w:val="es-UY"/>
        </w:rPr>
        <w:t>alienta</w:t>
      </w:r>
      <w:r w:rsidRPr="000A44B2">
        <w:rPr>
          <w:lang w:val="es-UY"/>
        </w:rPr>
        <w:t xml:space="preserve"> a tomar en cuenta este principio, según proceda, al seguir desarrollando mecanismos de garantía financiera;</w:t>
      </w:r>
    </w:p>
    <w:p w:rsidR="000B550F" w:rsidRPr="000A44B2" w:rsidRDefault="000B550F" w:rsidP="000B550F">
      <w:pPr>
        <w:shd w:val="clear" w:color="auto" w:fill="FFFFFF" w:themeFill="background1"/>
        <w:spacing w:before="120" w:after="120"/>
        <w:ind w:firstLine="720"/>
        <w:rPr>
          <w:i/>
          <w:lang w:val="es-UY"/>
        </w:rPr>
      </w:pPr>
      <w:r w:rsidRPr="000A44B2">
        <w:rPr>
          <w:lang w:val="es-UY"/>
        </w:rPr>
        <w:t>9.</w:t>
      </w:r>
      <w:r w:rsidRPr="000A44B2">
        <w:rPr>
          <w:lang w:val="es-UY"/>
        </w:rPr>
        <w:tab/>
      </w:r>
      <w:r w:rsidRPr="000A44B2">
        <w:rPr>
          <w:i/>
          <w:iCs/>
          <w:lang w:val="es-UY"/>
        </w:rPr>
        <w:t>Pide</w:t>
      </w:r>
      <w:r w:rsidRPr="000A44B2">
        <w:rPr>
          <w:lang w:val="es-UY"/>
        </w:rPr>
        <w:t xml:space="preserve"> a las Partes en el Protocolo Suplementario e </w:t>
      </w:r>
      <w:r w:rsidRPr="000A44B2">
        <w:rPr>
          <w:i/>
          <w:iCs/>
          <w:lang w:val="es-UY"/>
        </w:rPr>
        <w:t>invita</w:t>
      </w:r>
      <w:r w:rsidRPr="000A44B2">
        <w:rPr>
          <w:lang w:val="es-UY"/>
        </w:rPr>
        <w:t xml:space="preserve"> a otros Gobiernos a que proporcionen información a la Secretaria Ejecutiva sobre las medidas que </w:t>
      </w:r>
      <w:r w:rsidR="00AD1A9A" w:rsidRPr="000A44B2">
        <w:rPr>
          <w:lang w:val="es-UY"/>
        </w:rPr>
        <w:t>hayan</w:t>
      </w:r>
      <w:r w:rsidRPr="000A44B2">
        <w:rPr>
          <w:lang w:val="es-UY"/>
        </w:rPr>
        <w:t xml:space="preserve"> establecid</w:t>
      </w:r>
      <w:r w:rsidR="00AD1A9A" w:rsidRPr="000A44B2">
        <w:rPr>
          <w:lang w:val="es-UY"/>
        </w:rPr>
        <w:t>o</w:t>
      </w:r>
      <w:r w:rsidRPr="000A44B2">
        <w:rPr>
          <w:lang w:val="es-UY"/>
        </w:rPr>
        <w:t xml:space="preserve"> para brindar garantías financieras en casos de daños provocados por organismos vivos </w:t>
      </w:r>
      <w:r w:rsidR="00D71330" w:rsidRPr="000A44B2">
        <w:rPr>
          <w:lang w:val="es-UY"/>
        </w:rPr>
        <w:t>modificados</w:t>
      </w:r>
      <w:r w:rsidRPr="000A44B2">
        <w:rPr>
          <w:lang w:val="es-UY"/>
        </w:rPr>
        <w:t>, en particular cuando hayan informado en s</w:t>
      </w:r>
      <w:r w:rsidR="00AD1A9A" w:rsidRPr="000A44B2">
        <w:rPr>
          <w:lang w:val="es-UY"/>
        </w:rPr>
        <w:t>us cuartos informes nacionales que contaban con tales medidas;</w:t>
      </w:r>
    </w:p>
    <w:p w:rsidR="000B550F" w:rsidRPr="000A44B2" w:rsidRDefault="000B550F" w:rsidP="000B550F">
      <w:pPr>
        <w:shd w:val="clear" w:color="auto" w:fill="FFFFFF" w:themeFill="background1"/>
        <w:spacing w:before="120" w:after="120"/>
        <w:ind w:firstLine="720"/>
        <w:rPr>
          <w:i/>
          <w:lang w:val="es-UY"/>
        </w:rPr>
      </w:pPr>
      <w:r w:rsidRPr="000A44B2">
        <w:rPr>
          <w:lang w:val="es-UY"/>
        </w:rPr>
        <w:t>10.</w:t>
      </w:r>
      <w:r w:rsidRPr="000A44B2">
        <w:rPr>
          <w:lang w:val="es-UY"/>
        </w:rPr>
        <w:tab/>
      </w:r>
      <w:r w:rsidRPr="000A44B2">
        <w:rPr>
          <w:i/>
          <w:lang w:val="es-UY"/>
        </w:rPr>
        <w:t>Pide</w:t>
      </w:r>
      <w:r w:rsidRPr="000A44B2">
        <w:rPr>
          <w:lang w:val="es-UY"/>
        </w:rPr>
        <w:t xml:space="preserve"> a la Secretaria Ejecutiva que recopile la información presentada con </w:t>
      </w:r>
      <w:r w:rsidR="00AD1A9A" w:rsidRPr="000A44B2">
        <w:rPr>
          <w:lang w:val="es-UY"/>
        </w:rPr>
        <w:t>arr</w:t>
      </w:r>
      <w:r w:rsidRPr="000A44B2">
        <w:rPr>
          <w:lang w:val="es-UY"/>
        </w:rPr>
        <w:t>e</w:t>
      </w:r>
      <w:r w:rsidR="00AD1A9A" w:rsidRPr="000A44B2">
        <w:rPr>
          <w:lang w:val="es-UY"/>
        </w:rPr>
        <w:t>glo a</w:t>
      </w:r>
      <w:r w:rsidRPr="000A44B2">
        <w:rPr>
          <w:lang w:val="es-UY"/>
        </w:rPr>
        <w:t>l párrafo</w:t>
      </w:r>
      <w:r w:rsidR="00AD1A9A" w:rsidRPr="000A44B2">
        <w:rPr>
          <w:lang w:val="es-UY"/>
        </w:rPr>
        <w:t> </w:t>
      </w:r>
      <w:r w:rsidR="003C5BBB">
        <w:rPr>
          <w:lang w:val="es-UY"/>
        </w:rPr>
        <w:t>9</w:t>
      </w:r>
      <w:r w:rsidRPr="000A44B2">
        <w:rPr>
          <w:lang w:val="es-UY"/>
        </w:rPr>
        <w:t xml:space="preserve"> y la presente para su examen por la Conferencia de las Partes que actúa como reunión de las Partes en el Protocolo en su 11ª reunión;</w:t>
      </w:r>
    </w:p>
    <w:p w:rsidR="000B550F" w:rsidRPr="000A44B2" w:rsidRDefault="000B550F" w:rsidP="000B550F">
      <w:pPr>
        <w:shd w:val="clear" w:color="auto" w:fill="FFFFFF" w:themeFill="background1"/>
        <w:spacing w:before="120" w:after="120"/>
        <w:ind w:firstLine="720"/>
        <w:rPr>
          <w:iCs/>
          <w:lang w:val="es-UY"/>
        </w:rPr>
      </w:pPr>
      <w:r w:rsidRPr="000A44B2">
        <w:rPr>
          <w:lang w:val="es-UY"/>
        </w:rPr>
        <w:t>11.</w:t>
      </w:r>
      <w:r w:rsidRPr="000A44B2">
        <w:rPr>
          <w:lang w:val="es-UY"/>
        </w:rPr>
        <w:tab/>
      </w:r>
      <w:r w:rsidRPr="000A44B2">
        <w:rPr>
          <w:i/>
          <w:lang w:val="es-UY"/>
        </w:rPr>
        <w:t xml:space="preserve">Acoge con </w:t>
      </w:r>
      <w:r w:rsidR="00AD1A9A" w:rsidRPr="000A44B2">
        <w:rPr>
          <w:i/>
          <w:lang w:val="es-UY"/>
        </w:rPr>
        <w:t>satisfacción</w:t>
      </w:r>
      <w:r w:rsidRPr="000A44B2">
        <w:rPr>
          <w:lang w:val="es-UY"/>
        </w:rPr>
        <w:t xml:space="preserve"> la inclusión de preguntas sobre el Protocolo Suplementario en el formato para el quinto informe nacional</w:t>
      </w:r>
      <w:r w:rsidR="000848DF" w:rsidRPr="00007E2D">
        <w:rPr>
          <w:iCs/>
          <w:vertAlign w:val="superscript"/>
        </w:rPr>
        <w:footnoteReference w:id="5"/>
      </w:r>
      <w:r w:rsidRPr="000A44B2">
        <w:rPr>
          <w:lang w:val="es-UY"/>
        </w:rPr>
        <w:t xml:space="preserve"> y </w:t>
      </w:r>
      <w:r w:rsidRPr="000A44B2">
        <w:rPr>
          <w:i/>
          <w:lang w:val="es-UY"/>
        </w:rPr>
        <w:t>pide</w:t>
      </w:r>
      <w:r w:rsidRPr="000A44B2">
        <w:rPr>
          <w:lang w:val="es-UY"/>
        </w:rPr>
        <w:t xml:space="preserve"> a las Partes en el Protocolo Suplementario </w:t>
      </w:r>
      <w:r w:rsidR="008E1EDC" w:rsidRPr="000A44B2">
        <w:rPr>
          <w:lang w:val="es-UY"/>
        </w:rPr>
        <w:t xml:space="preserve">que respondan </w:t>
      </w:r>
      <w:r w:rsidRPr="000A44B2">
        <w:rPr>
          <w:lang w:val="es-UY"/>
        </w:rPr>
        <w:t xml:space="preserve">e </w:t>
      </w:r>
      <w:r w:rsidRPr="000A44B2">
        <w:rPr>
          <w:i/>
          <w:lang w:val="es-UY"/>
        </w:rPr>
        <w:t>invita</w:t>
      </w:r>
      <w:r w:rsidRPr="000A44B2">
        <w:rPr>
          <w:lang w:val="es-UY"/>
        </w:rPr>
        <w:t xml:space="preserve"> a otros Gobiernos a responder estas preguntas;</w:t>
      </w:r>
    </w:p>
    <w:p w:rsidR="002D7597" w:rsidRPr="000A44B2" w:rsidRDefault="000B550F" w:rsidP="000B550F">
      <w:pPr>
        <w:shd w:val="clear" w:color="auto" w:fill="FFFFFF" w:themeFill="background1"/>
        <w:spacing w:before="120" w:after="120"/>
        <w:ind w:firstLine="720"/>
        <w:rPr>
          <w:rFonts w:asciiTheme="majorBidi" w:hAnsiTheme="majorBidi" w:cstheme="majorBidi"/>
          <w:b/>
          <w:bCs/>
          <w:snapToGrid w:val="0"/>
          <w:kern w:val="22"/>
          <w:lang w:val="es-UY"/>
        </w:rPr>
      </w:pPr>
      <w:r w:rsidRPr="000A44B2">
        <w:rPr>
          <w:lang w:val="es-UY"/>
        </w:rPr>
        <w:t>12.</w:t>
      </w:r>
      <w:r w:rsidRPr="000A44B2">
        <w:rPr>
          <w:lang w:val="es-UY"/>
        </w:rPr>
        <w:tab/>
      </w:r>
      <w:r w:rsidRPr="000A44B2">
        <w:rPr>
          <w:i/>
          <w:lang w:val="es-UY"/>
        </w:rPr>
        <w:t>Recuerda</w:t>
      </w:r>
      <w:r w:rsidRPr="000A44B2">
        <w:rPr>
          <w:lang w:val="es-UY"/>
        </w:rPr>
        <w:t xml:space="preserve"> el artículo</w:t>
      </w:r>
      <w:r w:rsidR="008E1EDC" w:rsidRPr="000A44B2">
        <w:rPr>
          <w:lang w:val="es-UY"/>
        </w:rPr>
        <w:t> </w:t>
      </w:r>
      <w:r w:rsidRPr="000A44B2">
        <w:rPr>
          <w:lang w:val="es-UY"/>
        </w:rPr>
        <w:t>13 del Protocolo Suplementario de Nagoya</w:t>
      </w:r>
      <w:r w:rsidR="008A0ED9">
        <w:rPr>
          <w:iCs/>
        </w:rPr>
        <w:t>-</w:t>
      </w:r>
      <w:bookmarkStart w:id="1" w:name="_GoBack"/>
      <w:bookmarkEnd w:id="1"/>
      <w:r w:rsidRPr="000A44B2">
        <w:rPr>
          <w:lang w:val="es-UY"/>
        </w:rPr>
        <w:t xml:space="preserve">Kuala Lumpur sobre Responsabilidad y Compensación y </w:t>
      </w:r>
      <w:r w:rsidRPr="000A44B2">
        <w:rPr>
          <w:i/>
          <w:lang w:val="es-UY"/>
        </w:rPr>
        <w:t>decide</w:t>
      </w:r>
      <w:r w:rsidRPr="000A44B2">
        <w:rPr>
          <w:lang w:val="es-UY"/>
        </w:rPr>
        <w:t xml:space="preserve"> que la primera evaluación y revisión de la eficacia del Protocolo Suplementario se realizará en el contexto de la quinta evaluación y revisión de la eficacia del Protocolo de Cartagena.</w:t>
      </w:r>
    </w:p>
    <w:p w:rsidR="00C9161D" w:rsidRPr="000A44B2" w:rsidRDefault="00C9161D" w:rsidP="00C9161D">
      <w:pPr>
        <w:jc w:val="center"/>
        <w:rPr>
          <w:lang w:val="es-UY"/>
        </w:rPr>
      </w:pPr>
      <w:r w:rsidRPr="000A44B2">
        <w:rPr>
          <w:lang w:val="es-UY"/>
        </w:rPr>
        <w:t>______</w:t>
      </w:r>
    </w:p>
    <w:p w:rsidR="00B3369F" w:rsidRPr="000A44B2" w:rsidRDefault="00B3369F" w:rsidP="00C9161D">
      <w:pPr>
        <w:rPr>
          <w:lang w:val="es-UY"/>
        </w:rPr>
      </w:pPr>
    </w:p>
    <w:sectPr w:rsidR="00B3369F" w:rsidRPr="000A44B2" w:rsidSect="00FB5618">
      <w:headerReference w:type="even" r:id="rId15"/>
      <w:headerReference w:type="defaul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AA6" w:rsidRDefault="00402AA6" w:rsidP="00CF1848">
      <w:r>
        <w:separator/>
      </w:r>
    </w:p>
  </w:endnote>
  <w:endnote w:type="continuationSeparator" w:id="0">
    <w:p w:rsidR="00402AA6" w:rsidRDefault="00402AA6"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AA6" w:rsidRDefault="00402AA6" w:rsidP="00CF1848">
      <w:r>
        <w:separator/>
      </w:r>
    </w:p>
  </w:footnote>
  <w:footnote w:type="continuationSeparator" w:id="0">
    <w:p w:rsidR="00402AA6" w:rsidRDefault="00402AA6" w:rsidP="00CF1848">
      <w:r>
        <w:continuationSeparator/>
      </w:r>
    </w:p>
  </w:footnote>
  <w:footnote w:id="1">
    <w:p w:rsidR="000B550F" w:rsidRPr="005701EC" w:rsidRDefault="000B550F" w:rsidP="00AD1A9A">
      <w:pPr>
        <w:pStyle w:val="FootnoteText"/>
        <w:suppressLineNumbers/>
        <w:suppressAutoHyphens/>
        <w:spacing w:before="60"/>
        <w:ind w:firstLine="0"/>
        <w:rPr>
          <w:szCs w:val="18"/>
          <w:lang w:val="es-UY"/>
        </w:rPr>
      </w:pPr>
      <w:r w:rsidRPr="005701EC">
        <w:rPr>
          <w:rStyle w:val="FootnoteReference"/>
          <w:kern w:val="22"/>
          <w:sz w:val="20"/>
          <w:szCs w:val="20"/>
          <w:lang w:val="es-UY"/>
        </w:rPr>
        <w:footnoteRef/>
      </w:r>
      <w:r w:rsidRPr="005701EC">
        <w:rPr>
          <w:lang w:val="es-UY"/>
        </w:rPr>
        <w:t xml:space="preserve"> De conformidad con el párrafo 1 del artículo 14 del Protocolo Suplementario y con sujeción a lo estipulado en el párrafo 2 del artículo 32 del Convenio, la Conferencia de las Partes que actúa como reunión de las Partes en el Protocolo actuará como reunión de las Partes en el Protocolo Suplementario. Por consiguiente, la presente decisión ha sido adoptada por las Partes en el Protocolo Suplementario.</w:t>
      </w:r>
    </w:p>
  </w:footnote>
  <w:footnote w:id="2">
    <w:p w:rsidR="007575D0" w:rsidRPr="005701EC" w:rsidRDefault="007575D0" w:rsidP="007575D0">
      <w:pPr>
        <w:pStyle w:val="FootnoteText"/>
        <w:ind w:firstLine="0"/>
        <w:rPr>
          <w:szCs w:val="18"/>
          <w:lang w:val="es-UY"/>
        </w:rPr>
      </w:pPr>
      <w:r w:rsidRPr="005701EC">
        <w:rPr>
          <w:rStyle w:val="FootnoteReference"/>
          <w:sz w:val="18"/>
          <w:szCs w:val="18"/>
          <w:lang w:val="es-UY"/>
        </w:rPr>
        <w:footnoteRef/>
      </w:r>
      <w:r w:rsidRPr="005701EC">
        <w:rPr>
          <w:szCs w:val="18"/>
          <w:lang w:val="es-UY"/>
        </w:rPr>
        <w:t xml:space="preserve"> </w:t>
      </w:r>
      <w:r w:rsidR="00426572">
        <w:rPr>
          <w:szCs w:val="18"/>
          <w:lang w:val="es-UY"/>
        </w:rPr>
        <w:t>Anexo de la d</w:t>
      </w:r>
      <w:r w:rsidR="000848DF" w:rsidRPr="005701EC">
        <w:rPr>
          <w:szCs w:val="18"/>
          <w:lang w:val="es-UY"/>
        </w:rPr>
        <w:t>ecisión</w:t>
      </w:r>
      <w:r w:rsidRPr="005701EC">
        <w:rPr>
          <w:szCs w:val="18"/>
          <w:lang w:val="es-UY"/>
        </w:rPr>
        <w:t xml:space="preserve"> CP-10/3.</w:t>
      </w:r>
    </w:p>
  </w:footnote>
  <w:footnote w:id="3">
    <w:p w:rsidR="00851F97" w:rsidRPr="005701EC" w:rsidRDefault="00851F97" w:rsidP="00851F97">
      <w:pPr>
        <w:pStyle w:val="FootnoteText"/>
        <w:ind w:firstLine="0"/>
        <w:rPr>
          <w:szCs w:val="18"/>
          <w:lang w:val="es-UY"/>
        </w:rPr>
      </w:pPr>
      <w:r w:rsidRPr="005701EC">
        <w:rPr>
          <w:rStyle w:val="FootnoteReference"/>
          <w:sz w:val="18"/>
          <w:szCs w:val="18"/>
          <w:lang w:val="es-UY"/>
        </w:rPr>
        <w:footnoteRef/>
      </w:r>
      <w:r w:rsidRPr="005701EC">
        <w:rPr>
          <w:szCs w:val="18"/>
          <w:lang w:val="es-UY"/>
        </w:rPr>
        <w:t xml:space="preserve"> </w:t>
      </w:r>
      <w:r w:rsidR="00426572">
        <w:rPr>
          <w:szCs w:val="18"/>
          <w:lang w:val="es-UY"/>
        </w:rPr>
        <w:t>Anexo de la d</w:t>
      </w:r>
      <w:r w:rsidR="000848DF" w:rsidRPr="005701EC">
        <w:rPr>
          <w:szCs w:val="18"/>
          <w:lang w:val="es-UY"/>
        </w:rPr>
        <w:t>ecisión</w:t>
      </w:r>
      <w:r w:rsidRPr="005701EC">
        <w:rPr>
          <w:szCs w:val="18"/>
          <w:lang w:val="es-UY"/>
        </w:rPr>
        <w:t xml:space="preserve"> CP-10/4.</w:t>
      </w:r>
    </w:p>
  </w:footnote>
  <w:footnote w:id="4">
    <w:p w:rsidR="000B550F" w:rsidRPr="005701EC" w:rsidRDefault="000B550F" w:rsidP="00AD1A9A">
      <w:pPr>
        <w:pStyle w:val="FootnoteText"/>
        <w:spacing w:before="60"/>
        <w:ind w:firstLine="0"/>
        <w:rPr>
          <w:lang w:val="es-UY"/>
        </w:rPr>
      </w:pPr>
      <w:r w:rsidRPr="005701EC">
        <w:rPr>
          <w:rStyle w:val="FootnoteReference"/>
          <w:kern w:val="22"/>
          <w:sz w:val="20"/>
          <w:szCs w:val="20"/>
          <w:lang w:val="es-UY"/>
        </w:rPr>
        <w:footnoteRef/>
      </w:r>
      <w:r w:rsidRPr="005701EC">
        <w:rPr>
          <w:rStyle w:val="FootnoteReference"/>
          <w:sz w:val="20"/>
          <w:lang w:val="es-UY"/>
        </w:rPr>
        <w:t xml:space="preserve"> </w:t>
      </w:r>
      <w:r w:rsidRPr="005701EC">
        <w:rPr>
          <w:lang w:val="es-UY"/>
        </w:rPr>
        <w:t xml:space="preserve">Disponible en el documento </w:t>
      </w:r>
      <w:proofErr w:type="spellStart"/>
      <w:r w:rsidRPr="008878DE">
        <w:rPr>
          <w:lang w:val="es-UY"/>
        </w:rPr>
        <w:t>CBD</w:t>
      </w:r>
      <w:proofErr w:type="spellEnd"/>
      <w:r w:rsidRPr="008878DE">
        <w:rPr>
          <w:lang w:val="es-UY"/>
        </w:rPr>
        <w:t>/</w:t>
      </w:r>
      <w:proofErr w:type="spellStart"/>
      <w:r w:rsidRPr="008878DE">
        <w:rPr>
          <w:lang w:val="es-UY"/>
        </w:rPr>
        <w:t>CP</w:t>
      </w:r>
      <w:proofErr w:type="spellEnd"/>
      <w:r w:rsidRPr="008878DE">
        <w:rPr>
          <w:lang w:val="es-UY"/>
        </w:rPr>
        <w:t>/</w:t>
      </w:r>
      <w:proofErr w:type="spellStart"/>
      <w:r w:rsidRPr="008878DE">
        <w:rPr>
          <w:lang w:val="es-UY"/>
        </w:rPr>
        <w:t>MOP</w:t>
      </w:r>
      <w:proofErr w:type="spellEnd"/>
      <w:r w:rsidRPr="008878DE">
        <w:rPr>
          <w:lang w:val="es-UY"/>
        </w:rPr>
        <w:t>/10/</w:t>
      </w:r>
      <w:proofErr w:type="spellStart"/>
      <w:r w:rsidRPr="008878DE">
        <w:rPr>
          <w:lang w:val="es-UY"/>
        </w:rPr>
        <w:t>INF</w:t>
      </w:r>
      <w:proofErr w:type="spellEnd"/>
      <w:r w:rsidRPr="008878DE">
        <w:rPr>
          <w:lang w:val="es-UY"/>
        </w:rPr>
        <w:t>/1</w:t>
      </w:r>
      <w:r w:rsidRPr="005701EC">
        <w:rPr>
          <w:lang w:val="es-UY"/>
        </w:rPr>
        <w:t xml:space="preserve">. El resumen del estudio se encuentra disponible en los seis idiomas oficiales de las Naciones Unidas en el anexo del documento </w:t>
      </w:r>
      <w:proofErr w:type="spellStart"/>
      <w:r w:rsidRPr="005701EC">
        <w:rPr>
          <w:lang w:val="es-UY"/>
        </w:rPr>
        <w:t>CBD</w:t>
      </w:r>
      <w:proofErr w:type="spellEnd"/>
      <w:r w:rsidRPr="005701EC">
        <w:rPr>
          <w:lang w:val="es-UY"/>
        </w:rPr>
        <w:t>/</w:t>
      </w:r>
      <w:proofErr w:type="spellStart"/>
      <w:r w:rsidRPr="005701EC">
        <w:rPr>
          <w:lang w:val="es-UY"/>
        </w:rPr>
        <w:t>CP</w:t>
      </w:r>
      <w:proofErr w:type="spellEnd"/>
      <w:r w:rsidRPr="005701EC">
        <w:rPr>
          <w:lang w:val="es-UY"/>
        </w:rPr>
        <w:t>/</w:t>
      </w:r>
      <w:proofErr w:type="spellStart"/>
      <w:r w:rsidRPr="005701EC">
        <w:rPr>
          <w:lang w:val="es-UY"/>
        </w:rPr>
        <w:t>MOP</w:t>
      </w:r>
      <w:proofErr w:type="spellEnd"/>
      <w:r w:rsidRPr="005701EC">
        <w:rPr>
          <w:lang w:val="es-UY"/>
        </w:rPr>
        <w:t>/10/9.</w:t>
      </w:r>
    </w:p>
  </w:footnote>
  <w:footnote w:id="5">
    <w:p w:rsidR="000848DF" w:rsidRPr="005701EC" w:rsidRDefault="000848DF" w:rsidP="000848DF">
      <w:pPr>
        <w:pStyle w:val="FootnoteText"/>
        <w:ind w:firstLine="0"/>
        <w:rPr>
          <w:lang w:val="es-UY"/>
        </w:rPr>
      </w:pPr>
      <w:r w:rsidRPr="005701EC">
        <w:rPr>
          <w:rStyle w:val="FootnoteReference"/>
          <w:lang w:val="es-UY"/>
        </w:rPr>
        <w:footnoteRef/>
      </w:r>
      <w:r w:rsidRPr="005701EC">
        <w:rPr>
          <w:lang w:val="es-UY"/>
        </w:rPr>
        <w:t xml:space="preserve"> </w:t>
      </w:r>
      <w:r w:rsidR="00803306" w:rsidRPr="005701EC">
        <w:rPr>
          <w:lang w:val="es-UY"/>
        </w:rPr>
        <w:t>Véase la</w:t>
      </w:r>
      <w:r w:rsidRPr="005701EC">
        <w:rPr>
          <w:lang w:val="es-UY"/>
        </w:rPr>
        <w:t xml:space="preserve"> decisi</w:t>
      </w:r>
      <w:r w:rsidR="00803306" w:rsidRPr="005701EC">
        <w:rPr>
          <w:lang w:val="es-UY"/>
        </w:rPr>
        <w:t>ó</w:t>
      </w:r>
      <w:r w:rsidRPr="005701EC">
        <w:rPr>
          <w:lang w:val="es-UY"/>
        </w:rPr>
        <w:t>n CP-10/9.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pt-B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534681" w:rsidRPr="008A2A3A" w:rsidRDefault="00615041" w:rsidP="00534681">
        <w:pPr>
          <w:pStyle w:val="Header"/>
          <w:rPr>
            <w:lang w:val="pt-BR"/>
          </w:rPr>
        </w:pPr>
        <w:r>
          <w:rPr>
            <w:lang w:val="pt-BR"/>
          </w:rPr>
          <w:t>CBD/CP/MOP/DEC/10/13</w:t>
        </w:r>
      </w:p>
    </w:sdtContent>
  </w:sdt>
  <w:p w:rsidR="00534681" w:rsidRPr="008A2A3A" w:rsidRDefault="00534681" w:rsidP="00534681">
    <w:pPr>
      <w:pStyle w:val="Header"/>
      <w:rPr>
        <w:lang w:val="pt-BR"/>
      </w:rPr>
    </w:pPr>
    <w:r w:rsidRPr="008A2A3A">
      <w:rPr>
        <w:lang w:val="pt-BR"/>
      </w:rPr>
      <w:t>P</w:t>
    </w:r>
    <w:r w:rsidR="000B550F" w:rsidRPr="008A2A3A">
      <w:rPr>
        <w:lang w:val="pt-BR"/>
      </w:rPr>
      <w:t>á</w:t>
    </w:r>
    <w:r w:rsidRPr="008A2A3A">
      <w:rPr>
        <w:lang w:val="pt-BR"/>
      </w:rPr>
      <w:t>g</w:t>
    </w:r>
    <w:r w:rsidR="000B550F" w:rsidRPr="008A2A3A">
      <w:rPr>
        <w:lang w:val="pt-BR"/>
      </w:rPr>
      <w:t>ina</w:t>
    </w:r>
    <w:r w:rsidRPr="008A2A3A">
      <w:rPr>
        <w:lang w:val="pt-BR"/>
      </w:rPr>
      <w:t xml:space="preserve"> </w:t>
    </w:r>
    <w:r w:rsidR="005F762C" w:rsidRPr="000B550F">
      <w:rPr>
        <w:lang w:val="es-ES"/>
      </w:rPr>
      <w:fldChar w:fldCharType="begin"/>
    </w:r>
    <w:r w:rsidRPr="008A2A3A">
      <w:rPr>
        <w:lang w:val="pt-BR"/>
      </w:rPr>
      <w:instrText xml:space="preserve"> PAGE   \* MERGEFORMAT </w:instrText>
    </w:r>
    <w:r w:rsidR="005F762C" w:rsidRPr="000B550F">
      <w:rPr>
        <w:lang w:val="es-ES"/>
      </w:rPr>
      <w:fldChar w:fldCharType="separate"/>
    </w:r>
    <w:r w:rsidR="008A0ED9">
      <w:rPr>
        <w:noProof/>
        <w:lang w:val="pt-BR"/>
      </w:rPr>
      <w:t>2</w:t>
    </w:r>
    <w:r w:rsidR="005F762C" w:rsidRPr="000B550F">
      <w:rPr>
        <w:lang w:val="es-ES"/>
      </w:rPr>
      <w:fldChar w:fldCharType="end"/>
    </w:r>
  </w:p>
  <w:p w:rsidR="00534681" w:rsidRPr="008A2A3A" w:rsidRDefault="00534681">
    <w:pPr>
      <w:pStyle w:val="Header"/>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9505C9" w:rsidRPr="00134846" w:rsidRDefault="00615041" w:rsidP="009505C9">
        <w:pPr>
          <w:pStyle w:val="Header"/>
          <w:jc w:val="right"/>
          <w:rPr>
            <w:lang w:val="fr-FR"/>
          </w:rPr>
        </w:pPr>
        <w:r>
          <w:rPr>
            <w:lang w:val="fr-FR"/>
          </w:rPr>
          <w:t>CBD/CP/MOP/DEC/10/13</w:t>
        </w:r>
      </w:p>
    </w:sdtContent>
  </w:sdt>
  <w:p w:rsidR="009505C9" w:rsidRPr="00134846" w:rsidRDefault="009505C9" w:rsidP="009505C9">
    <w:pPr>
      <w:pStyle w:val="Header"/>
      <w:jc w:val="right"/>
      <w:rPr>
        <w:lang w:val="fr-FR"/>
      </w:rPr>
    </w:pPr>
    <w:r w:rsidRPr="00134846">
      <w:rPr>
        <w:lang w:val="fr-FR"/>
      </w:rPr>
      <w:t xml:space="preserve">Page </w:t>
    </w:r>
    <w:r w:rsidR="005F762C">
      <w:fldChar w:fldCharType="begin"/>
    </w:r>
    <w:r w:rsidRPr="00134846">
      <w:rPr>
        <w:lang w:val="fr-FR"/>
      </w:rPr>
      <w:instrText xml:space="preserve"> PAGE   \* MERGEFORMAT </w:instrText>
    </w:r>
    <w:r w:rsidR="005F762C">
      <w:fldChar w:fldCharType="separate"/>
    </w:r>
    <w:r w:rsidR="00F6586C" w:rsidRPr="00134846">
      <w:rPr>
        <w:noProof/>
        <w:lang w:val="fr-FR"/>
      </w:rPr>
      <w:t>3</w:t>
    </w:r>
    <w:r w:rsidR="005F762C">
      <w:rPr>
        <w:noProof/>
      </w:rPr>
      <w:fldChar w:fldCharType="end"/>
    </w:r>
  </w:p>
  <w:p w:rsidR="009505C9" w:rsidRPr="00134846"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20A25"/>
    <w:rsid w:val="00027E8E"/>
    <w:rsid w:val="0007171B"/>
    <w:rsid w:val="000848DF"/>
    <w:rsid w:val="000A44B2"/>
    <w:rsid w:val="000B550F"/>
    <w:rsid w:val="000C64C2"/>
    <w:rsid w:val="000E673A"/>
    <w:rsid w:val="000F74F5"/>
    <w:rsid w:val="00105372"/>
    <w:rsid w:val="001312AD"/>
    <w:rsid w:val="00131928"/>
    <w:rsid w:val="00131E7A"/>
    <w:rsid w:val="00134846"/>
    <w:rsid w:val="00172AF6"/>
    <w:rsid w:val="00176CEE"/>
    <w:rsid w:val="00186DD8"/>
    <w:rsid w:val="001B13FE"/>
    <w:rsid w:val="00201591"/>
    <w:rsid w:val="00256499"/>
    <w:rsid w:val="002D7597"/>
    <w:rsid w:val="0030169D"/>
    <w:rsid w:val="003060EB"/>
    <w:rsid w:val="003153EB"/>
    <w:rsid w:val="00321985"/>
    <w:rsid w:val="00351205"/>
    <w:rsid w:val="00372F74"/>
    <w:rsid w:val="003B16C1"/>
    <w:rsid w:val="003B7BB2"/>
    <w:rsid w:val="003C5BBB"/>
    <w:rsid w:val="003F7224"/>
    <w:rsid w:val="00402AA6"/>
    <w:rsid w:val="00424BD8"/>
    <w:rsid w:val="00426572"/>
    <w:rsid w:val="00427D21"/>
    <w:rsid w:val="0046038D"/>
    <w:rsid w:val="004644C2"/>
    <w:rsid w:val="0046555F"/>
    <w:rsid w:val="00467F9C"/>
    <w:rsid w:val="00534681"/>
    <w:rsid w:val="00563442"/>
    <w:rsid w:val="00565B42"/>
    <w:rsid w:val="005701EC"/>
    <w:rsid w:val="005B4ADC"/>
    <w:rsid w:val="005C4CE6"/>
    <w:rsid w:val="005E0ED3"/>
    <w:rsid w:val="005F762C"/>
    <w:rsid w:val="006122BA"/>
    <w:rsid w:val="00615041"/>
    <w:rsid w:val="0063588C"/>
    <w:rsid w:val="00664067"/>
    <w:rsid w:val="006B2290"/>
    <w:rsid w:val="00717D88"/>
    <w:rsid w:val="007414D7"/>
    <w:rsid w:val="007552CE"/>
    <w:rsid w:val="007575D0"/>
    <w:rsid w:val="007740BA"/>
    <w:rsid w:val="00786056"/>
    <w:rsid w:val="007942D3"/>
    <w:rsid w:val="007B2099"/>
    <w:rsid w:val="007B6C09"/>
    <w:rsid w:val="007B7741"/>
    <w:rsid w:val="007E0146"/>
    <w:rsid w:val="007E09DA"/>
    <w:rsid w:val="00803306"/>
    <w:rsid w:val="008178B6"/>
    <w:rsid w:val="00851F97"/>
    <w:rsid w:val="00865B74"/>
    <w:rsid w:val="008878DE"/>
    <w:rsid w:val="008974F0"/>
    <w:rsid w:val="008A0ED9"/>
    <w:rsid w:val="008A2A3A"/>
    <w:rsid w:val="008B012A"/>
    <w:rsid w:val="008E1EDC"/>
    <w:rsid w:val="008F143F"/>
    <w:rsid w:val="00906E17"/>
    <w:rsid w:val="00930BA1"/>
    <w:rsid w:val="0093169E"/>
    <w:rsid w:val="00937130"/>
    <w:rsid w:val="009505C9"/>
    <w:rsid w:val="00950752"/>
    <w:rsid w:val="00966424"/>
    <w:rsid w:val="009C2DE6"/>
    <w:rsid w:val="00A1252A"/>
    <w:rsid w:val="00AA6F92"/>
    <w:rsid w:val="00AB6934"/>
    <w:rsid w:val="00AD1A9A"/>
    <w:rsid w:val="00AD7FFC"/>
    <w:rsid w:val="00AF42DE"/>
    <w:rsid w:val="00B26ACD"/>
    <w:rsid w:val="00B3369F"/>
    <w:rsid w:val="00B66AFC"/>
    <w:rsid w:val="00B94E6C"/>
    <w:rsid w:val="00BB4606"/>
    <w:rsid w:val="00BF11F9"/>
    <w:rsid w:val="00C23D2F"/>
    <w:rsid w:val="00C443BD"/>
    <w:rsid w:val="00C451C5"/>
    <w:rsid w:val="00C554E9"/>
    <w:rsid w:val="00C9161D"/>
    <w:rsid w:val="00CA0C1D"/>
    <w:rsid w:val="00CF1848"/>
    <w:rsid w:val="00D10531"/>
    <w:rsid w:val="00D12044"/>
    <w:rsid w:val="00D30264"/>
    <w:rsid w:val="00D33EFC"/>
    <w:rsid w:val="00D3734E"/>
    <w:rsid w:val="00D40DBC"/>
    <w:rsid w:val="00D67904"/>
    <w:rsid w:val="00D71330"/>
    <w:rsid w:val="00D76A18"/>
    <w:rsid w:val="00D80849"/>
    <w:rsid w:val="00D82E8F"/>
    <w:rsid w:val="00DD118C"/>
    <w:rsid w:val="00E66235"/>
    <w:rsid w:val="00E83C24"/>
    <w:rsid w:val="00E9318D"/>
    <w:rsid w:val="00EC1F46"/>
    <w:rsid w:val="00EE182C"/>
    <w:rsid w:val="00F420D5"/>
    <w:rsid w:val="00F53193"/>
    <w:rsid w:val="00F5357E"/>
    <w:rsid w:val="00F6586C"/>
    <w:rsid w:val="00F94774"/>
    <w:rsid w:val="00FA0E9A"/>
    <w:rsid w:val="00FA663B"/>
    <w:rsid w:val="00FB5618"/>
    <w:rsid w:val="00FC25F8"/>
    <w:rsid w:val="00FC490A"/>
    <w:rsid w:val="00FC53DB"/>
    <w:rsid w:val="00FE21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CDB5A1"/>
  <w15:docId w15:val="{06C01541-00A4-43C4-B939-69D93EB7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rsid w:val="002D7597"/>
    <w:pPr>
      <w:spacing w:before="120" w:after="160" w:line="240" w:lineRule="exact"/>
    </w:pPr>
    <w:rPr>
      <w:rFonts w:asciiTheme="minorHAnsi" w:eastAsiaTheme="minorEastAsia" w:hAnsiTheme="minorHAnsi" w:cstheme="minorBidi"/>
      <w:vertAlign w:val="superscript"/>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810A55"/>
    <w:rsid w:val="0016789F"/>
    <w:rsid w:val="0046422C"/>
    <w:rsid w:val="004760CF"/>
    <w:rsid w:val="004E092F"/>
    <w:rsid w:val="00500A2B"/>
    <w:rsid w:val="0058288D"/>
    <w:rsid w:val="00665C6B"/>
    <w:rsid w:val="006801B3"/>
    <w:rsid w:val="0075427D"/>
    <w:rsid w:val="007B330B"/>
    <w:rsid w:val="00810A55"/>
    <w:rsid w:val="008C6619"/>
    <w:rsid w:val="008D420E"/>
    <w:rsid w:val="0098642F"/>
    <w:rsid w:val="009D1146"/>
    <w:rsid w:val="00A44F2A"/>
    <w:rsid w:val="00A84074"/>
    <w:rsid w:val="00AB2BAB"/>
    <w:rsid w:val="00B27D2C"/>
    <w:rsid w:val="00C8104B"/>
    <w:rsid w:val="00CC289F"/>
    <w:rsid w:val="00D31D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0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5C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57B10B752F084BA8DB813B296FB27B" ma:contentTypeVersion="4" ma:contentTypeDescription="Create a new document." ma:contentTypeScope="" ma:versionID="a41c1625e0c5e3501ab261f418a31bef">
  <xsd:schema xmlns:xsd="http://www.w3.org/2001/XMLSchema" xmlns:xs="http://www.w3.org/2001/XMLSchema" xmlns:p="http://schemas.microsoft.com/office/2006/metadata/properties" xmlns:ns2="c81b4b69-2fdc-4c4e-909f-0c008d05f230" xmlns:ns3="a7dbe1ce-d728-48be-9ca1-bdc9cbbc93e0" targetNamespace="http://schemas.microsoft.com/office/2006/metadata/properties" ma:root="true" ma:fieldsID="55486cc2e8c49fd3df5b2f8bfa195cc0" ns2:_="" ns3:_="">
    <xsd:import namespace="c81b4b69-2fdc-4c4e-909f-0c008d05f230"/>
    <xsd:import namespace="a7dbe1ce-d728-48be-9ca1-bdc9cbbc93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b4b69-2fdc-4c4e-909f-0c008d05f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dbe1ce-d728-48be-9ca1-bdc9cbbc9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EC7F48-48CC-4622-B3A9-4D5F479A5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b4b69-2fdc-4c4e-909f-0c008d05f230"/>
    <ds:schemaRef ds:uri="a7dbe1ce-d728-48be-9ca1-bdc9cbbc9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AFBF37A-0587-44A5-8802-DCAB1EC7C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CP.10/13.   Protocolo Suplementario de Nagoya-Kuala Lumpur sobre Responsabilidad y Compensación</vt:lpstr>
    </vt:vector>
  </TitlesOfParts>
  <Company>SCBD</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CP-10/13.   Protocolo Suplementario de Nagoya-Kuala Lumpur sobre Responsabilidad y Compensación</dc:title>
  <dc:subject>CBD/CP/MOP/DEC/10/13</dc:subject>
  <dc:creator>SCBD</dc:creator>
  <cp:keywords>Conference of the Parties serving as the meeting of the parties to the Cartagena Protocol on Biosafety, tenth meeting</cp:keywords>
  <cp:lastModifiedBy>Rosario </cp:lastModifiedBy>
  <cp:revision>16</cp:revision>
  <cp:lastPrinted>2020-01-21T16:56:00Z</cp:lastPrinted>
  <dcterms:created xsi:type="dcterms:W3CDTF">2023-02-16T19:17:00Z</dcterms:created>
  <dcterms:modified xsi:type="dcterms:W3CDTF">2023-02-17T19:34:00Z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0x0101007757B10B752F084BA8DB813B296FB27B</vt:lpwstr>
  </property>
  <property fmtid="{D5CDD505-2E9C-101B-9397-08002B2CF9AE}" pid="3" name="MediaServiceImageTags">
    <vt:lpwstr/>
  </property>
</Properties>
</file>