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SimSun" w:hAnsi="SimSun" w:cs="SimSun"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SimSun" w:hAnsi="SimSun" w:cs="SimSun"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6C375F67" w14:textId="76392958" w:rsidR="001B20DE" w:rsidRPr="007B7E70" w:rsidRDefault="00DC40AF" w:rsidP="001B20DE">
            <w:pPr>
              <w:ind w:left="58"/>
              <w:rPr>
                <w:rFonts w:eastAsia="Times New Roman"/>
                <w:bCs/>
                <w:snapToGrid w:val="0"/>
                <w:kern w:val="22"/>
                <w:sz w:val="24"/>
              </w:rPr>
            </w:pPr>
            <w:r>
              <w:rPr>
                <w:rFonts w:eastAsia="Times New Roman"/>
                <w:bCs/>
                <w:snapToGrid w:val="0"/>
                <w:kern w:val="22"/>
                <w:sz w:val="24"/>
              </w:rPr>
              <w:t>GENERAL</w:t>
            </w:r>
          </w:p>
          <w:p w14:paraId="2353DC72" w14:textId="4D0EF9E7" w:rsidR="001B20DE" w:rsidRPr="007B7E70" w:rsidRDefault="00DC40AF" w:rsidP="001B20DE">
            <w:pPr>
              <w:spacing w:before="120"/>
              <w:ind w:left="58"/>
              <w:rPr>
                <w:rFonts w:eastAsia="Times New Roman"/>
                <w:snapToGrid w:val="0"/>
                <w:kern w:val="22"/>
                <w:sz w:val="24"/>
              </w:rPr>
            </w:pPr>
            <w:r w:rsidRPr="00DC40AF">
              <w:rPr>
                <w:rFonts w:eastAsia="Times New Roman"/>
                <w:snapToGrid w:val="0"/>
                <w:kern w:val="22"/>
                <w:sz w:val="24"/>
                <w:lang w:val="en-US"/>
              </w:rPr>
              <w:t>CBD/CP/MOP/DEC/10/</w:t>
            </w:r>
            <w:r>
              <w:rPr>
                <w:rFonts w:eastAsia="Times New Roman"/>
                <w:snapToGrid w:val="0"/>
                <w:kern w:val="22"/>
                <w:sz w:val="24"/>
                <w:lang w:val="en-US"/>
              </w:rPr>
              <w:t>12</w:t>
            </w:r>
          </w:p>
          <w:p w14:paraId="633CB5CA" w14:textId="5493D020" w:rsidR="001B20DE" w:rsidRPr="007B7E70" w:rsidRDefault="00E26916" w:rsidP="001B20DE">
            <w:pPr>
              <w:ind w:left="58"/>
              <w:rPr>
                <w:rFonts w:eastAsia="Times New Roman"/>
                <w:snapToGrid w:val="0"/>
                <w:kern w:val="22"/>
                <w:sz w:val="24"/>
              </w:rPr>
            </w:pPr>
            <w:r>
              <w:rPr>
                <w:rFonts w:eastAsia="Times New Roman"/>
                <w:kern w:val="22"/>
                <w:sz w:val="24"/>
              </w:rPr>
              <w:t>1</w:t>
            </w:r>
            <w:r w:rsidR="008B6009">
              <w:rPr>
                <w:rFonts w:eastAsia="Times New Roman"/>
                <w:kern w:val="22"/>
                <w:sz w:val="24"/>
              </w:rPr>
              <w:t>9</w:t>
            </w:r>
            <w:r w:rsidR="001B20DE" w:rsidRPr="007B7E70">
              <w:rPr>
                <w:rFonts w:eastAsia="Times New Roman"/>
                <w:kern w:val="22"/>
                <w:sz w:val="24"/>
              </w:rPr>
              <w:t xml:space="preserve"> </w:t>
            </w:r>
            <w:r w:rsidR="001B20DE" w:rsidRPr="007B7E70">
              <w:rPr>
                <w:kern w:val="22"/>
                <w:sz w:val="24"/>
                <w:lang w:eastAsia="zh-CN"/>
              </w:rPr>
              <w:t>D</w:t>
            </w:r>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 xml:space="preserve">er </w:t>
            </w:r>
            <w:r w:rsidR="001B20DE" w:rsidRPr="007B7E70">
              <w:rPr>
                <w:rFonts w:eastAsia="Times New Roman"/>
                <w:snapToGrid w:val="0"/>
                <w:kern w:val="22"/>
                <w:sz w:val="24"/>
              </w:rPr>
              <w:t>2022</w:t>
            </w:r>
          </w:p>
          <w:p w14:paraId="2B16DEF3"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SimSun" w:hAnsi="SimSun" w:cs="SimSun" w:hint="eastAsia"/>
                <w:bCs/>
                <w:snapToGrid w:val="0"/>
                <w:kern w:val="22"/>
                <w:sz w:val="24"/>
              </w:rPr>
              <w:t>：</w:t>
            </w:r>
            <w:r w:rsidRPr="007B7E70">
              <w:rPr>
                <w:rFonts w:eastAsia="Times New Roman"/>
                <w:bCs/>
                <w:snapToGrid w:val="0"/>
                <w:kern w:val="22"/>
                <w:sz w:val="24"/>
              </w:rPr>
              <w:t xml:space="preserve"> ENGLISH</w:t>
            </w:r>
          </w:p>
        </w:tc>
      </w:tr>
    </w:tbl>
    <w:bookmarkEnd w:id="0"/>
    <w:p w14:paraId="08D420C4" w14:textId="1A918F5E" w:rsidR="00E011D3" w:rsidRPr="007B7E70" w:rsidRDefault="00B66547" w:rsidP="00E011D3">
      <w:pPr>
        <w:pStyle w:val="Cornernotation"/>
        <w:kinsoku w:val="0"/>
        <w:overflowPunct w:val="0"/>
        <w:autoSpaceDE w:val="0"/>
        <w:autoSpaceDN w:val="0"/>
        <w:spacing w:before="60"/>
        <w:ind w:left="0" w:right="4176" w:firstLine="0"/>
        <w:rPr>
          <w:snapToGrid w:val="0"/>
          <w:kern w:val="22"/>
          <w:sz w:val="24"/>
          <w:lang w:eastAsia="zh-CN"/>
        </w:rPr>
      </w:pPr>
      <w:r w:rsidRPr="00B66547">
        <w:rPr>
          <w:rFonts w:hint="eastAsia"/>
          <w:snapToGrid w:val="0"/>
          <w:kern w:val="22"/>
          <w:sz w:val="24"/>
          <w:lang w:eastAsia="zh-CN"/>
        </w:rPr>
        <w:t>作为卡塔赫纳生物安全议定书缔约方会议的生物多样性公约缔约方大会</w:t>
      </w:r>
    </w:p>
    <w:p w14:paraId="4CF9B899" w14:textId="5A68454A" w:rsidR="00E011D3" w:rsidRPr="007B7E70" w:rsidRDefault="00E011D3" w:rsidP="00E011D3">
      <w:pPr>
        <w:pStyle w:val="Cornernotation"/>
        <w:ind w:right="4115"/>
        <w:rPr>
          <w:sz w:val="24"/>
          <w:lang w:val="en-US" w:eastAsia="zh-CN"/>
        </w:rPr>
      </w:pPr>
      <w:r w:rsidRPr="007B7E70">
        <w:rPr>
          <w:sz w:val="24"/>
          <w:lang w:eastAsia="zh-CN"/>
        </w:rPr>
        <w:t>第十次会议</w:t>
      </w:r>
      <w:r w:rsidR="0069252C" w:rsidRPr="007B7E70">
        <w:rPr>
          <w:rFonts w:hint="eastAsia"/>
          <w:sz w:val="24"/>
          <w:lang w:eastAsia="zh-CN"/>
        </w:rPr>
        <w:t xml:space="preserve"> </w:t>
      </w:r>
      <w:r w:rsidR="0069252C" w:rsidRPr="007B7E70">
        <w:rPr>
          <w:snapToGrid w:val="0"/>
          <w:kern w:val="22"/>
          <w:sz w:val="24"/>
          <w:lang w:eastAsia="zh-CN"/>
        </w:rPr>
        <w:t xml:space="preserve">– </w:t>
      </w:r>
      <w:r w:rsidR="0069252C" w:rsidRPr="007B7E70">
        <w:rPr>
          <w:rFonts w:hint="eastAsia"/>
          <w:snapToGrid w:val="0"/>
          <w:kern w:val="22"/>
          <w:sz w:val="24"/>
          <w:lang w:eastAsia="zh-CN"/>
        </w:rPr>
        <w:t>第二阶段会议</w:t>
      </w:r>
    </w:p>
    <w:p w14:paraId="232BA4AB" w14:textId="77777777" w:rsidR="00E011D3" w:rsidRPr="007B7E70" w:rsidRDefault="00E011D3" w:rsidP="00E011D3">
      <w:pPr>
        <w:pStyle w:val="Cornernotation"/>
        <w:kinsoku w:val="0"/>
        <w:overflowPunct w:val="0"/>
        <w:autoSpaceDE w:val="0"/>
        <w:autoSpaceDN w:val="0"/>
        <w:ind w:left="227" w:right="4075" w:hanging="227"/>
        <w:rPr>
          <w:snapToGrid w:val="0"/>
          <w:kern w:val="22"/>
          <w:sz w:val="24"/>
          <w:lang w:eastAsia="nb-NO"/>
        </w:rPr>
      </w:pPr>
      <w:r w:rsidRPr="007B7E70">
        <w:rPr>
          <w:snapToGrid w:val="0"/>
          <w:kern w:val="22"/>
          <w:sz w:val="24"/>
          <w:lang w:eastAsia="nb-NO"/>
        </w:rPr>
        <w:t>2022</w:t>
      </w:r>
      <w:r w:rsidRPr="007B7E70">
        <w:rPr>
          <w:snapToGrid w:val="0"/>
          <w:kern w:val="22"/>
          <w:sz w:val="24"/>
          <w:lang w:eastAsia="zh-CN"/>
        </w:rPr>
        <w:t>年</w:t>
      </w:r>
      <w:r w:rsidRPr="007B7E70">
        <w:rPr>
          <w:snapToGrid w:val="0"/>
          <w:kern w:val="22"/>
          <w:sz w:val="24"/>
          <w:lang w:eastAsia="zh-CN"/>
        </w:rPr>
        <w:t>12</w:t>
      </w:r>
      <w:r w:rsidRPr="007B7E70">
        <w:rPr>
          <w:snapToGrid w:val="0"/>
          <w:kern w:val="22"/>
          <w:sz w:val="24"/>
          <w:lang w:eastAsia="zh-CN"/>
        </w:rPr>
        <w:t>月</w:t>
      </w:r>
      <w:r w:rsidRPr="007B7E70">
        <w:rPr>
          <w:snapToGrid w:val="0"/>
          <w:kern w:val="22"/>
          <w:sz w:val="24"/>
          <w:lang w:eastAsia="zh-CN"/>
        </w:rPr>
        <w:t>7</w:t>
      </w:r>
      <w:r w:rsidRPr="007B7E70">
        <w:rPr>
          <w:snapToGrid w:val="0"/>
          <w:kern w:val="22"/>
          <w:sz w:val="24"/>
          <w:lang w:eastAsia="zh-CN"/>
        </w:rPr>
        <w:t>日至</w:t>
      </w:r>
      <w:r w:rsidRPr="007B7E70">
        <w:rPr>
          <w:snapToGrid w:val="0"/>
          <w:kern w:val="22"/>
          <w:sz w:val="24"/>
          <w:lang w:eastAsia="zh-CN"/>
        </w:rPr>
        <w:t>19</w:t>
      </w:r>
      <w:r w:rsidRPr="007B7E70">
        <w:rPr>
          <w:snapToGrid w:val="0"/>
          <w:kern w:val="22"/>
          <w:sz w:val="24"/>
          <w:lang w:eastAsia="zh-CN"/>
        </w:rPr>
        <w:t>日</w:t>
      </w:r>
      <w:r w:rsidRPr="007B7E70">
        <w:rPr>
          <w:rFonts w:hint="eastAsia"/>
          <w:snapToGrid w:val="0"/>
          <w:kern w:val="22"/>
          <w:sz w:val="24"/>
          <w:lang w:eastAsia="zh-CN"/>
        </w:rPr>
        <w:t>，加拿大蒙特利尔</w:t>
      </w:r>
    </w:p>
    <w:p w14:paraId="5C58FADA" w14:textId="2B78AB07" w:rsidR="00E011D3" w:rsidRPr="0069252C" w:rsidRDefault="0069252C" w:rsidP="00E011D3">
      <w:pPr>
        <w:pStyle w:val="Cornernotation"/>
        <w:ind w:right="4784"/>
        <w:rPr>
          <w:sz w:val="24"/>
          <w:lang w:eastAsia="zh-CN"/>
        </w:rPr>
      </w:pPr>
      <w:r w:rsidRPr="007B7E70">
        <w:rPr>
          <w:rFonts w:hint="eastAsia"/>
          <w:sz w:val="24"/>
          <w:lang w:eastAsia="zh-CN"/>
        </w:rPr>
        <w:t>议程项目</w:t>
      </w:r>
      <w:r w:rsidR="008B6009">
        <w:rPr>
          <w:sz w:val="24"/>
          <w:lang w:eastAsia="zh-CN"/>
        </w:rPr>
        <w:t>16</w:t>
      </w:r>
    </w:p>
    <w:p w14:paraId="63B19844" w14:textId="1395074A" w:rsidR="001760A4" w:rsidRDefault="001760A4" w:rsidP="00E011D3">
      <w:pPr>
        <w:adjustRightInd w:val="0"/>
        <w:snapToGrid w:val="0"/>
        <w:spacing w:before="120" w:after="120" w:line="240" w:lineRule="atLeast"/>
        <w:jc w:val="left"/>
        <w:rPr>
          <w:rFonts w:eastAsia="SimHei"/>
          <w:sz w:val="24"/>
          <w:lang w:val="en-US" w:eastAsia="zh-CN"/>
        </w:rPr>
      </w:pPr>
    </w:p>
    <w:p w14:paraId="2864A8F5" w14:textId="38B28EA7" w:rsidR="00DC40AF" w:rsidRDefault="00DC40AF" w:rsidP="00535C1C">
      <w:pPr>
        <w:keepNext/>
        <w:spacing w:before="240" w:after="240" w:line="240" w:lineRule="atLeast"/>
        <w:jc w:val="center"/>
        <w:outlineLvl w:val="0"/>
        <w:rPr>
          <w:b/>
          <w:caps/>
          <w:snapToGrid w:val="0"/>
          <w:sz w:val="28"/>
          <w:szCs w:val="28"/>
          <w:lang w:eastAsia="zh-CN"/>
        </w:rPr>
      </w:pPr>
      <w:bookmarkStart w:id="1" w:name="_Toc118712014"/>
      <w:r w:rsidRPr="00DC40AF">
        <w:rPr>
          <w:b/>
          <w:bCs/>
          <w:caps/>
          <w:snapToGrid w:val="0"/>
          <w:sz w:val="28"/>
          <w:szCs w:val="28"/>
          <w:lang w:eastAsia="zh-CN"/>
        </w:rPr>
        <w:t>卡塔赫纳生物安全议定书缔约方通过的决定</w:t>
      </w:r>
    </w:p>
    <w:p w14:paraId="6D3DD04A" w14:textId="4803E132" w:rsidR="00535C1C" w:rsidRPr="00DC40AF" w:rsidRDefault="00DC40AF" w:rsidP="00535C1C">
      <w:pPr>
        <w:keepNext/>
        <w:spacing w:before="240" w:after="240" w:line="240" w:lineRule="atLeast"/>
        <w:jc w:val="center"/>
        <w:outlineLvl w:val="0"/>
        <w:rPr>
          <w:b/>
          <w:caps/>
          <w:snapToGrid w:val="0"/>
          <w:sz w:val="24"/>
          <w:lang w:eastAsia="zh-CN"/>
        </w:rPr>
      </w:pPr>
      <w:r>
        <w:rPr>
          <w:rFonts w:hint="eastAsia"/>
          <w:b/>
          <w:caps/>
          <w:snapToGrid w:val="0"/>
          <w:sz w:val="24"/>
          <w:lang w:eastAsia="zh-CN"/>
        </w:rPr>
        <w:t>C</w:t>
      </w:r>
      <w:r>
        <w:rPr>
          <w:b/>
          <w:caps/>
          <w:snapToGrid w:val="0"/>
          <w:sz w:val="24"/>
          <w:lang w:eastAsia="zh-CN"/>
        </w:rPr>
        <w:t xml:space="preserve">P-10/12.  </w:t>
      </w:r>
      <w:r w:rsidR="008B6009" w:rsidRPr="00DC40AF">
        <w:rPr>
          <w:rFonts w:hint="eastAsia"/>
          <w:b/>
          <w:caps/>
          <w:snapToGrid w:val="0"/>
          <w:sz w:val="24"/>
          <w:lang w:eastAsia="zh-CN"/>
        </w:rPr>
        <w:t>社会</w:t>
      </w:r>
      <w:r w:rsidR="008B6009" w:rsidRPr="00DC40AF">
        <w:rPr>
          <w:rFonts w:hint="eastAsia"/>
          <w:b/>
          <w:caps/>
          <w:snapToGrid w:val="0"/>
          <w:sz w:val="24"/>
          <w:lang w:eastAsia="zh-CN"/>
        </w:rPr>
        <w:t>-</w:t>
      </w:r>
      <w:r w:rsidR="008B6009" w:rsidRPr="00DC40AF">
        <w:rPr>
          <w:rFonts w:hint="eastAsia"/>
          <w:b/>
          <w:caps/>
          <w:snapToGrid w:val="0"/>
          <w:sz w:val="24"/>
          <w:lang w:eastAsia="zh-CN"/>
        </w:rPr>
        <w:t>经济因素（第</w:t>
      </w:r>
      <w:r w:rsidR="008B6009" w:rsidRPr="00DC40AF">
        <w:rPr>
          <w:rFonts w:hint="eastAsia"/>
          <w:b/>
          <w:caps/>
          <w:snapToGrid w:val="0"/>
          <w:sz w:val="24"/>
          <w:lang w:eastAsia="zh-CN"/>
        </w:rPr>
        <w:t>26</w:t>
      </w:r>
      <w:r w:rsidR="008B6009" w:rsidRPr="00DC40AF">
        <w:rPr>
          <w:rFonts w:hint="eastAsia"/>
          <w:b/>
          <w:caps/>
          <w:snapToGrid w:val="0"/>
          <w:sz w:val="24"/>
          <w:lang w:eastAsia="zh-CN"/>
        </w:rPr>
        <w:t>条）</w:t>
      </w:r>
      <w:bookmarkEnd w:id="1"/>
    </w:p>
    <w:p w14:paraId="3866ACA4" w14:textId="77777777" w:rsidR="00535C1C" w:rsidRPr="00DC40AF" w:rsidRDefault="00535C1C" w:rsidP="00535C1C">
      <w:pPr>
        <w:adjustRightInd w:val="0"/>
        <w:snapToGrid w:val="0"/>
        <w:spacing w:before="120" w:after="120" w:line="240" w:lineRule="atLeast"/>
        <w:ind w:firstLine="490"/>
        <w:rPr>
          <w:rFonts w:eastAsia="KaiTi"/>
          <w:sz w:val="24"/>
          <w:lang w:val="en-US" w:eastAsia="zh-CN"/>
        </w:rPr>
      </w:pPr>
      <w:r w:rsidRPr="00DC40AF">
        <w:rPr>
          <w:rFonts w:eastAsia="KaiTi"/>
          <w:sz w:val="24"/>
          <w:lang w:val="en-US" w:eastAsia="zh-CN"/>
        </w:rPr>
        <w:t>作为卡塔赫纳生物安全议定书缔约方会议的缔约方大会，</w:t>
      </w:r>
    </w:p>
    <w:p w14:paraId="55F9EBBD" w14:textId="22B60B3B" w:rsidR="00535C1C" w:rsidRPr="00DC40AF" w:rsidRDefault="00B66547"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回顾</w:t>
      </w:r>
      <w:r w:rsidRPr="00DC40AF">
        <w:rPr>
          <w:sz w:val="24"/>
          <w:lang w:val="en-US" w:eastAsia="zh-CN"/>
        </w:rPr>
        <w:t>《卡塔赫纳生物安全议定书》第</w:t>
      </w:r>
      <w:r w:rsidRPr="00DC40AF">
        <w:rPr>
          <w:sz w:val="24"/>
          <w:lang w:val="en-US" w:eastAsia="zh-CN"/>
        </w:rPr>
        <w:t>26</w:t>
      </w:r>
      <w:r w:rsidRPr="00DC40AF">
        <w:rPr>
          <w:sz w:val="24"/>
          <w:lang w:val="en-US" w:eastAsia="zh-CN"/>
        </w:rPr>
        <w:t>条第</w:t>
      </w:r>
      <w:r w:rsidRPr="00DC40AF">
        <w:rPr>
          <w:sz w:val="24"/>
          <w:lang w:val="en-US" w:eastAsia="zh-CN"/>
        </w:rPr>
        <w:t>2</w:t>
      </w:r>
      <w:r w:rsidRPr="00DC40AF">
        <w:rPr>
          <w:sz w:val="24"/>
          <w:lang w:val="en-US" w:eastAsia="zh-CN"/>
        </w:rPr>
        <w:t>段，</w:t>
      </w:r>
    </w:p>
    <w:p w14:paraId="6FD59B88" w14:textId="77777777" w:rsidR="00535C1C" w:rsidRPr="00DC40AF" w:rsidRDefault="00535C1C"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又回顾第</w:t>
      </w:r>
      <w:r w:rsidRPr="00DC40AF">
        <w:rPr>
          <w:sz w:val="24"/>
          <w:lang w:val="en-US" w:eastAsia="zh-CN"/>
        </w:rPr>
        <w:t>CP-9/14</w:t>
      </w:r>
      <w:r w:rsidRPr="00DC40AF">
        <w:rPr>
          <w:sz w:val="24"/>
          <w:lang w:val="en-US" w:eastAsia="zh-CN"/>
        </w:rPr>
        <w:t>号决定的前言，</w:t>
      </w:r>
    </w:p>
    <w:p w14:paraId="70BCA37E" w14:textId="77777777" w:rsidR="00535C1C" w:rsidRPr="00DC40AF" w:rsidRDefault="00535C1C"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还回顾</w:t>
      </w:r>
      <w:bookmarkStart w:id="2" w:name="_Hlk121422211"/>
      <w:r w:rsidRPr="00DC40AF">
        <w:rPr>
          <w:sz w:val="24"/>
          <w:lang w:val="en-US" w:eastAsia="zh-CN"/>
        </w:rPr>
        <w:t>第</w:t>
      </w:r>
      <w:r w:rsidRPr="00DC40AF">
        <w:rPr>
          <w:sz w:val="24"/>
          <w:lang w:val="en-US" w:eastAsia="zh-CN"/>
        </w:rPr>
        <w:t>CP-9/14</w:t>
      </w:r>
      <w:r w:rsidRPr="00DC40AF">
        <w:rPr>
          <w:sz w:val="24"/>
          <w:lang w:val="en-US" w:eastAsia="zh-CN"/>
        </w:rPr>
        <w:t>号决定</w:t>
      </w:r>
      <w:bookmarkEnd w:id="2"/>
      <w:r w:rsidRPr="00DC40AF">
        <w:rPr>
          <w:sz w:val="24"/>
          <w:lang w:val="en-US" w:eastAsia="zh-CN"/>
        </w:rPr>
        <w:t>注意到</w:t>
      </w:r>
      <w:r w:rsidRPr="00DC40AF">
        <w:rPr>
          <w:sz w:val="24"/>
          <w:lang w:val="en-US" w:eastAsia="zh-CN"/>
        </w:rPr>
        <w:t>“</w:t>
      </w:r>
      <w:r w:rsidRPr="00DC40AF">
        <w:rPr>
          <w:sz w:val="24"/>
          <w:lang w:val="en-US" w:eastAsia="zh-CN"/>
        </w:rPr>
        <w:t>卡塔赫纳生物安全议定书第</w:t>
      </w:r>
      <w:r w:rsidRPr="00DC40AF">
        <w:rPr>
          <w:sz w:val="24"/>
          <w:lang w:val="en-US" w:eastAsia="zh-CN"/>
        </w:rPr>
        <w:t>26</w:t>
      </w:r>
      <w:r w:rsidRPr="00DC40AF">
        <w:rPr>
          <w:sz w:val="24"/>
          <w:lang w:val="en-US" w:eastAsia="zh-CN"/>
        </w:rPr>
        <w:t>条范围内社会</w:t>
      </w:r>
      <w:r w:rsidRPr="00DC40AF">
        <w:rPr>
          <w:sz w:val="24"/>
          <w:lang w:val="en-US" w:eastAsia="zh-CN"/>
        </w:rPr>
        <w:t>-</w:t>
      </w:r>
      <w:r w:rsidRPr="00DC40AF">
        <w:rPr>
          <w:sz w:val="24"/>
          <w:lang w:val="en-US" w:eastAsia="zh-CN"/>
        </w:rPr>
        <w:t>经济因素评估自愿指导意见</w:t>
      </w:r>
      <w:r w:rsidRPr="00DC40AF">
        <w:rPr>
          <w:sz w:val="24"/>
          <w:lang w:val="en-US" w:eastAsia="zh-CN"/>
        </w:rPr>
        <w:t>”</w:t>
      </w:r>
      <w:r w:rsidRPr="00DC40AF">
        <w:rPr>
          <w:sz w:val="24"/>
          <w:lang w:val="en-US" w:eastAsia="zh-CN"/>
        </w:rPr>
        <w:t>，</w:t>
      </w:r>
    </w:p>
    <w:p w14:paraId="0FD918FB" w14:textId="77777777" w:rsidR="00535C1C" w:rsidRPr="00DC40AF" w:rsidRDefault="00535C1C"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认识到</w:t>
      </w:r>
      <w:r w:rsidRPr="00DC40AF">
        <w:rPr>
          <w:sz w:val="24"/>
          <w:lang w:val="en-US" w:eastAsia="zh-CN"/>
        </w:rPr>
        <w:t>缔约方、其他国家政府、相关组织和其他利益攸关方使用自愿指导意见的时间不长，</w:t>
      </w:r>
    </w:p>
    <w:p w14:paraId="16A00092" w14:textId="77777777" w:rsidR="00535C1C" w:rsidRPr="00DC40AF" w:rsidRDefault="00535C1C"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承认</w:t>
      </w:r>
      <w:r w:rsidRPr="00DC40AF">
        <w:rPr>
          <w:sz w:val="24"/>
          <w:lang w:val="en-US" w:eastAsia="zh-CN"/>
        </w:rPr>
        <w:t>需要收集和分享关于方法和办法的更多信息，</w:t>
      </w:r>
    </w:p>
    <w:p w14:paraId="13429B09" w14:textId="4F602A54" w:rsidR="00535C1C" w:rsidRPr="00DC40AF" w:rsidRDefault="00535C1C"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注意到</w:t>
      </w:r>
      <w:r w:rsidRPr="00DC40AF">
        <w:rPr>
          <w:sz w:val="24"/>
          <w:lang w:val="en-US" w:eastAsia="zh-CN"/>
        </w:rPr>
        <w:t>缔约方在第四次国家报告中提供的与《卡塔赫纳生物安全议定书》第</w:t>
      </w:r>
      <w:r w:rsidRPr="00DC40AF">
        <w:rPr>
          <w:sz w:val="24"/>
          <w:lang w:val="en-US" w:eastAsia="zh-CN"/>
        </w:rPr>
        <w:t>26</w:t>
      </w:r>
      <w:r w:rsidRPr="00DC40AF">
        <w:rPr>
          <w:sz w:val="24"/>
          <w:lang w:val="en-US" w:eastAsia="zh-CN"/>
        </w:rPr>
        <w:t>条有关的信息以及第</w:t>
      </w:r>
      <w:r w:rsidRPr="00DC40AF">
        <w:rPr>
          <w:sz w:val="24"/>
          <w:lang w:val="en-US" w:eastAsia="zh-CN"/>
        </w:rPr>
        <w:t>CP-10/</w:t>
      </w:r>
      <w:r w:rsidR="00DC40AF" w:rsidRPr="00DC40AF">
        <w:rPr>
          <w:sz w:val="24"/>
          <w:lang w:val="en-US" w:eastAsia="zh-CN"/>
        </w:rPr>
        <w:t>7</w:t>
      </w:r>
      <w:r w:rsidRPr="00DC40AF">
        <w:rPr>
          <w:sz w:val="24"/>
          <w:lang w:val="en-US" w:eastAsia="zh-CN"/>
        </w:rPr>
        <w:t>号决定所述《议定书》成效第四次评估和审查以及《卡塔赫纳</w:t>
      </w:r>
      <w:r w:rsidR="00DC40AF" w:rsidRPr="00DC40AF">
        <w:rPr>
          <w:sz w:val="24"/>
          <w:lang w:val="en-US" w:eastAsia="zh-CN"/>
        </w:rPr>
        <w:t>生物安全</w:t>
      </w:r>
      <w:r w:rsidRPr="00DC40AF">
        <w:rPr>
          <w:sz w:val="24"/>
          <w:lang w:val="en-US" w:eastAsia="zh-CN"/>
        </w:rPr>
        <w:t>议定书</w:t>
      </w:r>
      <w:r w:rsidRPr="00DC40AF">
        <w:rPr>
          <w:sz w:val="24"/>
          <w:lang w:val="en-US" w:eastAsia="zh-CN"/>
        </w:rPr>
        <w:t>2011-2020</w:t>
      </w:r>
      <w:r w:rsidRPr="00DC40AF">
        <w:rPr>
          <w:sz w:val="24"/>
          <w:lang w:val="en-US" w:eastAsia="zh-CN"/>
        </w:rPr>
        <w:t>年战略计划》最后评价中关于社会</w:t>
      </w:r>
      <w:r w:rsidRPr="00DC40AF">
        <w:rPr>
          <w:sz w:val="24"/>
          <w:lang w:val="en-US" w:eastAsia="zh-CN"/>
        </w:rPr>
        <w:t>-</w:t>
      </w:r>
      <w:r w:rsidRPr="00DC40AF">
        <w:rPr>
          <w:sz w:val="24"/>
          <w:lang w:val="en-US" w:eastAsia="zh-CN"/>
        </w:rPr>
        <w:t>经济因素的结论；</w:t>
      </w:r>
    </w:p>
    <w:p w14:paraId="7D42725F" w14:textId="41BF6BE7" w:rsidR="00535C1C" w:rsidRPr="00DC40AF" w:rsidRDefault="00535C1C" w:rsidP="00535C1C">
      <w:pPr>
        <w:adjustRightInd w:val="0"/>
        <w:snapToGrid w:val="0"/>
        <w:spacing w:before="120" w:after="120" w:line="240" w:lineRule="atLeast"/>
        <w:ind w:firstLine="490"/>
        <w:rPr>
          <w:sz w:val="24"/>
          <w:lang w:val="en-US" w:eastAsia="zh-CN"/>
        </w:rPr>
      </w:pPr>
      <w:r w:rsidRPr="00DC40AF">
        <w:rPr>
          <w:rFonts w:eastAsia="KaiTi"/>
          <w:sz w:val="24"/>
          <w:lang w:val="en-US" w:eastAsia="zh-CN"/>
        </w:rPr>
        <w:t>又注意到</w:t>
      </w:r>
      <w:r w:rsidRPr="00DC40AF">
        <w:rPr>
          <w:sz w:val="24"/>
          <w:lang w:val="en-US" w:eastAsia="zh-CN"/>
        </w:rPr>
        <w:t>卡塔赫纳生物安全议定书执行计划</w:t>
      </w:r>
      <w:r w:rsidR="00DC40AF">
        <w:rPr>
          <w:rFonts w:hint="eastAsia"/>
          <w:sz w:val="24"/>
          <w:lang w:val="en-US" w:eastAsia="zh-CN"/>
        </w:rPr>
        <w:t xml:space="preserve"> </w:t>
      </w:r>
      <w:r w:rsidR="00DC40AF" w:rsidRPr="00DC40AF">
        <w:rPr>
          <w:rStyle w:val="FootnoteReference"/>
          <w:sz w:val="24"/>
          <w:lang w:val="en-US" w:eastAsia="zh-CN"/>
        </w:rPr>
        <w:footnoteReference w:id="2"/>
      </w:r>
      <w:r w:rsidRPr="00DC40AF">
        <w:rPr>
          <w:sz w:val="24"/>
          <w:lang w:val="en-US" w:eastAsia="zh-CN"/>
        </w:rPr>
        <w:t>和</w:t>
      </w:r>
      <w:r w:rsidR="00DC40AF">
        <w:rPr>
          <w:rFonts w:hint="eastAsia"/>
          <w:sz w:val="24"/>
          <w:lang w:val="en-US" w:eastAsia="zh-CN"/>
        </w:rPr>
        <w:t>卡塔赫纳生物安全议定书</w:t>
      </w:r>
      <w:r w:rsidRPr="00DC40AF">
        <w:rPr>
          <w:sz w:val="24"/>
          <w:lang w:val="en-US" w:eastAsia="zh-CN"/>
        </w:rPr>
        <w:t>能力建设行动计划</w:t>
      </w:r>
      <w:r w:rsidR="00DC40AF">
        <w:rPr>
          <w:rFonts w:hint="eastAsia"/>
          <w:sz w:val="24"/>
          <w:lang w:val="en-US" w:eastAsia="zh-CN"/>
        </w:rPr>
        <w:t xml:space="preserve"> </w:t>
      </w:r>
      <w:r w:rsidR="00DC40AF" w:rsidRPr="00DC40AF">
        <w:rPr>
          <w:rStyle w:val="FootnoteReference"/>
          <w:sz w:val="24"/>
          <w:lang w:val="en-US" w:eastAsia="zh-CN"/>
        </w:rPr>
        <w:footnoteReference w:id="3"/>
      </w:r>
      <w:r w:rsidRPr="00DC40AF">
        <w:rPr>
          <w:sz w:val="24"/>
          <w:lang w:val="en-US" w:eastAsia="zh-CN"/>
        </w:rPr>
        <w:t>中与《卡塔赫纳议定书》第</w:t>
      </w:r>
      <w:r w:rsidRPr="00DC40AF">
        <w:rPr>
          <w:sz w:val="24"/>
          <w:lang w:val="en-US" w:eastAsia="zh-CN"/>
        </w:rPr>
        <w:t>26</w:t>
      </w:r>
      <w:r w:rsidRPr="00DC40AF">
        <w:rPr>
          <w:sz w:val="24"/>
          <w:lang w:val="en-US" w:eastAsia="zh-CN"/>
        </w:rPr>
        <w:t>条有关的目标和相关能力建设活动，</w:t>
      </w:r>
      <w:r w:rsidRPr="00DC40AF">
        <w:rPr>
          <w:rFonts w:eastAsia="KaiTi"/>
          <w:sz w:val="24"/>
          <w:lang w:val="en-US" w:eastAsia="zh-CN"/>
        </w:rPr>
        <w:t>肯定</w:t>
      </w:r>
      <w:r w:rsidRPr="00DC40AF">
        <w:rPr>
          <w:sz w:val="24"/>
          <w:lang w:val="en-US" w:eastAsia="zh-CN"/>
        </w:rPr>
        <w:t>能力建设以及区域和次区域合作对于希望顾及社会</w:t>
      </w:r>
      <w:r w:rsidRPr="00DC40AF">
        <w:rPr>
          <w:sz w:val="24"/>
          <w:lang w:val="en-US" w:eastAsia="zh-CN"/>
        </w:rPr>
        <w:t>-</w:t>
      </w:r>
      <w:r w:rsidRPr="00DC40AF">
        <w:rPr>
          <w:sz w:val="24"/>
          <w:lang w:val="en-US" w:eastAsia="zh-CN"/>
        </w:rPr>
        <w:t>经济因素缔约方的重要性，</w:t>
      </w:r>
    </w:p>
    <w:p w14:paraId="792A9900" w14:textId="5D18EB2F" w:rsidR="00535C1C" w:rsidRPr="00DC40AF" w:rsidRDefault="00535C1C" w:rsidP="00535C1C">
      <w:pPr>
        <w:numPr>
          <w:ilvl w:val="1"/>
          <w:numId w:val="32"/>
        </w:numPr>
        <w:adjustRightInd w:val="0"/>
        <w:snapToGrid w:val="0"/>
        <w:spacing w:before="120" w:after="120" w:line="240" w:lineRule="atLeast"/>
        <w:ind w:left="0" w:firstLine="490"/>
        <w:rPr>
          <w:sz w:val="24"/>
          <w:lang w:val="en-US" w:eastAsia="zh-CN"/>
        </w:rPr>
      </w:pPr>
      <w:r w:rsidRPr="00DC40AF">
        <w:rPr>
          <w:rFonts w:eastAsia="KaiTi"/>
          <w:sz w:val="24"/>
          <w:lang w:val="en-US" w:eastAsia="zh-CN"/>
        </w:rPr>
        <w:t>表示</w:t>
      </w:r>
      <w:r w:rsidR="008B6009" w:rsidRPr="00DC40AF">
        <w:rPr>
          <w:rFonts w:eastAsia="KaiTi"/>
          <w:sz w:val="24"/>
          <w:lang w:val="en-US" w:eastAsia="zh-CN"/>
        </w:rPr>
        <w:t>欣赏</w:t>
      </w:r>
      <w:r w:rsidRPr="00DC40AF">
        <w:rPr>
          <w:rFonts w:eastAsia="KaiTi"/>
          <w:sz w:val="24"/>
          <w:lang w:val="en-US" w:eastAsia="zh-CN"/>
        </w:rPr>
        <w:t>地注意到</w:t>
      </w:r>
      <w:r w:rsidRPr="00DC40AF">
        <w:rPr>
          <w:sz w:val="24"/>
          <w:lang w:val="en-US" w:eastAsia="zh-CN"/>
        </w:rPr>
        <w:t>社会</w:t>
      </w:r>
      <w:r w:rsidRPr="00DC40AF">
        <w:rPr>
          <w:sz w:val="24"/>
          <w:lang w:val="en-US" w:eastAsia="zh-CN"/>
        </w:rPr>
        <w:t>-</w:t>
      </w:r>
      <w:r w:rsidRPr="00DC40AF">
        <w:rPr>
          <w:sz w:val="24"/>
          <w:lang w:val="en-US" w:eastAsia="zh-CN"/>
        </w:rPr>
        <w:t>经济因素问题特设技术专家组的工作成果；</w:t>
      </w:r>
      <w:r w:rsidRPr="00DC40AF">
        <w:rPr>
          <w:sz w:val="24"/>
          <w:szCs w:val="20"/>
          <w:vertAlign w:val="superscript"/>
          <w:lang w:val="en-CA" w:eastAsia="en-CA"/>
        </w:rPr>
        <w:footnoteReference w:id="4"/>
      </w:r>
    </w:p>
    <w:p w14:paraId="723C83D1" w14:textId="77777777" w:rsidR="00535C1C" w:rsidRPr="00DC40AF" w:rsidRDefault="00535C1C" w:rsidP="00535C1C">
      <w:pPr>
        <w:numPr>
          <w:ilvl w:val="1"/>
          <w:numId w:val="32"/>
        </w:numPr>
        <w:adjustRightInd w:val="0"/>
        <w:snapToGrid w:val="0"/>
        <w:spacing w:before="120" w:after="120" w:line="240" w:lineRule="atLeast"/>
        <w:ind w:left="0" w:firstLine="490"/>
        <w:rPr>
          <w:sz w:val="24"/>
          <w:lang w:val="en-US" w:eastAsia="zh-CN"/>
        </w:rPr>
      </w:pPr>
      <w:r w:rsidRPr="00DC40AF">
        <w:rPr>
          <w:rFonts w:eastAsia="KaiTi"/>
          <w:sz w:val="24"/>
          <w:lang w:val="en-US" w:eastAsia="zh-CN"/>
        </w:rPr>
        <w:t>邀请</w:t>
      </w:r>
      <w:r w:rsidRPr="00DC40AF">
        <w:rPr>
          <w:sz w:val="24"/>
          <w:lang w:val="en-US" w:eastAsia="zh-CN"/>
        </w:rPr>
        <w:t>缔约方、其他国家政府、相关组织和其他利益攸关方进行合作并分享根据《议定书》第</w:t>
      </w:r>
      <w:r w:rsidRPr="00DC40AF">
        <w:rPr>
          <w:sz w:val="24"/>
          <w:lang w:val="en-US" w:eastAsia="zh-CN"/>
        </w:rPr>
        <w:t>26</w:t>
      </w:r>
      <w:r w:rsidRPr="00DC40AF">
        <w:rPr>
          <w:sz w:val="24"/>
          <w:lang w:val="en-US" w:eastAsia="zh-CN"/>
        </w:rPr>
        <w:t>条就改性活生物体作决定时考虑社会</w:t>
      </w:r>
      <w:r w:rsidRPr="00DC40AF">
        <w:rPr>
          <w:sz w:val="24"/>
          <w:lang w:val="en-US" w:eastAsia="zh-CN"/>
        </w:rPr>
        <w:t>-</w:t>
      </w:r>
      <w:r w:rsidRPr="00DC40AF">
        <w:rPr>
          <w:sz w:val="24"/>
          <w:lang w:val="en-US" w:eastAsia="zh-CN"/>
        </w:rPr>
        <w:t>经济因素的相关经验；</w:t>
      </w:r>
    </w:p>
    <w:p w14:paraId="1699DBA5" w14:textId="3CB80991" w:rsidR="00535C1C" w:rsidRPr="00DC40AF" w:rsidRDefault="00535C1C" w:rsidP="00535C1C">
      <w:pPr>
        <w:numPr>
          <w:ilvl w:val="1"/>
          <w:numId w:val="32"/>
        </w:numPr>
        <w:adjustRightInd w:val="0"/>
        <w:snapToGrid w:val="0"/>
        <w:spacing w:before="120" w:after="120" w:line="240" w:lineRule="atLeast"/>
        <w:ind w:left="0" w:firstLine="490"/>
        <w:rPr>
          <w:sz w:val="24"/>
          <w:lang w:val="en-US" w:eastAsia="zh-CN"/>
        </w:rPr>
      </w:pPr>
      <w:r w:rsidRPr="00DC40AF">
        <w:rPr>
          <w:rFonts w:eastAsia="KaiTi"/>
          <w:sz w:val="24"/>
          <w:lang w:val="en-US" w:eastAsia="zh-CN"/>
        </w:rPr>
        <w:lastRenderedPageBreak/>
        <w:t>又邀请</w:t>
      </w:r>
      <w:r w:rsidRPr="00DC40AF">
        <w:rPr>
          <w:sz w:val="24"/>
          <w:lang w:val="en-US" w:eastAsia="zh-CN"/>
        </w:rPr>
        <w:t>缔约方、其他国家政府、相关组织和其他利益攸关方酌情使用自愿指导意见，向执行秘书提交使用</w:t>
      </w:r>
      <w:bookmarkStart w:id="3" w:name="_Hlk121422763"/>
      <w:r w:rsidRPr="00DC40AF">
        <w:rPr>
          <w:sz w:val="24"/>
          <w:lang w:val="en-US" w:eastAsia="zh-CN"/>
        </w:rPr>
        <w:t>指导意见</w:t>
      </w:r>
      <w:bookmarkEnd w:id="3"/>
      <w:r w:rsidRPr="00DC40AF">
        <w:rPr>
          <w:sz w:val="24"/>
          <w:lang w:val="en-US" w:eastAsia="zh-CN"/>
        </w:rPr>
        <w:t>的经验以及根据自愿指导意见要点考虑社会</w:t>
      </w:r>
      <w:r w:rsidRPr="00DC40AF">
        <w:rPr>
          <w:sz w:val="24"/>
          <w:lang w:val="en-US" w:eastAsia="zh-CN"/>
        </w:rPr>
        <w:t>-</w:t>
      </w:r>
      <w:r w:rsidRPr="00DC40AF">
        <w:rPr>
          <w:sz w:val="24"/>
          <w:lang w:val="en-US" w:eastAsia="zh-CN"/>
        </w:rPr>
        <w:t>经济因素的方法和应用实例；</w:t>
      </w:r>
      <w:r w:rsidR="008B6009" w:rsidRPr="00DC40AF">
        <w:rPr>
          <w:sz w:val="24"/>
          <w:lang w:val="en-US" w:eastAsia="zh-CN"/>
        </w:rPr>
        <w:t xml:space="preserve">  </w:t>
      </w:r>
    </w:p>
    <w:p w14:paraId="278C0004" w14:textId="05BA1A8E" w:rsidR="00535C1C" w:rsidRPr="00DC40AF" w:rsidRDefault="00535C1C" w:rsidP="00535C1C">
      <w:pPr>
        <w:numPr>
          <w:ilvl w:val="1"/>
          <w:numId w:val="32"/>
        </w:numPr>
        <w:adjustRightInd w:val="0"/>
        <w:snapToGrid w:val="0"/>
        <w:spacing w:before="120" w:after="120" w:line="240" w:lineRule="atLeast"/>
        <w:ind w:left="0" w:firstLine="490"/>
        <w:rPr>
          <w:sz w:val="24"/>
          <w:lang w:val="en-US" w:eastAsia="zh-CN"/>
        </w:rPr>
      </w:pPr>
      <w:r w:rsidRPr="00DC40AF">
        <w:rPr>
          <w:rFonts w:eastAsia="KaiTi"/>
          <w:sz w:val="24"/>
          <w:lang w:val="en-US" w:eastAsia="zh-CN"/>
        </w:rPr>
        <w:t>请</w:t>
      </w:r>
      <w:r w:rsidRPr="00DC40AF">
        <w:rPr>
          <w:sz w:val="24"/>
          <w:lang w:val="en-US" w:eastAsia="zh-CN"/>
        </w:rPr>
        <w:t>执行秘书联系那些在第四次国家报告中表示</w:t>
      </w:r>
      <w:r w:rsidR="00DC40AF">
        <w:rPr>
          <w:rFonts w:hint="eastAsia"/>
          <w:sz w:val="24"/>
          <w:lang w:val="en-US" w:eastAsia="zh-CN"/>
        </w:rPr>
        <w:t xml:space="preserve"> (</w:t>
      </w:r>
      <w:r w:rsidRPr="00DC40AF">
        <w:rPr>
          <w:sz w:val="24"/>
          <w:lang w:val="en-US" w:eastAsia="zh-CN"/>
        </w:rPr>
        <w:t>a</w:t>
      </w:r>
      <w:r w:rsidR="00DC40AF">
        <w:rPr>
          <w:rFonts w:hint="eastAsia"/>
          <w:sz w:val="24"/>
          <w:lang w:val="en-US" w:eastAsia="zh-CN"/>
        </w:rPr>
        <w:t>)</w:t>
      </w:r>
      <w:r w:rsidR="00DC40AF">
        <w:rPr>
          <w:sz w:val="24"/>
          <w:lang w:val="en-US" w:eastAsia="zh-CN"/>
        </w:rPr>
        <w:t xml:space="preserve"> </w:t>
      </w:r>
      <w:r w:rsidRPr="00DC40AF">
        <w:rPr>
          <w:sz w:val="24"/>
          <w:lang w:val="en-US" w:eastAsia="zh-CN"/>
        </w:rPr>
        <w:t>有具体办法或要求以便利在改性活生物体决策中考虑社会</w:t>
      </w:r>
      <w:r w:rsidRPr="00DC40AF">
        <w:rPr>
          <w:sz w:val="24"/>
          <w:lang w:val="en-US" w:eastAsia="zh-CN"/>
        </w:rPr>
        <w:t>-</w:t>
      </w:r>
      <w:r w:rsidRPr="00DC40AF">
        <w:rPr>
          <w:sz w:val="24"/>
          <w:lang w:val="en-US" w:eastAsia="zh-CN"/>
        </w:rPr>
        <w:t>经济因素或</w:t>
      </w:r>
      <w:r w:rsidR="00DC40AF">
        <w:rPr>
          <w:rFonts w:hint="eastAsia"/>
          <w:sz w:val="24"/>
          <w:lang w:val="en-US" w:eastAsia="zh-CN"/>
        </w:rPr>
        <w:t xml:space="preserve"> (</w:t>
      </w:r>
      <w:r w:rsidRPr="00DC40AF">
        <w:rPr>
          <w:sz w:val="24"/>
          <w:lang w:val="en-US" w:eastAsia="zh-CN"/>
        </w:rPr>
        <w:t>b</w:t>
      </w:r>
      <w:r w:rsidR="00DC40AF">
        <w:rPr>
          <w:sz w:val="24"/>
          <w:lang w:val="en-US" w:eastAsia="zh-CN"/>
        </w:rPr>
        <w:t xml:space="preserve">) </w:t>
      </w:r>
      <w:r w:rsidRPr="00DC40AF">
        <w:rPr>
          <w:sz w:val="24"/>
          <w:lang w:val="en-US" w:eastAsia="zh-CN"/>
        </w:rPr>
        <w:t>已考虑到改性活生物体的影响引起的社会</w:t>
      </w:r>
      <w:r w:rsidRPr="00DC40AF">
        <w:rPr>
          <w:sz w:val="24"/>
          <w:lang w:val="en-US" w:eastAsia="zh-CN"/>
        </w:rPr>
        <w:t>-</w:t>
      </w:r>
      <w:r w:rsidRPr="00DC40AF">
        <w:rPr>
          <w:sz w:val="24"/>
          <w:lang w:val="en-US" w:eastAsia="zh-CN"/>
        </w:rPr>
        <w:t>经济因素如何影响生物多样性的保护和可持续利用的缔约方，邀请它们分享与第</w:t>
      </w:r>
      <w:r w:rsidRPr="00DC40AF">
        <w:rPr>
          <w:sz w:val="24"/>
          <w:lang w:val="en-US" w:eastAsia="zh-CN"/>
        </w:rPr>
        <w:t>26</w:t>
      </w:r>
      <w:r w:rsidRPr="00DC40AF">
        <w:rPr>
          <w:sz w:val="24"/>
          <w:lang w:val="en-US" w:eastAsia="zh-CN"/>
        </w:rPr>
        <w:t>条有关的经验；</w:t>
      </w:r>
    </w:p>
    <w:p w14:paraId="40E96056" w14:textId="14160675" w:rsidR="00535C1C" w:rsidRPr="00DC40AF" w:rsidRDefault="00535C1C" w:rsidP="00535C1C">
      <w:pPr>
        <w:numPr>
          <w:ilvl w:val="1"/>
          <w:numId w:val="32"/>
        </w:numPr>
        <w:adjustRightInd w:val="0"/>
        <w:snapToGrid w:val="0"/>
        <w:spacing w:before="120" w:after="120" w:line="240" w:lineRule="atLeast"/>
        <w:ind w:left="0" w:firstLine="490"/>
        <w:rPr>
          <w:kern w:val="22"/>
          <w:sz w:val="24"/>
          <w:lang w:eastAsia="zh-CN"/>
        </w:rPr>
      </w:pPr>
      <w:r w:rsidRPr="00DC40AF">
        <w:rPr>
          <w:rFonts w:eastAsia="KaiTi"/>
          <w:sz w:val="24"/>
          <w:lang w:val="en-US" w:eastAsia="zh-CN"/>
        </w:rPr>
        <w:t>又请</w:t>
      </w:r>
      <w:r w:rsidRPr="00DC40AF">
        <w:rPr>
          <w:sz w:val="24"/>
          <w:lang w:val="en-US" w:eastAsia="zh-CN"/>
        </w:rPr>
        <w:t>执行秘书汇编根据</w:t>
      </w:r>
      <w:r w:rsidR="00DC40AF">
        <w:rPr>
          <w:rFonts w:hint="eastAsia"/>
          <w:sz w:val="24"/>
          <w:lang w:val="en-US" w:eastAsia="zh-CN"/>
        </w:rPr>
        <w:t>上文</w:t>
      </w:r>
      <w:r w:rsidRPr="00DC40AF">
        <w:rPr>
          <w:sz w:val="24"/>
          <w:lang w:val="en-US" w:eastAsia="zh-CN"/>
        </w:rPr>
        <w:t>第</w:t>
      </w:r>
      <w:r w:rsidRPr="00DC40AF">
        <w:rPr>
          <w:sz w:val="24"/>
          <w:lang w:eastAsia="zh-CN"/>
        </w:rPr>
        <w:t>3</w:t>
      </w:r>
      <w:r w:rsidRPr="00DC40AF">
        <w:rPr>
          <w:sz w:val="24"/>
          <w:lang w:eastAsia="zh-CN"/>
        </w:rPr>
        <w:t>段和第</w:t>
      </w:r>
      <w:r w:rsidRPr="00DC40AF">
        <w:rPr>
          <w:sz w:val="24"/>
          <w:lang w:eastAsia="zh-CN"/>
        </w:rPr>
        <w:t>4</w:t>
      </w:r>
      <w:r w:rsidRPr="00DC40AF">
        <w:rPr>
          <w:sz w:val="24"/>
          <w:lang w:eastAsia="zh-CN"/>
        </w:rPr>
        <w:t>段提交的信息，并将概述提交作为卡塔赫纳议定书缔约方会议的缔约方大会第十一次会议审议，以确定有无必要开展更多工作。</w:t>
      </w:r>
    </w:p>
    <w:p w14:paraId="574553B6" w14:textId="19A93EF1" w:rsidR="00D40CBB" w:rsidRPr="00DC40AF" w:rsidRDefault="00D40CBB" w:rsidP="00E011D3">
      <w:pPr>
        <w:adjustRightInd w:val="0"/>
        <w:snapToGrid w:val="0"/>
        <w:spacing w:before="120" w:after="120" w:line="240" w:lineRule="atLeast"/>
        <w:jc w:val="left"/>
        <w:rPr>
          <w:rFonts w:eastAsia="SimHei"/>
          <w:sz w:val="24"/>
          <w:lang w:eastAsia="zh-CN"/>
        </w:rPr>
      </w:pPr>
    </w:p>
    <w:p w14:paraId="0CE06484" w14:textId="77777777" w:rsidR="00D40CBB" w:rsidRPr="00DC40AF" w:rsidRDefault="00D40CBB" w:rsidP="00E011D3">
      <w:pPr>
        <w:adjustRightInd w:val="0"/>
        <w:snapToGrid w:val="0"/>
        <w:spacing w:before="120" w:after="120" w:line="240" w:lineRule="atLeast"/>
        <w:jc w:val="left"/>
        <w:rPr>
          <w:rFonts w:eastAsia="SimHei"/>
          <w:sz w:val="24"/>
          <w:lang w:val="en-US" w:eastAsia="zh-CN"/>
        </w:rPr>
      </w:pPr>
    </w:p>
    <w:p w14:paraId="2B7C0AF6" w14:textId="5ABEB08B" w:rsidR="001760A4" w:rsidRPr="00DC40AF" w:rsidRDefault="001760A4" w:rsidP="001B20DE">
      <w:pPr>
        <w:adjustRightInd w:val="0"/>
        <w:snapToGrid w:val="0"/>
        <w:spacing w:before="120" w:after="120" w:line="240" w:lineRule="atLeast"/>
        <w:jc w:val="center"/>
        <w:rPr>
          <w:rFonts w:eastAsia="SimHei"/>
          <w:sz w:val="24"/>
          <w:lang w:eastAsia="zh-CN"/>
        </w:rPr>
      </w:pPr>
      <w:r w:rsidRPr="00DC40AF">
        <w:rPr>
          <w:rFonts w:eastAsia="SimHei"/>
          <w:sz w:val="24"/>
          <w:lang w:eastAsia="zh-CN"/>
        </w:rPr>
        <w:t>—————</w:t>
      </w:r>
    </w:p>
    <w:sectPr w:rsidR="001760A4" w:rsidRPr="00DC40AF"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F5B1" w14:textId="77777777" w:rsidR="00C907FC" w:rsidRDefault="00C907FC">
      <w:r>
        <w:separator/>
      </w:r>
    </w:p>
  </w:endnote>
  <w:endnote w:type="continuationSeparator" w:id="0">
    <w:p w14:paraId="40E89D31" w14:textId="77777777" w:rsidR="00C907FC" w:rsidRDefault="00C907FC">
      <w:r>
        <w:continuationSeparator/>
      </w:r>
    </w:p>
  </w:endnote>
  <w:endnote w:type="continuationNotice" w:id="1">
    <w:p w14:paraId="45536280" w14:textId="77777777" w:rsidR="00C907FC" w:rsidRDefault="00C9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71A5F" w14:textId="77777777" w:rsidR="00C907FC" w:rsidRDefault="00C907FC">
      <w:r>
        <w:separator/>
      </w:r>
    </w:p>
  </w:footnote>
  <w:footnote w:type="continuationSeparator" w:id="0">
    <w:p w14:paraId="18DD6494" w14:textId="77777777" w:rsidR="00C907FC" w:rsidRDefault="00C907FC">
      <w:r>
        <w:continuationSeparator/>
      </w:r>
    </w:p>
  </w:footnote>
  <w:footnote w:type="continuationNotice" w:id="1">
    <w:p w14:paraId="3C6FD36C" w14:textId="77777777" w:rsidR="00C907FC" w:rsidRDefault="00C907FC"/>
  </w:footnote>
  <w:footnote w:id="2">
    <w:p w14:paraId="753EB8DE" w14:textId="1BB2542A" w:rsidR="00DC40AF" w:rsidRPr="00DC40AF" w:rsidRDefault="00DC40AF" w:rsidP="00DC40AF">
      <w:pPr>
        <w:pStyle w:val="FootnoteText"/>
        <w:ind w:firstLine="0"/>
        <w:rPr>
          <w:sz w:val="20"/>
          <w:szCs w:val="20"/>
          <w:lang w:eastAsia="zh-CN"/>
        </w:rPr>
      </w:pPr>
      <w:r w:rsidRPr="00DC40AF">
        <w:rPr>
          <w:rStyle w:val="FootnoteReference"/>
          <w:sz w:val="20"/>
          <w:szCs w:val="20"/>
        </w:rPr>
        <w:footnoteRef/>
      </w:r>
      <w:r w:rsidRPr="00DC40AF">
        <w:rPr>
          <w:sz w:val="20"/>
          <w:szCs w:val="20"/>
          <w:lang w:eastAsia="zh-CN"/>
        </w:rPr>
        <w:t xml:space="preserve"> </w:t>
      </w:r>
      <w:r w:rsidRPr="00DC40AF">
        <w:rPr>
          <w:rFonts w:hint="eastAsia"/>
          <w:sz w:val="20"/>
          <w:szCs w:val="20"/>
          <w:lang w:eastAsia="zh-CN"/>
        </w:rPr>
        <w:t>第</w:t>
      </w:r>
      <w:r w:rsidRPr="00DC40AF">
        <w:rPr>
          <w:rFonts w:hint="eastAsia"/>
          <w:sz w:val="20"/>
          <w:szCs w:val="20"/>
          <w:lang w:eastAsia="zh-CN"/>
        </w:rPr>
        <w:t>CP</w:t>
      </w:r>
      <w:r w:rsidRPr="00DC40AF">
        <w:rPr>
          <w:sz w:val="20"/>
          <w:szCs w:val="20"/>
          <w:lang w:eastAsia="zh-CN"/>
        </w:rPr>
        <w:t>-10/3</w:t>
      </w:r>
      <w:r w:rsidRPr="00DC40AF">
        <w:rPr>
          <w:rFonts w:hint="eastAsia"/>
          <w:sz w:val="20"/>
          <w:szCs w:val="20"/>
          <w:lang w:eastAsia="zh-CN"/>
        </w:rPr>
        <w:t>号决定，附件。</w:t>
      </w:r>
    </w:p>
  </w:footnote>
  <w:footnote w:id="3">
    <w:p w14:paraId="207F2A39" w14:textId="2BAAF7FB" w:rsidR="00DC40AF" w:rsidRPr="00DC40AF" w:rsidRDefault="00DC40AF" w:rsidP="00DC40AF">
      <w:pPr>
        <w:pStyle w:val="FootnoteText"/>
        <w:ind w:firstLine="0"/>
        <w:rPr>
          <w:sz w:val="20"/>
          <w:szCs w:val="20"/>
          <w:lang w:eastAsia="zh-CN"/>
        </w:rPr>
      </w:pPr>
      <w:r w:rsidRPr="00DC40AF">
        <w:rPr>
          <w:rStyle w:val="FootnoteReference"/>
          <w:sz w:val="20"/>
          <w:szCs w:val="20"/>
        </w:rPr>
        <w:footnoteRef/>
      </w:r>
      <w:r w:rsidRPr="00DC40AF">
        <w:rPr>
          <w:sz w:val="20"/>
          <w:szCs w:val="20"/>
          <w:lang w:eastAsia="zh-CN"/>
        </w:rPr>
        <w:t xml:space="preserve"> </w:t>
      </w:r>
      <w:r w:rsidRPr="00DC40AF">
        <w:rPr>
          <w:sz w:val="20"/>
          <w:szCs w:val="20"/>
          <w:lang w:eastAsia="zh-CN"/>
        </w:rPr>
        <w:t>第</w:t>
      </w:r>
      <w:r w:rsidRPr="00DC40AF">
        <w:rPr>
          <w:sz w:val="20"/>
          <w:szCs w:val="20"/>
          <w:lang w:eastAsia="zh-CN"/>
        </w:rPr>
        <w:t>CP-10/4</w:t>
      </w:r>
      <w:r w:rsidRPr="00DC40AF">
        <w:rPr>
          <w:sz w:val="20"/>
          <w:szCs w:val="20"/>
          <w:lang w:eastAsia="zh-CN"/>
        </w:rPr>
        <w:t>号决定，附件。</w:t>
      </w:r>
    </w:p>
  </w:footnote>
  <w:footnote w:id="4">
    <w:p w14:paraId="542196A3" w14:textId="4B9FA411" w:rsidR="00535C1C" w:rsidRPr="00E93862" w:rsidRDefault="00535C1C" w:rsidP="00535C1C">
      <w:pPr>
        <w:pStyle w:val="FootnoteText"/>
        <w:spacing w:line="240" w:lineRule="atLeast"/>
        <w:ind w:firstLine="0"/>
        <w:rPr>
          <w:sz w:val="20"/>
          <w:szCs w:val="20"/>
          <w:lang w:eastAsia="zh-CN"/>
        </w:rPr>
      </w:pPr>
      <w:r w:rsidRPr="007C034E">
        <w:rPr>
          <w:rStyle w:val="FootnoteReference"/>
          <w:sz w:val="20"/>
          <w:szCs w:val="20"/>
        </w:rPr>
        <w:footnoteRef/>
      </w:r>
      <w:r w:rsidR="00DC40AF">
        <w:rPr>
          <w:rFonts w:hint="eastAsia"/>
          <w:sz w:val="20"/>
          <w:szCs w:val="20"/>
          <w:lang w:eastAsia="zh-CN"/>
        </w:rPr>
        <w:t xml:space="preserve"> </w:t>
      </w:r>
      <w:r w:rsidRPr="00E93862">
        <w:rPr>
          <w:sz w:val="20"/>
          <w:szCs w:val="20"/>
          <w:lang w:eastAsia="zh-CN"/>
        </w:rPr>
        <w:t>载于</w:t>
      </w:r>
      <w:r w:rsidRPr="00E93862">
        <w:rPr>
          <w:sz w:val="20"/>
          <w:szCs w:val="20"/>
          <w:lang w:eastAsia="zh-CN"/>
        </w:rPr>
        <w:t>CBD/CP/MOP/10/11</w:t>
      </w:r>
      <w:r w:rsidR="00DC40AF">
        <w:rPr>
          <w:rFonts w:hint="eastAsia"/>
          <w:sz w:val="20"/>
          <w:szCs w:val="20"/>
          <w:lang w:eastAsia="zh-CN"/>
        </w:rPr>
        <w:t>号文件</w:t>
      </w:r>
      <w:r w:rsidRPr="00E93862">
        <w:rPr>
          <w:sz w:val="20"/>
          <w:szCs w:val="20"/>
          <w:lang w:eastAsia="zh-CN"/>
        </w:rPr>
        <w:t>，附件二和附件三。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11EF" w14:textId="0E33C126" w:rsidR="004B5B14" w:rsidRPr="005F2EEE" w:rsidRDefault="005E5FA9" w:rsidP="005F2EEE">
    <w:pPr>
      <w:pStyle w:val="Header"/>
      <w:suppressLineNumbers/>
      <w:tabs>
        <w:tab w:val="clear" w:pos="4320"/>
        <w:tab w:val="clear" w:pos="8640"/>
      </w:tabs>
      <w:suppressAutoHyphens/>
      <w:kinsoku w:val="0"/>
      <w:overflowPunct w:val="0"/>
      <w:autoSpaceDE w:val="0"/>
      <w:autoSpaceDN w:val="0"/>
      <w:jc w:val="left"/>
      <w:rPr>
        <w:kern w:val="22"/>
      </w:rPr>
    </w:pPr>
    <w:r w:rsidRPr="005E5FA9">
      <w:rPr>
        <w:kern w:val="22"/>
        <w:lang w:val="en-US" w:eastAsia="zh-CN"/>
      </w:rPr>
      <w:t>CBD/CP/MOP/DEC/10/12</w:t>
    </w:r>
  </w:p>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EndPr/>
    <w:sdtContent>
      <w:p w14:paraId="38051969" w14:textId="663A6F75" w:rsidR="0002388F" w:rsidRPr="005F2EEE" w:rsidRDefault="008B6009"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CBD/COP/15/L.6</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960EC"/>
    <w:multiLevelType w:val="hybridMultilevel"/>
    <w:tmpl w:val="2C865CA2"/>
    <w:lvl w:ilvl="0" w:tplc="FFFFFFFF">
      <w:start w:val="1"/>
      <w:numFmt w:val="decimal"/>
      <w:lvlText w:val="%1."/>
      <w:lvlJc w:val="left"/>
      <w:pPr>
        <w:ind w:left="720" w:hanging="360"/>
      </w:pPr>
      <w:rPr>
        <w:rFonts w:hint="default"/>
      </w:rPr>
    </w:lvl>
    <w:lvl w:ilvl="1" w:tplc="0409000F">
      <w:start w:val="1"/>
      <w:numFmt w:val="decimal"/>
      <w:lvlText w:val="%2."/>
      <w:lvlJc w:val="left"/>
      <w:pPr>
        <w:ind w:left="2160" w:hanging="18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5"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17209992">
    <w:abstractNumId w:val="24"/>
  </w:num>
  <w:num w:numId="2" w16cid:durableId="177500864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90983">
    <w:abstractNumId w:val="29"/>
  </w:num>
  <w:num w:numId="4" w16cid:durableId="1023937610">
    <w:abstractNumId w:val="13"/>
  </w:num>
  <w:num w:numId="5" w16cid:durableId="369574377">
    <w:abstractNumId w:val="19"/>
  </w:num>
  <w:num w:numId="6" w16cid:durableId="480856206">
    <w:abstractNumId w:val="0"/>
  </w:num>
  <w:num w:numId="7" w16cid:durableId="391317498">
    <w:abstractNumId w:val="21"/>
  </w:num>
  <w:num w:numId="8" w16cid:durableId="1626154327">
    <w:abstractNumId w:val="27"/>
  </w:num>
  <w:num w:numId="9" w16cid:durableId="1215700461">
    <w:abstractNumId w:val="12"/>
  </w:num>
  <w:num w:numId="10" w16cid:durableId="1082798388">
    <w:abstractNumId w:val="4"/>
  </w:num>
  <w:num w:numId="11" w16cid:durableId="1946814365">
    <w:abstractNumId w:val="28"/>
  </w:num>
  <w:num w:numId="12" w16cid:durableId="1053046831">
    <w:abstractNumId w:val="8"/>
  </w:num>
  <w:num w:numId="13" w16cid:durableId="943805505">
    <w:abstractNumId w:val="5"/>
  </w:num>
  <w:num w:numId="14" w16cid:durableId="1130631178">
    <w:abstractNumId w:val="10"/>
  </w:num>
  <w:num w:numId="15" w16cid:durableId="598030429">
    <w:abstractNumId w:val="26"/>
  </w:num>
  <w:num w:numId="16" w16cid:durableId="1730378897">
    <w:abstractNumId w:val="3"/>
  </w:num>
  <w:num w:numId="17" w16cid:durableId="85542404">
    <w:abstractNumId w:val="22"/>
  </w:num>
  <w:num w:numId="18" w16cid:durableId="1262297804">
    <w:abstractNumId w:val="15"/>
  </w:num>
  <w:num w:numId="19" w16cid:durableId="1577595926">
    <w:abstractNumId w:val="23"/>
  </w:num>
  <w:num w:numId="20" w16cid:durableId="555286823">
    <w:abstractNumId w:val="7"/>
  </w:num>
  <w:num w:numId="21" w16cid:durableId="1399674416">
    <w:abstractNumId w:val="17"/>
  </w:num>
  <w:num w:numId="22" w16cid:durableId="1748844186">
    <w:abstractNumId w:val="14"/>
  </w:num>
  <w:num w:numId="23" w16cid:durableId="379281401">
    <w:abstractNumId w:val="30"/>
  </w:num>
  <w:num w:numId="24" w16cid:durableId="899556041">
    <w:abstractNumId w:val="9"/>
  </w:num>
  <w:num w:numId="25" w16cid:durableId="1249728555">
    <w:abstractNumId w:val="17"/>
  </w:num>
  <w:num w:numId="26" w16cid:durableId="59064484">
    <w:abstractNumId w:val="16"/>
  </w:num>
  <w:num w:numId="27" w16cid:durableId="444618986">
    <w:abstractNumId w:val="6"/>
  </w:num>
  <w:num w:numId="28" w16cid:durableId="1186552846">
    <w:abstractNumId w:val="20"/>
  </w:num>
  <w:num w:numId="29" w16cid:durableId="2081950369">
    <w:abstractNumId w:val="1"/>
  </w:num>
  <w:num w:numId="30" w16cid:durableId="1416051221">
    <w:abstractNumId w:val="25"/>
  </w:num>
  <w:num w:numId="31" w16cid:durableId="2103255564">
    <w:abstractNumId w:val="11"/>
  </w:num>
  <w:num w:numId="32" w16cid:durableId="88371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F4148"/>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42EC3"/>
    <w:rsid w:val="002438E2"/>
    <w:rsid w:val="00246F68"/>
    <w:rsid w:val="00247ECF"/>
    <w:rsid w:val="0026167E"/>
    <w:rsid w:val="00273029"/>
    <w:rsid w:val="002753B8"/>
    <w:rsid w:val="002755E5"/>
    <w:rsid w:val="00275EEF"/>
    <w:rsid w:val="00283E68"/>
    <w:rsid w:val="00284ABE"/>
    <w:rsid w:val="002A063C"/>
    <w:rsid w:val="002A1C3D"/>
    <w:rsid w:val="002B1876"/>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E01C1"/>
    <w:rsid w:val="003F0AD7"/>
    <w:rsid w:val="003F6C8C"/>
    <w:rsid w:val="00404050"/>
    <w:rsid w:val="004068F3"/>
    <w:rsid w:val="00412E5D"/>
    <w:rsid w:val="00445D10"/>
    <w:rsid w:val="00452B60"/>
    <w:rsid w:val="004637C3"/>
    <w:rsid w:val="0046787F"/>
    <w:rsid w:val="00477501"/>
    <w:rsid w:val="00484A58"/>
    <w:rsid w:val="0049569B"/>
    <w:rsid w:val="004A169A"/>
    <w:rsid w:val="004A616A"/>
    <w:rsid w:val="004A670A"/>
    <w:rsid w:val="004A6829"/>
    <w:rsid w:val="004B512F"/>
    <w:rsid w:val="004B5B14"/>
    <w:rsid w:val="004C0830"/>
    <w:rsid w:val="004D6FF5"/>
    <w:rsid w:val="004F3C03"/>
    <w:rsid w:val="004F4F6D"/>
    <w:rsid w:val="005044B3"/>
    <w:rsid w:val="005049D8"/>
    <w:rsid w:val="00505E39"/>
    <w:rsid w:val="00516090"/>
    <w:rsid w:val="005206EE"/>
    <w:rsid w:val="00535C1C"/>
    <w:rsid w:val="005419C1"/>
    <w:rsid w:val="00552B1D"/>
    <w:rsid w:val="0055582C"/>
    <w:rsid w:val="005623DE"/>
    <w:rsid w:val="0056679D"/>
    <w:rsid w:val="00567811"/>
    <w:rsid w:val="005749A6"/>
    <w:rsid w:val="00574AD9"/>
    <w:rsid w:val="00575809"/>
    <w:rsid w:val="005875A3"/>
    <w:rsid w:val="005A1709"/>
    <w:rsid w:val="005B1760"/>
    <w:rsid w:val="005B3E72"/>
    <w:rsid w:val="005B6B55"/>
    <w:rsid w:val="005C0CA8"/>
    <w:rsid w:val="005C23C2"/>
    <w:rsid w:val="005C4686"/>
    <w:rsid w:val="005C6AD5"/>
    <w:rsid w:val="005E4769"/>
    <w:rsid w:val="005E5FA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80822"/>
    <w:rsid w:val="00783719"/>
    <w:rsid w:val="00783D29"/>
    <w:rsid w:val="00786E5A"/>
    <w:rsid w:val="00792AD8"/>
    <w:rsid w:val="0079480A"/>
    <w:rsid w:val="007A3272"/>
    <w:rsid w:val="007A7EA4"/>
    <w:rsid w:val="007B7E70"/>
    <w:rsid w:val="007E2C98"/>
    <w:rsid w:val="007E3278"/>
    <w:rsid w:val="007E4023"/>
    <w:rsid w:val="007E4E15"/>
    <w:rsid w:val="007E54B2"/>
    <w:rsid w:val="007F4679"/>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B081B"/>
    <w:rsid w:val="008B6009"/>
    <w:rsid w:val="008C4E38"/>
    <w:rsid w:val="008C58C2"/>
    <w:rsid w:val="008C7692"/>
    <w:rsid w:val="008E1E43"/>
    <w:rsid w:val="008E311B"/>
    <w:rsid w:val="008E56A2"/>
    <w:rsid w:val="008E6F4E"/>
    <w:rsid w:val="008E7134"/>
    <w:rsid w:val="008F0D54"/>
    <w:rsid w:val="008F694E"/>
    <w:rsid w:val="009014B1"/>
    <w:rsid w:val="00904515"/>
    <w:rsid w:val="0090494F"/>
    <w:rsid w:val="00907E8C"/>
    <w:rsid w:val="009221EF"/>
    <w:rsid w:val="00926214"/>
    <w:rsid w:val="00926662"/>
    <w:rsid w:val="00926E34"/>
    <w:rsid w:val="009374B9"/>
    <w:rsid w:val="00937569"/>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A3419"/>
    <w:rsid w:val="009A342C"/>
    <w:rsid w:val="009A41A5"/>
    <w:rsid w:val="009A5BFF"/>
    <w:rsid w:val="009A6EAD"/>
    <w:rsid w:val="009C22CB"/>
    <w:rsid w:val="009C2B90"/>
    <w:rsid w:val="009C331E"/>
    <w:rsid w:val="009C51D1"/>
    <w:rsid w:val="009C5A86"/>
    <w:rsid w:val="009E2C86"/>
    <w:rsid w:val="009E4492"/>
    <w:rsid w:val="009F1870"/>
    <w:rsid w:val="009F290B"/>
    <w:rsid w:val="009F33A3"/>
    <w:rsid w:val="009F700F"/>
    <w:rsid w:val="00A01695"/>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F7DAD"/>
    <w:rsid w:val="00B05596"/>
    <w:rsid w:val="00B12A30"/>
    <w:rsid w:val="00B14B4A"/>
    <w:rsid w:val="00B16922"/>
    <w:rsid w:val="00B22003"/>
    <w:rsid w:val="00B22966"/>
    <w:rsid w:val="00B26194"/>
    <w:rsid w:val="00B35490"/>
    <w:rsid w:val="00B40C19"/>
    <w:rsid w:val="00B40E7A"/>
    <w:rsid w:val="00B421D4"/>
    <w:rsid w:val="00B4605F"/>
    <w:rsid w:val="00B46211"/>
    <w:rsid w:val="00B55EC9"/>
    <w:rsid w:val="00B56362"/>
    <w:rsid w:val="00B570BA"/>
    <w:rsid w:val="00B624C4"/>
    <w:rsid w:val="00B645B4"/>
    <w:rsid w:val="00B66547"/>
    <w:rsid w:val="00B70A7B"/>
    <w:rsid w:val="00B74051"/>
    <w:rsid w:val="00B76183"/>
    <w:rsid w:val="00B8137E"/>
    <w:rsid w:val="00B90CC5"/>
    <w:rsid w:val="00B913B1"/>
    <w:rsid w:val="00B9757B"/>
    <w:rsid w:val="00B978F9"/>
    <w:rsid w:val="00BA34E4"/>
    <w:rsid w:val="00BB36A4"/>
    <w:rsid w:val="00BB6FB3"/>
    <w:rsid w:val="00BC1E9D"/>
    <w:rsid w:val="00BC41FD"/>
    <w:rsid w:val="00BC61B1"/>
    <w:rsid w:val="00BC7C9C"/>
    <w:rsid w:val="00BD0282"/>
    <w:rsid w:val="00BD12A7"/>
    <w:rsid w:val="00BD1D9C"/>
    <w:rsid w:val="00BE76A0"/>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907FC"/>
    <w:rsid w:val="00C9154C"/>
    <w:rsid w:val="00C963E2"/>
    <w:rsid w:val="00CB2809"/>
    <w:rsid w:val="00CB58E1"/>
    <w:rsid w:val="00CB6F0E"/>
    <w:rsid w:val="00CC2937"/>
    <w:rsid w:val="00CC3097"/>
    <w:rsid w:val="00CD478D"/>
    <w:rsid w:val="00CD4FB3"/>
    <w:rsid w:val="00CF7874"/>
    <w:rsid w:val="00D00369"/>
    <w:rsid w:val="00D04423"/>
    <w:rsid w:val="00D054EF"/>
    <w:rsid w:val="00D15253"/>
    <w:rsid w:val="00D20100"/>
    <w:rsid w:val="00D40CBB"/>
    <w:rsid w:val="00D41DB2"/>
    <w:rsid w:val="00D5228E"/>
    <w:rsid w:val="00D55888"/>
    <w:rsid w:val="00D637A1"/>
    <w:rsid w:val="00D643D5"/>
    <w:rsid w:val="00D672E6"/>
    <w:rsid w:val="00D727B9"/>
    <w:rsid w:val="00D751F1"/>
    <w:rsid w:val="00D77F47"/>
    <w:rsid w:val="00D84D99"/>
    <w:rsid w:val="00D96046"/>
    <w:rsid w:val="00D964C1"/>
    <w:rsid w:val="00DA5659"/>
    <w:rsid w:val="00DA7142"/>
    <w:rsid w:val="00DA7F92"/>
    <w:rsid w:val="00DC40AF"/>
    <w:rsid w:val="00DD2B2E"/>
    <w:rsid w:val="00DE329A"/>
    <w:rsid w:val="00DE552D"/>
    <w:rsid w:val="00DE768B"/>
    <w:rsid w:val="00DF1619"/>
    <w:rsid w:val="00DF46F6"/>
    <w:rsid w:val="00DF5C2F"/>
    <w:rsid w:val="00E011D3"/>
    <w:rsid w:val="00E014FA"/>
    <w:rsid w:val="00E0671F"/>
    <w:rsid w:val="00E1188D"/>
    <w:rsid w:val="00E21231"/>
    <w:rsid w:val="00E26220"/>
    <w:rsid w:val="00E266A8"/>
    <w:rsid w:val="00E26916"/>
    <w:rsid w:val="00E27F97"/>
    <w:rsid w:val="00E404C4"/>
    <w:rsid w:val="00E4243D"/>
    <w:rsid w:val="00E46CB2"/>
    <w:rsid w:val="00E53799"/>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21CC"/>
    <w:rsid w:val="00F2795D"/>
    <w:rsid w:val="00F34EF1"/>
    <w:rsid w:val="00F422F4"/>
    <w:rsid w:val="00F47D48"/>
    <w:rsid w:val="00F504CE"/>
    <w:rsid w:val="00F52A5E"/>
    <w:rsid w:val="00F63081"/>
    <w:rsid w:val="00F668B9"/>
    <w:rsid w:val="00F67477"/>
    <w:rsid w:val="00F734A9"/>
    <w:rsid w:val="00F75793"/>
    <w:rsid w:val="00FB3CA3"/>
    <w:rsid w:val="00FC62AB"/>
    <w:rsid w:val="00FD2796"/>
    <w:rsid w:val="00FD4292"/>
    <w:rsid w:val="00FD7C21"/>
    <w:rsid w:val="00FE181F"/>
    <w:rsid w:val="00FE2DE9"/>
    <w:rsid w:val="00FF156E"/>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iPriority="35" w:unhideWhenUsed="1" w:qFormat="1"/>
    <w:lsdException w:name="footnote reference" w:qFormat="1"/>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basedOn w:val="Normal"/>
    <w:link w:val="FootnoteTextChar"/>
    <w:semiHidden/>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basedOn w:val="DefaultParagraphFont"/>
    <w:link w:val="FootnoteText"/>
    <w:semiHidden/>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notTrueType/>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2200E2"/>
    <w:rsid w:val="00224182"/>
    <w:rsid w:val="00270F9D"/>
    <w:rsid w:val="00291B53"/>
    <w:rsid w:val="00451CE6"/>
    <w:rsid w:val="004902DD"/>
    <w:rsid w:val="004C0C98"/>
    <w:rsid w:val="005455B3"/>
    <w:rsid w:val="005F2939"/>
    <w:rsid w:val="006667E8"/>
    <w:rsid w:val="007F3F95"/>
    <w:rsid w:val="0089364D"/>
    <w:rsid w:val="00972C8B"/>
    <w:rsid w:val="00974E94"/>
    <w:rsid w:val="00A1458C"/>
    <w:rsid w:val="00A66F70"/>
    <w:rsid w:val="00A92245"/>
    <w:rsid w:val="00AB0D60"/>
    <w:rsid w:val="00B10E24"/>
    <w:rsid w:val="00B81CC7"/>
    <w:rsid w:val="00C220D1"/>
    <w:rsid w:val="00CD512D"/>
    <w:rsid w:val="00D305B3"/>
    <w:rsid w:val="00D52EB5"/>
    <w:rsid w:val="00D53CDE"/>
    <w:rsid w:val="00D53FB5"/>
    <w:rsid w:val="00DA1EAD"/>
    <w:rsid w:val="00E72E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2.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E04BF4AF-6071-48EB-8FB3-8F5B42E9F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CBD/COP/15/L.6</dc:subject>
  <dc:creator>SECRETARIAT OF THE CONVENTION ON BIOLOGICAL DIVESITY</dc:creator>
  <cp:keywords>Conference of the Parties to the Convention on Biological Diversity, fifteenth meeting, 11-15 October 2021 and 25 April – 8 May 2022</cp:keywords>
  <cp:lastModifiedBy>Xue He Yan</cp:lastModifiedBy>
  <cp:revision>5</cp:revision>
  <cp:lastPrinted>2019-03-06T19:02:00Z</cp:lastPrinted>
  <dcterms:created xsi:type="dcterms:W3CDTF">2023-02-23T14:12:00Z</dcterms:created>
  <dcterms:modified xsi:type="dcterms:W3CDTF">2023-02-23T18:53:00Z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