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461"/>
      </w:tblGrid>
      <w:tr w:rsidR="00C9161D" w14:paraId="07F6750D" w14:textId="77777777" w:rsidTr="00470AA4">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F5C59">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461"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470AA4">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61"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5DE6D173" w:rsidR="00C9161D" w:rsidRPr="00C9161D" w:rsidRDefault="001F6651"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7AFDFEA4" w:rsidR="00C9161D" w:rsidRPr="00C9161D" w:rsidRDefault="00380BAD"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A383F">
                  <w:rPr>
                    <w:lang w:val="en-US"/>
                  </w:rPr>
                  <w:t>CBD/CP/MOP/DEC</w:t>
                </w:r>
                <w:r w:rsidR="00FA383F" w:rsidRPr="006754D1">
                  <w:rPr>
                    <w:lang w:val="en-US"/>
                  </w:rPr>
                  <w:t>/10</w:t>
                </w:r>
                <w:r w:rsidR="00FA383F">
                  <w:rPr>
                    <w:lang w:val="en-US"/>
                  </w:rPr>
                  <w:t>/12</w:t>
                </w:r>
              </w:sdtContent>
            </w:sdt>
          </w:p>
          <w:p w14:paraId="0DF1F033" w14:textId="131C68D5" w:rsidR="00C9161D" w:rsidRPr="00C9161D" w:rsidRDefault="001F6651" w:rsidP="00176CEE">
            <w:pPr>
              <w:ind w:left="1215"/>
              <w:rPr>
                <w:szCs w:val="22"/>
              </w:rPr>
            </w:pPr>
            <w:r>
              <w:rPr>
                <w:szCs w:val="22"/>
                <w:lang w:val="en-US"/>
              </w:rPr>
              <w:t>1</w:t>
            </w:r>
            <w:r w:rsidR="00C448E7">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51CFE6F1" w:rsidR="003B7BB2" w:rsidRPr="00910961" w:rsidRDefault="003B7BB2" w:rsidP="00470AA4">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3108FA21" w:rsidR="00C9161D" w:rsidRPr="00C9161D" w:rsidRDefault="00B26ACD" w:rsidP="00C9161D">
      <w:r>
        <w:rPr>
          <w:snapToGrid w:val="0"/>
          <w:kern w:val="22"/>
          <w:szCs w:val="22"/>
        </w:rPr>
        <w:t>Agenda i</w:t>
      </w:r>
      <w:r w:rsidR="00134846" w:rsidRPr="004B44DE">
        <w:rPr>
          <w:snapToGrid w:val="0"/>
          <w:kern w:val="22"/>
          <w:szCs w:val="22"/>
        </w:rPr>
        <w:t xml:space="preserve">tem </w:t>
      </w:r>
      <w:r w:rsidR="00C448E7">
        <w:rPr>
          <w:snapToGrid w:val="0"/>
          <w:kern w:val="22"/>
          <w:szCs w:val="22"/>
        </w:rPr>
        <w:t>16</w:t>
      </w:r>
      <w:r w:rsidR="00134846" w:rsidRPr="004B44DE">
        <w:rPr>
          <w:snapToGrid w:val="0"/>
          <w:kern w:val="22"/>
          <w:szCs w:val="22"/>
        </w:rPr>
        <w:t xml:space="preserve"> </w:t>
      </w:r>
    </w:p>
    <w:p w14:paraId="3997B58B" w14:textId="77777777" w:rsidR="00462920" w:rsidRPr="00162C1D" w:rsidRDefault="00462920" w:rsidP="00470AA4">
      <w:pPr>
        <w:spacing w:before="240" w:after="240"/>
        <w:ind w:right="-288"/>
        <w:jc w:val="center"/>
        <w:rPr>
          <w:rFonts w:ascii="Times New Roman Bold" w:hAnsi="Times New Roman Bold"/>
          <w:b/>
          <w:caps/>
        </w:rPr>
      </w:pPr>
      <w:r w:rsidRPr="00162C1D">
        <w:rPr>
          <w:rFonts w:ascii="Times New Roman Bold" w:hAnsi="Times New Roman Bold"/>
          <w:b/>
          <w:caps/>
        </w:rPr>
        <w:t>Decision adopted by the Parties to the Cartagena Protocol on Biosafety</w:t>
      </w:r>
    </w:p>
    <w:p w14:paraId="57F6B7A1" w14:textId="6379090F" w:rsidR="00C9161D" w:rsidRDefault="00380BAD" w:rsidP="00470AA4">
      <w:pPr>
        <w:keepNext/>
        <w:spacing w:before="120" w:after="240"/>
        <w:jc w:val="center"/>
        <w:outlineLvl w:val="1"/>
        <w:rPr>
          <w:b/>
          <w:caps/>
        </w:rPr>
      </w:pPr>
      <w:sdt>
        <w:sdtPr>
          <w:rP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F6651" w:rsidRPr="001F6651">
            <w:rPr>
              <w:b/>
            </w:rPr>
            <w:t>CP-10/</w:t>
          </w:r>
          <w:r w:rsidR="001F6651">
            <w:rPr>
              <w:b/>
            </w:rPr>
            <w:t>12</w:t>
          </w:r>
          <w:r w:rsidR="001F6651" w:rsidRPr="001F6651">
            <w:rPr>
              <w:b/>
            </w:rPr>
            <w:t>.</w:t>
          </w:r>
          <w:r w:rsidR="001F6651" w:rsidRPr="001F6651">
            <w:rPr>
              <w:b/>
            </w:rPr>
            <w:tab/>
            <w:t>Socio-economic considerations (Article 26)</w:t>
          </w:r>
        </w:sdtContent>
      </w:sdt>
      <w:r w:rsidR="00105372" w:rsidRPr="00105372">
        <w:rPr>
          <w:b/>
          <w:caps/>
        </w:rPr>
        <w:t xml:space="preserve"> </w:t>
      </w:r>
    </w:p>
    <w:p w14:paraId="2F43FB30" w14:textId="77777777" w:rsidR="00C448E7" w:rsidRPr="00B00BEF" w:rsidRDefault="00C448E7" w:rsidP="00C448E7">
      <w:pPr>
        <w:shd w:val="clear" w:color="auto" w:fill="FFFFFF" w:themeFill="background1"/>
        <w:spacing w:before="240" w:after="120"/>
        <w:ind w:firstLine="720"/>
        <w:rPr>
          <w:kern w:val="22"/>
        </w:rPr>
      </w:pPr>
      <w:r w:rsidRPr="00B00BEF">
        <w:rPr>
          <w:i/>
          <w:iCs/>
          <w:kern w:val="22"/>
          <w:szCs w:val="22"/>
        </w:rPr>
        <w:t xml:space="preserve">The Conference of the Parties serving as the meeting of the Parties to the Cartagena Protocol on Biosafety, </w:t>
      </w:r>
    </w:p>
    <w:p w14:paraId="5E082DD6" w14:textId="77777777" w:rsidR="00C448E7" w:rsidRDefault="00C448E7" w:rsidP="00C448E7">
      <w:pPr>
        <w:shd w:val="clear" w:color="auto" w:fill="FFFFFF" w:themeFill="background1"/>
        <w:spacing w:before="120" w:after="120"/>
        <w:ind w:firstLine="720"/>
        <w:rPr>
          <w:i/>
          <w:iCs/>
          <w:kern w:val="22"/>
        </w:rPr>
      </w:pPr>
      <w:r>
        <w:rPr>
          <w:i/>
          <w:iCs/>
          <w:kern w:val="22"/>
        </w:rPr>
        <w:t xml:space="preserve">Recalling </w:t>
      </w:r>
      <w:r w:rsidRPr="005659A7">
        <w:rPr>
          <w:kern w:val="22"/>
        </w:rPr>
        <w:t>Article 26, paragraph 2,</w:t>
      </w:r>
      <w:r>
        <w:rPr>
          <w:kern w:val="22"/>
        </w:rPr>
        <w:t xml:space="preserve"> of the Cartagena Protocol on Biosafety,</w:t>
      </w:r>
    </w:p>
    <w:p w14:paraId="7AD35CEE" w14:textId="77777777" w:rsidR="00C448E7" w:rsidRDefault="00C448E7" w:rsidP="00C448E7">
      <w:pPr>
        <w:shd w:val="clear" w:color="auto" w:fill="FFFFFF" w:themeFill="background1"/>
        <w:spacing w:before="120" w:after="120"/>
        <w:ind w:firstLine="720"/>
        <w:rPr>
          <w:i/>
          <w:iCs/>
          <w:kern w:val="22"/>
        </w:rPr>
      </w:pPr>
      <w:proofErr w:type="gramStart"/>
      <w:r>
        <w:rPr>
          <w:i/>
          <w:iCs/>
          <w:kern w:val="22"/>
        </w:rPr>
        <w:t>Recalling also</w:t>
      </w:r>
      <w:proofErr w:type="gramEnd"/>
      <w:r>
        <w:rPr>
          <w:i/>
          <w:iCs/>
          <w:kern w:val="22"/>
        </w:rPr>
        <w:t xml:space="preserve"> </w:t>
      </w:r>
      <w:r w:rsidRPr="005659A7">
        <w:rPr>
          <w:kern w:val="22"/>
        </w:rPr>
        <w:t>the preamble to decision CP-9/14</w:t>
      </w:r>
      <w:r>
        <w:rPr>
          <w:kern w:val="22"/>
        </w:rPr>
        <w:t>,</w:t>
      </w:r>
    </w:p>
    <w:p w14:paraId="19A10FC6" w14:textId="77777777" w:rsidR="00C448E7" w:rsidRPr="00B00BEF" w:rsidRDefault="00C448E7" w:rsidP="00C448E7">
      <w:pPr>
        <w:shd w:val="clear" w:color="auto" w:fill="FFFFFF" w:themeFill="background1"/>
        <w:spacing w:before="120" w:after="120"/>
        <w:ind w:firstLine="720"/>
        <w:rPr>
          <w:kern w:val="22"/>
        </w:rPr>
      </w:pPr>
      <w:r>
        <w:rPr>
          <w:i/>
          <w:iCs/>
          <w:kern w:val="22"/>
        </w:rPr>
        <w:t>R</w:t>
      </w:r>
      <w:r w:rsidRPr="00B00BEF">
        <w:rPr>
          <w:i/>
          <w:iCs/>
          <w:kern w:val="22"/>
        </w:rPr>
        <w:t>ecalling</w:t>
      </w:r>
      <w:r>
        <w:rPr>
          <w:i/>
          <w:iCs/>
          <w:kern w:val="22"/>
        </w:rPr>
        <w:t xml:space="preserve"> further</w:t>
      </w:r>
      <w:r>
        <w:rPr>
          <w:kern w:val="22"/>
        </w:rPr>
        <w:t xml:space="preserve"> </w:t>
      </w:r>
      <w:r w:rsidRPr="00B00BEF">
        <w:rPr>
          <w:kern w:val="22"/>
        </w:rPr>
        <w:t>the</w:t>
      </w:r>
      <w:r>
        <w:rPr>
          <w:kern w:val="22"/>
        </w:rPr>
        <w:t xml:space="preserve"> voluntary</w:t>
      </w:r>
      <w:r w:rsidRPr="00B00BEF">
        <w:rPr>
          <w:kern w:val="22"/>
        </w:rPr>
        <w:t xml:space="preserve"> “Guidance on </w:t>
      </w:r>
      <w:r w:rsidRPr="00B00BEF">
        <w:rPr>
          <w:kern w:val="22"/>
          <w:szCs w:val="22"/>
        </w:rPr>
        <w:t xml:space="preserve">the Assessment of Socio-Economic Considerations in the Context of Article 26 of the Cartagena Protocol on Biosafety” noted in decision CP-9/14, </w:t>
      </w:r>
    </w:p>
    <w:p w14:paraId="52E6D567" w14:textId="77777777" w:rsidR="00C448E7" w:rsidRPr="00B00BEF" w:rsidRDefault="00C448E7" w:rsidP="00C448E7">
      <w:pPr>
        <w:shd w:val="clear" w:color="auto" w:fill="FFFFFF" w:themeFill="background1"/>
        <w:spacing w:before="120" w:after="120"/>
        <w:ind w:firstLine="720"/>
        <w:rPr>
          <w:kern w:val="22"/>
          <w:szCs w:val="22"/>
        </w:rPr>
      </w:pPr>
      <w:r w:rsidRPr="00B00BEF">
        <w:rPr>
          <w:i/>
          <w:iCs/>
          <w:kern w:val="22"/>
          <w:szCs w:val="22"/>
        </w:rPr>
        <w:t xml:space="preserve">Recognizing </w:t>
      </w:r>
      <w:r w:rsidRPr="00B00BEF">
        <w:rPr>
          <w:kern w:val="22"/>
          <w:szCs w:val="22"/>
        </w:rPr>
        <w:t xml:space="preserve">the limited time available for Parties, other Governments, relevant </w:t>
      </w:r>
      <w:proofErr w:type="gramStart"/>
      <w:r w:rsidRPr="00B00BEF">
        <w:rPr>
          <w:kern w:val="22"/>
          <w:szCs w:val="22"/>
        </w:rPr>
        <w:t>organizations</w:t>
      </w:r>
      <w:proofErr w:type="gramEnd"/>
      <w:r w:rsidRPr="00B00BEF">
        <w:rPr>
          <w:kern w:val="22"/>
          <w:szCs w:val="22"/>
        </w:rPr>
        <w:t xml:space="preserve"> and other stakeholders to make use of the voluntary Guidance, </w:t>
      </w:r>
    </w:p>
    <w:p w14:paraId="7C95AC47" w14:textId="77777777" w:rsidR="00C448E7" w:rsidRPr="008573B8" w:rsidRDefault="00C448E7" w:rsidP="00C448E7">
      <w:pPr>
        <w:shd w:val="clear" w:color="auto" w:fill="FFFFFF" w:themeFill="background1"/>
        <w:spacing w:before="120" w:after="120"/>
        <w:rPr>
          <w:kern w:val="22"/>
          <w:szCs w:val="22"/>
        </w:rPr>
      </w:pPr>
      <w:r w:rsidRPr="00B00BEF">
        <w:rPr>
          <w:i/>
          <w:iCs/>
          <w:kern w:val="22"/>
          <w:szCs w:val="22"/>
        </w:rPr>
        <w:tab/>
        <w:t xml:space="preserve">Acknowledging </w:t>
      </w:r>
      <w:r w:rsidRPr="00B00BEF">
        <w:rPr>
          <w:kern w:val="22"/>
          <w:szCs w:val="22"/>
        </w:rPr>
        <w:t>the need to gather and share further information on methodologies and approaches,</w:t>
      </w:r>
    </w:p>
    <w:p w14:paraId="14FF1429" w14:textId="7AEDBEC6" w:rsidR="00C448E7" w:rsidRPr="00CA218E" w:rsidRDefault="00C448E7" w:rsidP="00C448E7">
      <w:pPr>
        <w:shd w:val="clear" w:color="auto" w:fill="FFFFFF" w:themeFill="background1"/>
        <w:spacing w:before="120" w:after="120"/>
        <w:ind w:firstLine="720"/>
        <w:rPr>
          <w:kern w:val="22"/>
          <w:szCs w:val="22"/>
        </w:rPr>
      </w:pPr>
      <w:r w:rsidRPr="00B00BEF">
        <w:rPr>
          <w:i/>
          <w:iCs/>
          <w:kern w:val="22"/>
          <w:szCs w:val="22"/>
        </w:rPr>
        <w:t xml:space="preserve">Noting </w:t>
      </w:r>
      <w:r w:rsidRPr="00B00BEF">
        <w:rPr>
          <w:snapToGrid w:val="0"/>
          <w:kern w:val="22"/>
          <w:szCs w:val="22"/>
        </w:rPr>
        <w:t xml:space="preserve">the information provided by Parties in their fourth national reports relating to Article 26 of the Cartagena Protocol on Biosafety, </w:t>
      </w:r>
      <w:r>
        <w:rPr>
          <w:snapToGrid w:val="0"/>
          <w:kern w:val="22"/>
          <w:szCs w:val="22"/>
        </w:rPr>
        <w:t>as well as</w:t>
      </w:r>
      <w:r w:rsidRPr="00B00BEF">
        <w:rPr>
          <w:i/>
          <w:iCs/>
          <w:snapToGrid w:val="0"/>
          <w:kern w:val="22"/>
          <w:szCs w:val="22"/>
        </w:rPr>
        <w:t xml:space="preserve"> </w:t>
      </w:r>
      <w:r w:rsidRPr="00B00BEF">
        <w:rPr>
          <w:iCs/>
          <w:snapToGrid w:val="0"/>
          <w:kern w:val="22"/>
          <w:szCs w:val="22"/>
        </w:rPr>
        <w:t xml:space="preserve">the findings on socioeconomic </w:t>
      </w:r>
      <w:r w:rsidRPr="000C60BE">
        <w:rPr>
          <w:iCs/>
          <w:snapToGrid w:val="0"/>
          <w:kern w:val="22"/>
          <w:szCs w:val="22"/>
        </w:rPr>
        <w:t xml:space="preserve">considerations in the fourth assessment and review of the effectiveness of the Protocol and the final evaluation of the Strategic Plan for the Cartagena Protocol </w:t>
      </w:r>
      <w:r w:rsidR="00051559" w:rsidRPr="00470AA4">
        <w:rPr>
          <w:iCs/>
          <w:snapToGrid w:val="0"/>
          <w:kern w:val="22"/>
          <w:szCs w:val="22"/>
        </w:rPr>
        <w:t xml:space="preserve">on Biosafety </w:t>
      </w:r>
      <w:r w:rsidRPr="000C60BE">
        <w:rPr>
          <w:iCs/>
          <w:snapToGrid w:val="0"/>
          <w:kern w:val="22"/>
          <w:szCs w:val="22"/>
        </w:rPr>
        <w:t>for the period 2011</w:t>
      </w:r>
      <w:r w:rsidR="00424388">
        <w:rPr>
          <w:iCs/>
          <w:snapToGrid w:val="0"/>
          <w:kern w:val="22"/>
          <w:szCs w:val="22"/>
        </w:rPr>
        <w:t>–</w:t>
      </w:r>
      <w:r w:rsidRPr="000C60BE">
        <w:rPr>
          <w:iCs/>
          <w:snapToGrid w:val="0"/>
          <w:kern w:val="22"/>
          <w:szCs w:val="22"/>
        </w:rPr>
        <w:t xml:space="preserve">2020, as </w:t>
      </w:r>
      <w:r w:rsidRPr="00E41E97">
        <w:rPr>
          <w:iCs/>
          <w:snapToGrid w:val="0"/>
          <w:kern w:val="22"/>
          <w:szCs w:val="22"/>
        </w:rPr>
        <w:t xml:space="preserve">presented in </w:t>
      </w:r>
      <w:r w:rsidRPr="00CA218E">
        <w:rPr>
          <w:iCs/>
          <w:snapToGrid w:val="0"/>
          <w:kern w:val="22"/>
          <w:szCs w:val="22"/>
        </w:rPr>
        <w:t>decision CP-10/</w:t>
      </w:r>
      <w:r w:rsidR="00F614C9" w:rsidRPr="00CA218E">
        <w:rPr>
          <w:iCs/>
          <w:snapToGrid w:val="0"/>
          <w:kern w:val="22"/>
          <w:szCs w:val="22"/>
        </w:rPr>
        <w:t>7</w:t>
      </w:r>
      <w:r w:rsidR="00C37623" w:rsidRPr="00CA218E">
        <w:rPr>
          <w:iCs/>
          <w:snapToGrid w:val="0"/>
          <w:kern w:val="22"/>
          <w:szCs w:val="22"/>
        </w:rPr>
        <w:t>,</w:t>
      </w:r>
    </w:p>
    <w:p w14:paraId="18B51FD2" w14:textId="3C2989A1" w:rsidR="00C448E7" w:rsidRDefault="00C448E7" w:rsidP="00C448E7">
      <w:pPr>
        <w:shd w:val="clear" w:color="auto" w:fill="FFFFFF" w:themeFill="background1"/>
        <w:spacing w:before="120" w:after="120"/>
        <w:ind w:firstLine="720"/>
        <w:rPr>
          <w:kern w:val="22"/>
        </w:rPr>
      </w:pPr>
      <w:proofErr w:type="gramStart"/>
      <w:r w:rsidRPr="00CA218E">
        <w:rPr>
          <w:i/>
          <w:iCs/>
          <w:kern w:val="22"/>
          <w:szCs w:val="22"/>
        </w:rPr>
        <w:t>Noting also</w:t>
      </w:r>
      <w:proofErr w:type="gramEnd"/>
      <w:r w:rsidRPr="00CA218E">
        <w:rPr>
          <w:i/>
          <w:iCs/>
          <w:kern w:val="22"/>
          <w:szCs w:val="22"/>
        </w:rPr>
        <w:t xml:space="preserve"> </w:t>
      </w:r>
      <w:r w:rsidRPr="00CA218E">
        <w:rPr>
          <w:kern w:val="22"/>
          <w:szCs w:val="22"/>
        </w:rPr>
        <w:t xml:space="preserve">the Goal and related capacity-building activities in the </w:t>
      </w:r>
      <w:r w:rsidR="00FE0168" w:rsidRPr="00CA218E">
        <w:rPr>
          <w:kern w:val="22"/>
          <w:szCs w:val="22"/>
        </w:rPr>
        <w:t>I</w:t>
      </w:r>
      <w:r w:rsidRPr="00CA218E">
        <w:rPr>
          <w:kern w:val="22"/>
          <w:szCs w:val="22"/>
        </w:rPr>
        <w:t xml:space="preserve">mplementation </w:t>
      </w:r>
      <w:r w:rsidR="00FE0168" w:rsidRPr="00CA218E">
        <w:rPr>
          <w:kern w:val="22"/>
          <w:szCs w:val="22"/>
        </w:rPr>
        <w:t>P</w:t>
      </w:r>
      <w:r w:rsidRPr="00CA218E">
        <w:rPr>
          <w:kern w:val="22"/>
          <w:szCs w:val="22"/>
        </w:rPr>
        <w:t>lan</w:t>
      </w:r>
      <w:r w:rsidR="00E41E97" w:rsidRPr="00CA218E">
        <w:rPr>
          <w:kern w:val="22"/>
          <w:szCs w:val="22"/>
        </w:rPr>
        <w:t xml:space="preserve"> for the Cartagena Protocol on Biosafety</w:t>
      </w:r>
      <w:r w:rsidR="00091751" w:rsidRPr="00470AA4">
        <w:rPr>
          <w:rStyle w:val="FootnoteReference"/>
          <w:kern w:val="22"/>
          <w:szCs w:val="22"/>
        </w:rPr>
        <w:footnoteReference w:id="1"/>
      </w:r>
      <w:r w:rsidRPr="00CA218E">
        <w:rPr>
          <w:kern w:val="22"/>
          <w:szCs w:val="22"/>
        </w:rPr>
        <w:t xml:space="preserve"> and in the </w:t>
      </w:r>
      <w:r w:rsidR="00FE0168" w:rsidRPr="00CA218E">
        <w:rPr>
          <w:kern w:val="22"/>
          <w:szCs w:val="22"/>
        </w:rPr>
        <w:t>C</w:t>
      </w:r>
      <w:r w:rsidRPr="00CA218E">
        <w:rPr>
          <w:kern w:val="22"/>
          <w:szCs w:val="22"/>
        </w:rPr>
        <w:t xml:space="preserve">apacity-building </w:t>
      </w:r>
      <w:r w:rsidR="00FE0168" w:rsidRPr="00CA218E">
        <w:rPr>
          <w:kern w:val="22"/>
          <w:szCs w:val="22"/>
        </w:rPr>
        <w:t>A</w:t>
      </w:r>
      <w:r w:rsidRPr="00CA218E">
        <w:rPr>
          <w:kern w:val="22"/>
          <w:szCs w:val="22"/>
        </w:rPr>
        <w:t xml:space="preserve">ction </w:t>
      </w:r>
      <w:r w:rsidR="00FE0168" w:rsidRPr="00CA218E">
        <w:rPr>
          <w:kern w:val="22"/>
          <w:szCs w:val="22"/>
        </w:rPr>
        <w:t>P</w:t>
      </w:r>
      <w:r w:rsidRPr="00CA218E">
        <w:rPr>
          <w:kern w:val="22"/>
          <w:szCs w:val="22"/>
        </w:rPr>
        <w:t>lan for the Cartagena Protocol on Biosafety</w:t>
      </w:r>
      <w:r w:rsidR="00D85077" w:rsidRPr="00470AA4">
        <w:rPr>
          <w:rStyle w:val="FootnoteReference"/>
          <w:kern w:val="22"/>
          <w:szCs w:val="22"/>
        </w:rPr>
        <w:footnoteReference w:id="2"/>
      </w:r>
      <w:r w:rsidRPr="00CA218E">
        <w:rPr>
          <w:kern w:val="22"/>
          <w:szCs w:val="22"/>
        </w:rPr>
        <w:t xml:space="preserve"> relating to Article 26 of the Cartagena Protocol, and </w:t>
      </w:r>
      <w:r w:rsidRPr="00470AA4">
        <w:rPr>
          <w:kern w:val="22"/>
          <w:szCs w:val="22"/>
        </w:rPr>
        <w:t>acknowledging</w:t>
      </w:r>
      <w:r w:rsidRPr="00CA218E">
        <w:rPr>
          <w:kern w:val="22"/>
          <w:szCs w:val="22"/>
        </w:rPr>
        <w:t xml:space="preserve"> the importance of capacity</w:t>
      </w:r>
      <w:r w:rsidR="00DE229B">
        <w:rPr>
          <w:kern w:val="22"/>
          <w:szCs w:val="22"/>
        </w:rPr>
        <w:noBreakHyphen/>
      </w:r>
      <w:r w:rsidRPr="00CA218E">
        <w:rPr>
          <w:kern w:val="22"/>
          <w:szCs w:val="22"/>
        </w:rPr>
        <w:t>building and regional and subregional cooperation for Parties wishing to take into account socioeconomic considerations,</w:t>
      </w:r>
    </w:p>
    <w:p w14:paraId="7792743B" w14:textId="43190E62" w:rsidR="00C448E7" w:rsidRPr="00B00BEF" w:rsidRDefault="00C448E7" w:rsidP="00C448E7">
      <w:pPr>
        <w:shd w:val="clear" w:color="auto" w:fill="FFFFFF" w:themeFill="background1"/>
        <w:spacing w:before="120" w:after="120"/>
        <w:ind w:firstLine="720"/>
        <w:rPr>
          <w:kern w:val="22"/>
          <w:szCs w:val="22"/>
        </w:rPr>
      </w:pPr>
      <w:r w:rsidRPr="00B00BEF">
        <w:rPr>
          <w:kern w:val="22"/>
          <w:szCs w:val="22"/>
        </w:rPr>
        <w:t>1.</w:t>
      </w:r>
      <w:r w:rsidRPr="00B00BEF">
        <w:rPr>
          <w:kern w:val="22"/>
          <w:szCs w:val="22"/>
        </w:rPr>
        <w:tab/>
      </w:r>
      <w:r>
        <w:rPr>
          <w:i/>
          <w:iCs/>
          <w:kern w:val="22"/>
          <w:szCs w:val="22"/>
        </w:rPr>
        <w:t xml:space="preserve">Takes note with appreciation </w:t>
      </w:r>
      <w:r w:rsidRPr="00366417">
        <w:rPr>
          <w:kern w:val="22"/>
          <w:szCs w:val="22"/>
        </w:rPr>
        <w:t xml:space="preserve">of </w:t>
      </w:r>
      <w:r w:rsidRPr="00B00BEF">
        <w:rPr>
          <w:kern w:val="22"/>
          <w:szCs w:val="22"/>
        </w:rPr>
        <w:t>the outcomes of the work by the Ad Hoc Technical Expert Group on Socio</w:t>
      </w:r>
      <w:r w:rsidRPr="00B00BEF">
        <w:rPr>
          <w:kern w:val="22"/>
          <w:szCs w:val="22"/>
        </w:rPr>
        <w:noBreakHyphen/>
        <w:t>economic Considerations;</w:t>
      </w:r>
      <w:r w:rsidRPr="00B00BEF">
        <w:rPr>
          <w:kern w:val="22"/>
          <w:sz w:val="20"/>
          <w:szCs w:val="20"/>
          <w:vertAlign w:val="superscript"/>
        </w:rPr>
        <w:footnoteReference w:id="3"/>
      </w:r>
    </w:p>
    <w:p w14:paraId="4881FD6F" w14:textId="3349ACB4" w:rsidR="00C448E7" w:rsidRPr="00CE2762" w:rsidRDefault="00C448E7" w:rsidP="00C448E7">
      <w:pPr>
        <w:shd w:val="clear" w:color="auto" w:fill="FFFFFF" w:themeFill="background1"/>
        <w:spacing w:before="120"/>
        <w:ind w:firstLine="720"/>
        <w:rPr>
          <w:kern w:val="22"/>
          <w:szCs w:val="22"/>
        </w:rPr>
      </w:pPr>
      <w:r w:rsidRPr="00B00BEF">
        <w:rPr>
          <w:kern w:val="22"/>
          <w:szCs w:val="22"/>
        </w:rPr>
        <w:t>2.</w:t>
      </w:r>
      <w:r w:rsidRPr="00B00BEF">
        <w:rPr>
          <w:kern w:val="22"/>
          <w:szCs w:val="22"/>
        </w:rPr>
        <w:tab/>
      </w:r>
      <w:r>
        <w:rPr>
          <w:i/>
          <w:snapToGrid w:val="0"/>
          <w:kern w:val="22"/>
          <w:szCs w:val="22"/>
        </w:rPr>
        <w:t xml:space="preserve">Invites </w:t>
      </w:r>
      <w:r w:rsidRPr="00B00BEF">
        <w:rPr>
          <w:snapToGrid w:val="0"/>
          <w:kern w:val="22"/>
          <w:szCs w:val="22"/>
        </w:rPr>
        <w:t>Parties</w:t>
      </w:r>
      <w:r w:rsidRPr="00B00BEF">
        <w:rPr>
          <w:kern w:val="22"/>
          <w:szCs w:val="22"/>
        </w:rPr>
        <w:t xml:space="preserve">, other </w:t>
      </w:r>
      <w:r w:rsidRPr="00CE2762">
        <w:rPr>
          <w:kern w:val="22"/>
          <w:szCs w:val="22"/>
        </w:rPr>
        <w:t xml:space="preserve">Governments, relevant organizations and other stakeholders to cooperate and share relevant experiences on taking socioeconomic considerations into account in decision-taking on living modified organisms in accordance with Article 26 of the </w:t>
      </w:r>
      <w:proofErr w:type="gramStart"/>
      <w:r w:rsidRPr="00CE2762">
        <w:rPr>
          <w:kern w:val="22"/>
          <w:szCs w:val="22"/>
        </w:rPr>
        <w:t>Protocol;</w:t>
      </w:r>
      <w:proofErr w:type="gramEnd"/>
      <w:r w:rsidRPr="00CE2762">
        <w:rPr>
          <w:kern w:val="22"/>
          <w:szCs w:val="22"/>
        </w:rPr>
        <w:t xml:space="preserve"> </w:t>
      </w:r>
    </w:p>
    <w:p w14:paraId="3DE46ADC" w14:textId="5E57603E" w:rsidR="00C448E7" w:rsidRPr="00AB7A38" w:rsidRDefault="00C448E7" w:rsidP="00C448E7">
      <w:pPr>
        <w:shd w:val="clear" w:color="auto" w:fill="FFFFFF" w:themeFill="background1"/>
        <w:spacing w:before="120"/>
        <w:ind w:firstLine="720"/>
        <w:rPr>
          <w:kern w:val="22"/>
          <w:szCs w:val="22"/>
        </w:rPr>
      </w:pPr>
      <w:r w:rsidRPr="00CE2762">
        <w:rPr>
          <w:kern w:val="22"/>
          <w:szCs w:val="22"/>
        </w:rPr>
        <w:t>3.</w:t>
      </w:r>
      <w:r w:rsidRPr="00CE2762">
        <w:rPr>
          <w:kern w:val="22"/>
          <w:szCs w:val="22"/>
        </w:rPr>
        <w:tab/>
      </w:r>
      <w:r w:rsidRPr="00CE2762">
        <w:rPr>
          <w:i/>
          <w:iCs/>
          <w:kern w:val="22"/>
          <w:szCs w:val="22"/>
        </w:rPr>
        <w:t>Also</w:t>
      </w:r>
      <w:r w:rsidRPr="00CE2762">
        <w:rPr>
          <w:kern w:val="22"/>
          <w:szCs w:val="22"/>
        </w:rPr>
        <w:t xml:space="preserve"> </w:t>
      </w:r>
      <w:r w:rsidRPr="00CE2762">
        <w:rPr>
          <w:i/>
          <w:snapToGrid w:val="0"/>
          <w:kern w:val="22"/>
          <w:szCs w:val="22"/>
        </w:rPr>
        <w:t xml:space="preserve">invites </w:t>
      </w:r>
      <w:r w:rsidRPr="00CE2762">
        <w:rPr>
          <w:iCs/>
          <w:snapToGrid w:val="0"/>
          <w:kern w:val="22"/>
          <w:szCs w:val="22"/>
        </w:rPr>
        <w:t xml:space="preserve">Parties, other Governments, relevant organizations and other stakeholders, as appropriate, to use the voluntary Guidance and submit </w:t>
      </w:r>
      <w:r w:rsidRPr="00AB7A38">
        <w:rPr>
          <w:iCs/>
          <w:snapToGrid w:val="0"/>
          <w:kern w:val="22"/>
          <w:szCs w:val="22"/>
        </w:rPr>
        <w:t xml:space="preserve">experiences in the use of the Guidance to the Executive Secretary, as well as examples of methodologies and applications of socioeconomic considerations in </w:t>
      </w:r>
      <w:r w:rsidR="00402771" w:rsidRPr="00B00BEF">
        <w:rPr>
          <w:iCs/>
          <w:snapToGrid w:val="0"/>
          <w:kern w:val="22"/>
          <w:szCs w:val="22"/>
        </w:rPr>
        <w:t xml:space="preserve">the </w:t>
      </w:r>
      <w:r w:rsidRPr="00AB7A38">
        <w:rPr>
          <w:iCs/>
          <w:snapToGrid w:val="0"/>
          <w:kern w:val="22"/>
          <w:szCs w:val="22"/>
        </w:rPr>
        <w:t xml:space="preserve">light of the elements of the voluntary </w:t>
      </w:r>
      <w:proofErr w:type="gramStart"/>
      <w:r w:rsidRPr="00AB7A38">
        <w:rPr>
          <w:iCs/>
          <w:snapToGrid w:val="0"/>
          <w:kern w:val="22"/>
          <w:szCs w:val="22"/>
        </w:rPr>
        <w:t>Guidance;</w:t>
      </w:r>
      <w:proofErr w:type="gramEnd"/>
    </w:p>
    <w:p w14:paraId="7EE44419" w14:textId="7A9D45B1" w:rsidR="00C448E7" w:rsidRPr="00AB7A38" w:rsidRDefault="00C448E7" w:rsidP="00C448E7">
      <w:pPr>
        <w:shd w:val="clear" w:color="auto" w:fill="FFFFFF" w:themeFill="background1"/>
        <w:spacing w:before="120"/>
        <w:ind w:firstLine="720"/>
        <w:rPr>
          <w:kern w:val="22"/>
          <w:szCs w:val="22"/>
        </w:rPr>
      </w:pPr>
      <w:r w:rsidRPr="00AB7A38">
        <w:rPr>
          <w:kern w:val="22"/>
          <w:szCs w:val="22"/>
        </w:rPr>
        <w:t>4.</w:t>
      </w:r>
      <w:r w:rsidRPr="00AB7A38">
        <w:rPr>
          <w:kern w:val="22"/>
          <w:szCs w:val="22"/>
        </w:rPr>
        <w:tab/>
      </w:r>
      <w:r w:rsidRPr="00AB7A38">
        <w:rPr>
          <w:i/>
          <w:iCs/>
          <w:kern w:val="22"/>
          <w:szCs w:val="22"/>
        </w:rPr>
        <w:t xml:space="preserve">Requests </w:t>
      </w:r>
      <w:r w:rsidRPr="00AB7A38">
        <w:rPr>
          <w:kern w:val="22"/>
          <w:szCs w:val="22"/>
        </w:rPr>
        <w:t xml:space="preserve">the Executive Secretary to contact those Parties that </w:t>
      </w:r>
      <w:r w:rsidR="00AC04E5" w:rsidRPr="00AB7A38">
        <w:rPr>
          <w:kern w:val="22"/>
          <w:szCs w:val="22"/>
        </w:rPr>
        <w:t xml:space="preserve">in their fourth national report </w:t>
      </w:r>
      <w:r w:rsidRPr="00AB7A38">
        <w:rPr>
          <w:kern w:val="22"/>
          <w:szCs w:val="22"/>
        </w:rPr>
        <w:t xml:space="preserve">indicated (a) having specific approaches or requirements that facilitate how socioeconomic considerations should be taken into account in decision-making on living modified organisms or (b) having taken into account socioeconomic considerations arising from the impact of living modified organisms on the conservation and sustainable use of biological diversity, and </w:t>
      </w:r>
      <w:r w:rsidR="00567901" w:rsidRPr="00AB7A38">
        <w:rPr>
          <w:kern w:val="22"/>
          <w:szCs w:val="22"/>
        </w:rPr>
        <w:t xml:space="preserve">to </w:t>
      </w:r>
      <w:r w:rsidRPr="00AB7A38">
        <w:rPr>
          <w:kern w:val="22"/>
          <w:szCs w:val="22"/>
        </w:rPr>
        <w:t>invite them to share information on their experiences, as relevant to Article 26;</w:t>
      </w:r>
    </w:p>
    <w:p w14:paraId="16156C8B" w14:textId="50C41298" w:rsidR="00C448E7" w:rsidRPr="00B00BEF" w:rsidRDefault="00C448E7" w:rsidP="00C448E7">
      <w:pPr>
        <w:shd w:val="clear" w:color="auto" w:fill="FFFFFF" w:themeFill="background1"/>
        <w:spacing w:before="120"/>
        <w:ind w:firstLine="720"/>
        <w:rPr>
          <w:snapToGrid w:val="0"/>
          <w:kern w:val="22"/>
          <w:szCs w:val="18"/>
        </w:rPr>
      </w:pPr>
      <w:r w:rsidRPr="00AB7A38">
        <w:rPr>
          <w:kern w:val="22"/>
          <w:szCs w:val="22"/>
        </w:rPr>
        <w:t>5.</w:t>
      </w:r>
      <w:r w:rsidRPr="00AB7A38">
        <w:rPr>
          <w:kern w:val="22"/>
          <w:szCs w:val="22"/>
        </w:rPr>
        <w:tab/>
      </w:r>
      <w:r w:rsidRPr="00AB7A38">
        <w:rPr>
          <w:i/>
          <w:iCs/>
          <w:kern w:val="22"/>
          <w:szCs w:val="22"/>
        </w:rPr>
        <w:t>Also</w:t>
      </w:r>
      <w:r w:rsidRPr="00AB7A38">
        <w:rPr>
          <w:kern w:val="22"/>
          <w:szCs w:val="22"/>
        </w:rPr>
        <w:t xml:space="preserve"> </w:t>
      </w:r>
      <w:r w:rsidRPr="00AB7A38">
        <w:rPr>
          <w:i/>
          <w:iCs/>
          <w:kern w:val="22"/>
          <w:szCs w:val="22"/>
        </w:rPr>
        <w:t>requests</w:t>
      </w:r>
      <w:r w:rsidRPr="00AB7A38">
        <w:rPr>
          <w:kern w:val="22"/>
          <w:szCs w:val="22"/>
        </w:rPr>
        <w:t xml:space="preserve"> the Executive Secretary to compile the information gathered in response to paragraphs 3 and 4 </w:t>
      </w:r>
      <w:r w:rsidR="00DD48DB" w:rsidRPr="00AB7A38">
        <w:rPr>
          <w:kern w:val="22"/>
          <w:szCs w:val="22"/>
        </w:rPr>
        <w:t xml:space="preserve">above </w:t>
      </w:r>
      <w:r w:rsidRPr="00AB7A38">
        <w:rPr>
          <w:kern w:val="22"/>
          <w:szCs w:val="22"/>
        </w:rPr>
        <w:t>and submit the overview for consideration</w:t>
      </w:r>
      <w:r w:rsidRPr="00696B7A">
        <w:rPr>
          <w:kern w:val="22"/>
          <w:szCs w:val="22"/>
        </w:rPr>
        <w:t xml:space="preserve"> by the Conference of the Parties serving as the meeting of the Parties to the Cartagena Protocol, at its eleventh meeting, with a view to determining the need for further work.</w:t>
      </w:r>
    </w:p>
    <w:p w14:paraId="753B7F74" w14:textId="0813CED8" w:rsidR="00C9161D" w:rsidRDefault="00C9161D" w:rsidP="00C9161D">
      <w:pPr>
        <w:jc w:val="center"/>
      </w:pPr>
      <w:r w:rsidRPr="00C9161D">
        <w:t>______</w:t>
      </w:r>
      <w:r w:rsidR="00F614C9">
        <w:t>____</w:t>
      </w:r>
    </w:p>
    <w:p w14:paraId="3093D971" w14:textId="300B044A" w:rsidR="00B3369F" w:rsidRPr="00C9161D" w:rsidRDefault="00B3369F" w:rsidP="00470AA4">
      <w:pPr>
        <w:jc w:val="center"/>
      </w:pPr>
    </w:p>
    <w:sectPr w:rsidR="00B3369F" w:rsidRPr="00C9161D" w:rsidSect="00A10A1D">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FB4C" w14:textId="77777777" w:rsidR="00380BAD" w:rsidRDefault="00380BAD" w:rsidP="00CF1848">
      <w:r>
        <w:separator/>
      </w:r>
    </w:p>
  </w:endnote>
  <w:endnote w:type="continuationSeparator" w:id="0">
    <w:p w14:paraId="10667513" w14:textId="77777777" w:rsidR="00380BAD" w:rsidRDefault="00380BA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7CA7" w14:textId="77777777" w:rsidR="00380BAD" w:rsidRDefault="00380BAD" w:rsidP="00CF1848">
      <w:r>
        <w:separator/>
      </w:r>
    </w:p>
  </w:footnote>
  <w:footnote w:type="continuationSeparator" w:id="0">
    <w:p w14:paraId="755A43ED" w14:textId="77777777" w:rsidR="00380BAD" w:rsidRDefault="00380BAD" w:rsidP="00CF1848">
      <w:r>
        <w:continuationSeparator/>
      </w:r>
    </w:p>
  </w:footnote>
  <w:footnote w:id="1">
    <w:p w14:paraId="7575C2CE" w14:textId="14BE3CA6" w:rsidR="00091751" w:rsidRPr="00D85077" w:rsidRDefault="00091751" w:rsidP="00D85077">
      <w:pPr>
        <w:pStyle w:val="FootnoteText"/>
        <w:ind w:firstLine="0"/>
        <w:rPr>
          <w:szCs w:val="18"/>
        </w:rPr>
      </w:pPr>
      <w:r w:rsidRPr="00D85077">
        <w:rPr>
          <w:rStyle w:val="FootnoteReference"/>
          <w:sz w:val="18"/>
          <w:szCs w:val="18"/>
        </w:rPr>
        <w:footnoteRef/>
      </w:r>
      <w:r w:rsidRPr="00D85077">
        <w:rPr>
          <w:szCs w:val="18"/>
        </w:rPr>
        <w:t xml:space="preserve"> </w:t>
      </w:r>
      <w:r w:rsidR="00D85077" w:rsidRPr="00D85077">
        <w:rPr>
          <w:szCs w:val="18"/>
        </w:rPr>
        <w:t>Decision CP-10/3, annex.</w:t>
      </w:r>
    </w:p>
  </w:footnote>
  <w:footnote w:id="2">
    <w:p w14:paraId="15E7D381" w14:textId="3AAA100D" w:rsidR="00D85077" w:rsidRPr="00D85077" w:rsidRDefault="00D85077" w:rsidP="00470AA4">
      <w:pPr>
        <w:pStyle w:val="FootnoteText"/>
        <w:ind w:firstLine="0"/>
        <w:rPr>
          <w:szCs w:val="18"/>
        </w:rPr>
      </w:pPr>
      <w:r w:rsidRPr="00D85077">
        <w:rPr>
          <w:rStyle w:val="FootnoteReference"/>
          <w:sz w:val="18"/>
          <w:szCs w:val="18"/>
        </w:rPr>
        <w:footnoteRef/>
      </w:r>
      <w:r w:rsidRPr="00D85077">
        <w:rPr>
          <w:szCs w:val="18"/>
        </w:rPr>
        <w:t xml:space="preserve"> Decision CP-10/</w:t>
      </w:r>
      <w:r w:rsidR="00C345FF">
        <w:rPr>
          <w:szCs w:val="18"/>
        </w:rPr>
        <w:t>4</w:t>
      </w:r>
      <w:r w:rsidRPr="00D85077">
        <w:rPr>
          <w:szCs w:val="18"/>
        </w:rPr>
        <w:t>, annex.</w:t>
      </w:r>
    </w:p>
  </w:footnote>
  <w:footnote w:id="3">
    <w:p w14:paraId="2E819BE7" w14:textId="5BCF0787" w:rsidR="00C448E7" w:rsidRPr="00216AA6" w:rsidRDefault="00C448E7" w:rsidP="00C448E7">
      <w:pPr>
        <w:pStyle w:val="FootnoteText"/>
        <w:spacing w:after="0"/>
        <w:ind w:firstLine="0"/>
        <w:rPr>
          <w:szCs w:val="18"/>
        </w:rPr>
      </w:pPr>
      <w:r w:rsidRPr="00AB6E6E">
        <w:rPr>
          <w:rStyle w:val="FootnoteReference"/>
          <w:kern w:val="22"/>
          <w:sz w:val="18"/>
          <w:szCs w:val="18"/>
        </w:rPr>
        <w:footnoteRef/>
      </w:r>
      <w:r w:rsidRPr="00216AA6">
        <w:rPr>
          <w:szCs w:val="18"/>
        </w:rPr>
        <w:t xml:space="preserve"> As contained in </w:t>
      </w:r>
      <w:r w:rsidR="00C06E34">
        <w:rPr>
          <w:szCs w:val="18"/>
        </w:rPr>
        <w:t xml:space="preserve">document </w:t>
      </w:r>
      <w:r w:rsidRPr="00216AA6">
        <w:rPr>
          <w:szCs w:val="18"/>
        </w:rPr>
        <w:t>CBD/CP/MOP/10/11, annexes II and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7E878FEF" w:rsidR="00534681" w:rsidRPr="00134846" w:rsidRDefault="00FA383F" w:rsidP="00534681">
        <w:pPr>
          <w:pStyle w:val="Header"/>
          <w:rPr>
            <w:lang w:val="fr-FR"/>
          </w:rPr>
        </w:pPr>
        <w:r>
          <w:rPr>
            <w:lang w:val="fr-FR"/>
          </w:rPr>
          <w:t>CBD/CP/MOP/DEC/10/12</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1A9AEC0" w:rsidR="009505C9" w:rsidRPr="00134846" w:rsidRDefault="00FA383F" w:rsidP="009505C9">
        <w:pPr>
          <w:pStyle w:val="Header"/>
          <w:jc w:val="right"/>
          <w:rPr>
            <w:lang w:val="fr-FR"/>
          </w:rPr>
        </w:pPr>
        <w:r>
          <w:rPr>
            <w:lang w:val="fr-FR"/>
          </w:rPr>
          <w:t>CBD/CP/MOP/DEC/10/12</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194175">
    <w:abstractNumId w:val="3"/>
  </w:num>
  <w:num w:numId="2" w16cid:durableId="305627063">
    <w:abstractNumId w:val="6"/>
  </w:num>
  <w:num w:numId="3" w16cid:durableId="580918793">
    <w:abstractNumId w:val="4"/>
  </w:num>
  <w:num w:numId="4" w16cid:durableId="446126046">
    <w:abstractNumId w:val="6"/>
  </w:num>
  <w:num w:numId="5" w16cid:durableId="854340265">
    <w:abstractNumId w:val="5"/>
  </w:num>
  <w:num w:numId="6" w16cid:durableId="236936776">
    <w:abstractNumId w:val="0"/>
  </w:num>
  <w:num w:numId="7" w16cid:durableId="440146121">
    <w:abstractNumId w:val="2"/>
  </w:num>
  <w:num w:numId="8" w16cid:durableId="1637682825">
    <w:abstractNumId w:val="4"/>
    <w:lvlOverride w:ilvl="0">
      <w:startOverride w:val="1"/>
    </w:lvlOverride>
  </w:num>
  <w:num w:numId="9" w16cid:durableId="822281863">
    <w:abstractNumId w:val="9"/>
  </w:num>
  <w:num w:numId="10" w16cid:durableId="2063602369">
    <w:abstractNumId w:val="4"/>
    <w:lvlOverride w:ilvl="0">
      <w:startOverride w:val="1"/>
    </w:lvlOverride>
  </w:num>
  <w:num w:numId="11" w16cid:durableId="161433152">
    <w:abstractNumId w:val="4"/>
    <w:lvlOverride w:ilvl="0">
      <w:startOverride w:val="1"/>
    </w:lvlOverride>
  </w:num>
  <w:num w:numId="12" w16cid:durableId="1658919201">
    <w:abstractNumId w:val="4"/>
    <w:lvlOverride w:ilvl="0">
      <w:startOverride w:val="1"/>
    </w:lvlOverride>
  </w:num>
  <w:num w:numId="13" w16cid:durableId="1570380869">
    <w:abstractNumId w:val="4"/>
    <w:lvlOverride w:ilvl="0">
      <w:startOverride w:val="1"/>
    </w:lvlOverride>
  </w:num>
  <w:num w:numId="14" w16cid:durableId="98647868">
    <w:abstractNumId w:val="8"/>
  </w:num>
  <w:num w:numId="15" w16cid:durableId="1167750023">
    <w:abstractNumId w:val="7"/>
  </w:num>
  <w:num w:numId="16" w16cid:durableId="189808070">
    <w:abstractNumId w:val="1"/>
  </w:num>
  <w:num w:numId="17" w16cid:durableId="2090272233">
    <w:abstractNumId w:val="10"/>
  </w:num>
  <w:num w:numId="18" w16cid:durableId="492456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27608"/>
    <w:rsid w:val="00044CC1"/>
    <w:rsid w:val="00051559"/>
    <w:rsid w:val="00057E1D"/>
    <w:rsid w:val="0007171B"/>
    <w:rsid w:val="00071792"/>
    <w:rsid w:val="00091751"/>
    <w:rsid w:val="000A067A"/>
    <w:rsid w:val="000C60BE"/>
    <w:rsid w:val="000C64C2"/>
    <w:rsid w:val="000E673A"/>
    <w:rsid w:val="000F74F5"/>
    <w:rsid w:val="00105372"/>
    <w:rsid w:val="001312AD"/>
    <w:rsid w:val="00131E7A"/>
    <w:rsid w:val="00134846"/>
    <w:rsid w:val="00166466"/>
    <w:rsid w:val="00172AF6"/>
    <w:rsid w:val="00176CEE"/>
    <w:rsid w:val="00186DD8"/>
    <w:rsid w:val="00186FCC"/>
    <w:rsid w:val="001964E8"/>
    <w:rsid w:val="001A5FB3"/>
    <w:rsid w:val="001B13FE"/>
    <w:rsid w:val="001C1A69"/>
    <w:rsid w:val="001C2EEF"/>
    <w:rsid w:val="001C3B9E"/>
    <w:rsid w:val="001E6073"/>
    <w:rsid w:val="001F6651"/>
    <w:rsid w:val="00201591"/>
    <w:rsid w:val="00216AA6"/>
    <w:rsid w:val="00234AAD"/>
    <w:rsid w:val="00253B76"/>
    <w:rsid w:val="002639AD"/>
    <w:rsid w:val="00283CE6"/>
    <w:rsid w:val="002B6A8C"/>
    <w:rsid w:val="002F60A5"/>
    <w:rsid w:val="0030169D"/>
    <w:rsid w:val="003060EB"/>
    <w:rsid w:val="003153EB"/>
    <w:rsid w:val="00321985"/>
    <w:rsid w:val="00322F91"/>
    <w:rsid w:val="00351205"/>
    <w:rsid w:val="00372F74"/>
    <w:rsid w:val="00380BAD"/>
    <w:rsid w:val="003B7BB2"/>
    <w:rsid w:val="003C23C2"/>
    <w:rsid w:val="003F7224"/>
    <w:rsid w:val="00402771"/>
    <w:rsid w:val="00423848"/>
    <w:rsid w:val="00424388"/>
    <w:rsid w:val="00427D21"/>
    <w:rsid w:val="0045579E"/>
    <w:rsid w:val="00462920"/>
    <w:rsid w:val="004644C2"/>
    <w:rsid w:val="00467F9C"/>
    <w:rsid w:val="00470AA4"/>
    <w:rsid w:val="00474608"/>
    <w:rsid w:val="004A0B04"/>
    <w:rsid w:val="004D4B28"/>
    <w:rsid w:val="00534681"/>
    <w:rsid w:val="00540FA2"/>
    <w:rsid w:val="00550789"/>
    <w:rsid w:val="00563442"/>
    <w:rsid w:val="005641A9"/>
    <w:rsid w:val="00565B42"/>
    <w:rsid w:val="00567901"/>
    <w:rsid w:val="00581F82"/>
    <w:rsid w:val="00590AEC"/>
    <w:rsid w:val="005A305F"/>
    <w:rsid w:val="005A3B76"/>
    <w:rsid w:val="005B4ADC"/>
    <w:rsid w:val="005B6956"/>
    <w:rsid w:val="005C4CE6"/>
    <w:rsid w:val="005E0ED3"/>
    <w:rsid w:val="006122BA"/>
    <w:rsid w:val="006308DC"/>
    <w:rsid w:val="0063588C"/>
    <w:rsid w:val="00696B7A"/>
    <w:rsid w:val="006B2290"/>
    <w:rsid w:val="007150B1"/>
    <w:rsid w:val="00717D88"/>
    <w:rsid w:val="0074524C"/>
    <w:rsid w:val="007552CE"/>
    <w:rsid w:val="007554DF"/>
    <w:rsid w:val="0075563B"/>
    <w:rsid w:val="00786056"/>
    <w:rsid w:val="007942D3"/>
    <w:rsid w:val="007A3070"/>
    <w:rsid w:val="007A71E3"/>
    <w:rsid w:val="007B2099"/>
    <w:rsid w:val="007B6C09"/>
    <w:rsid w:val="007B7741"/>
    <w:rsid w:val="007D6D62"/>
    <w:rsid w:val="007E09DA"/>
    <w:rsid w:val="008178B6"/>
    <w:rsid w:val="00865B74"/>
    <w:rsid w:val="00867967"/>
    <w:rsid w:val="008974F0"/>
    <w:rsid w:val="0089767D"/>
    <w:rsid w:val="008B012A"/>
    <w:rsid w:val="008C492A"/>
    <w:rsid w:val="008C4F90"/>
    <w:rsid w:val="008D6EFE"/>
    <w:rsid w:val="008E120B"/>
    <w:rsid w:val="00906E17"/>
    <w:rsid w:val="009165F9"/>
    <w:rsid w:val="00916BBB"/>
    <w:rsid w:val="0092542F"/>
    <w:rsid w:val="00930BA1"/>
    <w:rsid w:val="0093169E"/>
    <w:rsid w:val="00937130"/>
    <w:rsid w:val="009505C9"/>
    <w:rsid w:val="00950752"/>
    <w:rsid w:val="00954EF1"/>
    <w:rsid w:val="009577C4"/>
    <w:rsid w:val="0096255B"/>
    <w:rsid w:val="00966424"/>
    <w:rsid w:val="009A29D6"/>
    <w:rsid w:val="009C2DE6"/>
    <w:rsid w:val="009E10DD"/>
    <w:rsid w:val="00A10A1D"/>
    <w:rsid w:val="00A1252A"/>
    <w:rsid w:val="00A22165"/>
    <w:rsid w:val="00A42D2D"/>
    <w:rsid w:val="00A56F27"/>
    <w:rsid w:val="00A7041B"/>
    <w:rsid w:val="00AA6F92"/>
    <w:rsid w:val="00AB6934"/>
    <w:rsid w:val="00AB6E6E"/>
    <w:rsid w:val="00AB7A38"/>
    <w:rsid w:val="00AC04E5"/>
    <w:rsid w:val="00AD79E1"/>
    <w:rsid w:val="00AD7FFC"/>
    <w:rsid w:val="00AF42DE"/>
    <w:rsid w:val="00AF5C59"/>
    <w:rsid w:val="00B1204B"/>
    <w:rsid w:val="00B26ACD"/>
    <w:rsid w:val="00B3369F"/>
    <w:rsid w:val="00B3748E"/>
    <w:rsid w:val="00B452D2"/>
    <w:rsid w:val="00B93DBB"/>
    <w:rsid w:val="00B94E6C"/>
    <w:rsid w:val="00BB2B8E"/>
    <w:rsid w:val="00BB4606"/>
    <w:rsid w:val="00BF11F9"/>
    <w:rsid w:val="00C06E34"/>
    <w:rsid w:val="00C23D2F"/>
    <w:rsid w:val="00C345FF"/>
    <w:rsid w:val="00C37623"/>
    <w:rsid w:val="00C443BD"/>
    <w:rsid w:val="00C448E7"/>
    <w:rsid w:val="00C451C5"/>
    <w:rsid w:val="00C55246"/>
    <w:rsid w:val="00C60BE9"/>
    <w:rsid w:val="00C9161D"/>
    <w:rsid w:val="00CA0C1D"/>
    <w:rsid w:val="00CA218E"/>
    <w:rsid w:val="00CE2762"/>
    <w:rsid w:val="00CF1848"/>
    <w:rsid w:val="00D12044"/>
    <w:rsid w:val="00D30264"/>
    <w:rsid w:val="00D33EFC"/>
    <w:rsid w:val="00D40DBC"/>
    <w:rsid w:val="00D67904"/>
    <w:rsid w:val="00D76A18"/>
    <w:rsid w:val="00D80849"/>
    <w:rsid w:val="00D82E8F"/>
    <w:rsid w:val="00D85077"/>
    <w:rsid w:val="00D86DCD"/>
    <w:rsid w:val="00DA0170"/>
    <w:rsid w:val="00DD118C"/>
    <w:rsid w:val="00DD48DB"/>
    <w:rsid w:val="00DE229B"/>
    <w:rsid w:val="00E41E97"/>
    <w:rsid w:val="00E44889"/>
    <w:rsid w:val="00E66235"/>
    <w:rsid w:val="00E66779"/>
    <w:rsid w:val="00E66FF9"/>
    <w:rsid w:val="00E83C24"/>
    <w:rsid w:val="00E9318D"/>
    <w:rsid w:val="00EB4814"/>
    <w:rsid w:val="00EC15DE"/>
    <w:rsid w:val="00EC1F46"/>
    <w:rsid w:val="00F24E0C"/>
    <w:rsid w:val="00F32402"/>
    <w:rsid w:val="00F45759"/>
    <w:rsid w:val="00F53193"/>
    <w:rsid w:val="00F5357E"/>
    <w:rsid w:val="00F614C9"/>
    <w:rsid w:val="00F6586C"/>
    <w:rsid w:val="00F94774"/>
    <w:rsid w:val="00FA0E9A"/>
    <w:rsid w:val="00FA383F"/>
    <w:rsid w:val="00FA663B"/>
    <w:rsid w:val="00FA7688"/>
    <w:rsid w:val="00FC25F8"/>
    <w:rsid w:val="00FC53DB"/>
    <w:rsid w:val="00FE0168"/>
    <w:rsid w:val="00FE2131"/>
    <w:rsid w:val="00FF35AB"/>
    <w:rsid w:val="00FF723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C448E7"/>
    <w:pPr>
      <w:spacing w:before="120" w:after="160" w:line="240" w:lineRule="exact"/>
    </w:pPr>
    <w:rPr>
      <w:rFonts w:asciiTheme="minorHAnsi" w:eastAsiaTheme="minorEastAsia" w:hAnsiTheme="minorHAnsi" w:cstheme="minorBidi"/>
      <w:vertAlign w:val="superscript"/>
      <w:lang w:val="fr-CA"/>
    </w:rPr>
  </w:style>
  <w:style w:type="paragraph" w:styleId="Revision">
    <w:name w:val="Revision"/>
    <w:hidden/>
    <w:uiPriority w:val="99"/>
    <w:semiHidden/>
    <w:rsid w:val="002639AD"/>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93DB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93DB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525A"/>
    <w:rsid w:val="000E133E"/>
    <w:rsid w:val="0016789F"/>
    <w:rsid w:val="00216364"/>
    <w:rsid w:val="002C5EE8"/>
    <w:rsid w:val="0033151D"/>
    <w:rsid w:val="0046422C"/>
    <w:rsid w:val="004760CF"/>
    <w:rsid w:val="004D0A55"/>
    <w:rsid w:val="004E092F"/>
    <w:rsid w:val="00500A2B"/>
    <w:rsid w:val="0058288D"/>
    <w:rsid w:val="00665C6B"/>
    <w:rsid w:val="006801B3"/>
    <w:rsid w:val="006C45BF"/>
    <w:rsid w:val="00766A21"/>
    <w:rsid w:val="00767626"/>
    <w:rsid w:val="007B5C2B"/>
    <w:rsid w:val="007D5E5F"/>
    <w:rsid w:val="00810A55"/>
    <w:rsid w:val="00813C4D"/>
    <w:rsid w:val="00894910"/>
    <w:rsid w:val="008C6619"/>
    <w:rsid w:val="008D420E"/>
    <w:rsid w:val="00922297"/>
    <w:rsid w:val="0098642F"/>
    <w:rsid w:val="0099033F"/>
    <w:rsid w:val="009F0F8D"/>
    <w:rsid w:val="00A21CCD"/>
    <w:rsid w:val="00A4517F"/>
    <w:rsid w:val="00A60639"/>
    <w:rsid w:val="00A941B0"/>
    <w:rsid w:val="00B27D2C"/>
    <w:rsid w:val="00C70655"/>
    <w:rsid w:val="00C8104B"/>
    <w:rsid w:val="00CA0ED2"/>
    <w:rsid w:val="00D31D12"/>
    <w:rsid w:val="00D4003A"/>
    <w:rsid w:val="00E70C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0A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F6A5E-AC01-4CA3-92A7-D41BA3AF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CP-10/12.	Socio-economic considerations (Article 26)</vt:lpstr>
    </vt:vector>
  </TitlesOfParts>
  <Company>SCBD</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CP-10/12.	Socio-economic considerations (Article 26)</dc:title>
  <dc:subject>CBD/CP/MOP/DEC/10/12</dc:subject>
  <dc:creator>SCBD</dc:creator>
  <cp:keywords>Decision adopted by the Parties to the Cartagena Protocol on Biosafety</cp:keywords>
  <cp:lastModifiedBy>Veronique Lefebvre</cp:lastModifiedBy>
  <cp:revision>6</cp:revision>
  <cp:lastPrinted>2020-01-21T16:56:00Z</cp:lastPrinted>
  <dcterms:created xsi:type="dcterms:W3CDTF">2023-02-22T19:20:00Z</dcterms:created>
  <dcterms:modified xsi:type="dcterms:W3CDTF">2023-02-22T19:23:00Z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