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1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4587"/>
        <w:gridCol w:w="4549"/>
      </w:tblGrid>
      <w:tr w:rsidR="00C9161D" w:rsidRPr="007D5466" w14:paraId="07F6750D" w14:textId="77777777" w:rsidTr="00117766">
        <w:trPr>
          <w:trHeight w:val="851"/>
        </w:trPr>
        <w:tc>
          <w:tcPr>
            <w:tcW w:w="976" w:type="dxa"/>
            <w:tcBorders>
              <w:bottom w:val="single" w:sz="12" w:space="0" w:color="auto"/>
            </w:tcBorders>
          </w:tcPr>
          <w:p w14:paraId="1DEFF495" w14:textId="77777777" w:rsidR="00C9161D" w:rsidRPr="007D5466" w:rsidRDefault="00C9161D" w:rsidP="00321985">
            <w:r w:rsidRPr="007D5466">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587" w:type="dxa"/>
            <w:tcBorders>
              <w:bottom w:val="single" w:sz="12" w:space="0" w:color="auto"/>
            </w:tcBorders>
            <w:shd w:val="clear" w:color="auto" w:fill="auto"/>
            <w:tcFitText/>
          </w:tcPr>
          <w:p w14:paraId="1986B63F" w14:textId="1087733B" w:rsidR="00FA663B" w:rsidRPr="007D5466" w:rsidRDefault="00AA6F92" w:rsidP="00321985">
            <w:r w:rsidRPr="00117766">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549" w:type="dxa"/>
            <w:tcBorders>
              <w:bottom w:val="single" w:sz="12" w:space="0" w:color="auto"/>
            </w:tcBorders>
          </w:tcPr>
          <w:p w14:paraId="600A589D" w14:textId="77777777" w:rsidR="00C9161D" w:rsidRPr="007D5466" w:rsidRDefault="00C9161D" w:rsidP="00C9161D">
            <w:pPr>
              <w:jc w:val="right"/>
              <w:rPr>
                <w:rFonts w:ascii="Arial" w:hAnsi="Arial" w:cs="Arial"/>
                <w:b/>
                <w:sz w:val="32"/>
                <w:szCs w:val="32"/>
              </w:rPr>
            </w:pPr>
            <w:r w:rsidRPr="007D5466">
              <w:rPr>
                <w:rFonts w:ascii="Arial" w:hAnsi="Arial" w:cs="Arial"/>
                <w:b/>
                <w:sz w:val="32"/>
                <w:szCs w:val="32"/>
              </w:rPr>
              <w:t>CBD</w:t>
            </w:r>
          </w:p>
        </w:tc>
      </w:tr>
      <w:tr w:rsidR="00C9161D" w:rsidRPr="007D5466" w14:paraId="6F751905" w14:textId="77777777" w:rsidTr="00117766">
        <w:tc>
          <w:tcPr>
            <w:tcW w:w="5563" w:type="dxa"/>
            <w:gridSpan w:val="2"/>
            <w:tcBorders>
              <w:top w:val="single" w:sz="12" w:space="0" w:color="auto"/>
              <w:bottom w:val="single" w:sz="36" w:space="0" w:color="auto"/>
            </w:tcBorders>
            <w:vAlign w:val="center"/>
          </w:tcPr>
          <w:p w14:paraId="14F52A6C" w14:textId="77777777" w:rsidR="00C9161D" w:rsidRPr="007D5466" w:rsidRDefault="00C9161D" w:rsidP="00C9161D">
            <w:r w:rsidRPr="007D5466">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549" w:type="dxa"/>
            <w:tcBorders>
              <w:top w:val="single" w:sz="12" w:space="0" w:color="auto"/>
              <w:bottom w:val="single" w:sz="36" w:space="0" w:color="auto"/>
            </w:tcBorders>
          </w:tcPr>
          <w:p w14:paraId="1C693BA4" w14:textId="77777777" w:rsidR="00C9161D" w:rsidRPr="007D5466" w:rsidRDefault="00C9161D" w:rsidP="00176CEE">
            <w:pPr>
              <w:ind w:left="1215"/>
              <w:rPr>
                <w:szCs w:val="22"/>
              </w:rPr>
            </w:pPr>
            <w:r w:rsidRPr="007D5466">
              <w:rPr>
                <w:szCs w:val="22"/>
              </w:rPr>
              <w:t>Distr.</w:t>
            </w:r>
          </w:p>
          <w:p w14:paraId="0C21C438" w14:textId="74F05865" w:rsidR="00C9161D" w:rsidRPr="007D5466" w:rsidRDefault="0079405A" w:rsidP="00176CEE">
            <w:pPr>
              <w:ind w:left="1215"/>
              <w:rPr>
                <w:szCs w:val="22"/>
              </w:rPr>
            </w:pPr>
            <w:r w:rsidRPr="007D5466">
              <w:rPr>
                <w:caps/>
                <w:szCs w:val="22"/>
              </w:rPr>
              <w:t>General</w:t>
            </w:r>
          </w:p>
          <w:p w14:paraId="06715052" w14:textId="77777777" w:rsidR="00C9161D" w:rsidRPr="007D5466" w:rsidRDefault="00C9161D" w:rsidP="00176CEE">
            <w:pPr>
              <w:ind w:left="1215"/>
              <w:rPr>
                <w:szCs w:val="22"/>
              </w:rPr>
            </w:pPr>
          </w:p>
          <w:p w14:paraId="44230134" w14:textId="437C1BCB" w:rsidR="00C9161D" w:rsidRPr="007D5466" w:rsidRDefault="00000000"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Content>
                <w:r w:rsidR="007E083C" w:rsidRPr="007D5466">
                  <w:rPr>
                    <w:lang w:val="en-US"/>
                  </w:rPr>
                  <w:t>CBD/CP/MOP/DEC</w:t>
                </w:r>
                <w:r w:rsidR="005B5029" w:rsidRPr="007D5466">
                  <w:rPr>
                    <w:lang w:val="en-US"/>
                  </w:rPr>
                  <w:t>/</w:t>
                </w:r>
                <w:r w:rsidR="007E083C" w:rsidRPr="007D5466">
                  <w:rPr>
                    <w:lang w:val="en-US"/>
                  </w:rPr>
                  <w:t>10/</w:t>
                </w:r>
                <w:r w:rsidR="005B5029" w:rsidRPr="007D5466">
                  <w:rPr>
                    <w:lang w:val="en-US"/>
                  </w:rPr>
                  <w:t>11</w:t>
                </w:r>
              </w:sdtContent>
            </w:sdt>
          </w:p>
          <w:p w14:paraId="0DF1F033" w14:textId="350D8CE1" w:rsidR="00C9161D" w:rsidRPr="007D5466" w:rsidRDefault="002532A1" w:rsidP="00176CEE">
            <w:pPr>
              <w:ind w:left="1215"/>
              <w:rPr>
                <w:szCs w:val="22"/>
              </w:rPr>
            </w:pPr>
            <w:r w:rsidRPr="007D5466">
              <w:rPr>
                <w:szCs w:val="22"/>
                <w:lang w:val="en-US"/>
              </w:rPr>
              <w:t>1</w:t>
            </w:r>
            <w:r w:rsidR="009669D3" w:rsidRPr="007D5466">
              <w:rPr>
                <w:szCs w:val="22"/>
                <w:lang w:val="en-US"/>
              </w:rPr>
              <w:t>9 December</w:t>
            </w:r>
            <w:r w:rsidR="00F6586C" w:rsidRPr="007D5466">
              <w:rPr>
                <w:szCs w:val="22"/>
                <w:lang w:val="en-US"/>
              </w:rPr>
              <w:t xml:space="preserve"> 20</w:t>
            </w:r>
            <w:r w:rsidR="00FC25F8" w:rsidRPr="007D5466">
              <w:rPr>
                <w:szCs w:val="22"/>
                <w:lang w:val="en-US"/>
              </w:rPr>
              <w:t>2</w:t>
            </w:r>
            <w:r w:rsidR="00B26ACD" w:rsidRPr="007D5466">
              <w:rPr>
                <w:szCs w:val="22"/>
                <w:lang w:val="en-US"/>
              </w:rPr>
              <w:t>2</w:t>
            </w:r>
          </w:p>
          <w:p w14:paraId="159892DF" w14:textId="77777777" w:rsidR="00C9161D" w:rsidRPr="007D5466" w:rsidRDefault="00C9161D" w:rsidP="00176CEE">
            <w:pPr>
              <w:ind w:left="1215"/>
              <w:rPr>
                <w:szCs w:val="22"/>
              </w:rPr>
            </w:pPr>
          </w:p>
          <w:p w14:paraId="19472D49" w14:textId="77777777" w:rsidR="00C9161D" w:rsidRPr="007D5466" w:rsidRDefault="006B2290" w:rsidP="00176CEE">
            <w:pPr>
              <w:ind w:left="1215"/>
              <w:rPr>
                <w:szCs w:val="22"/>
              </w:rPr>
            </w:pPr>
            <w:r w:rsidRPr="007D5466">
              <w:rPr>
                <w:szCs w:val="22"/>
              </w:rPr>
              <w:t xml:space="preserve">ORIGINAL: </w:t>
            </w:r>
            <w:r w:rsidR="00C9161D" w:rsidRPr="007D5466">
              <w:rPr>
                <w:szCs w:val="22"/>
              </w:rPr>
              <w:t>ENGLISH</w:t>
            </w:r>
          </w:p>
          <w:p w14:paraId="5AA10CCE" w14:textId="77777777" w:rsidR="00C9161D" w:rsidRPr="007D5466" w:rsidRDefault="00C9161D"/>
        </w:tc>
      </w:tr>
    </w:tbl>
    <w:p w14:paraId="1BF4A9A2" w14:textId="51CFE6F1" w:rsidR="003B7BB2" w:rsidRPr="007D5466" w:rsidRDefault="003B7BB2" w:rsidP="00117766">
      <w:pPr>
        <w:pStyle w:val="Cornernotation"/>
        <w:kinsoku w:val="0"/>
        <w:overflowPunct w:val="0"/>
        <w:autoSpaceDE w:val="0"/>
        <w:autoSpaceDN w:val="0"/>
        <w:spacing w:before="60"/>
        <w:ind w:left="230" w:right="4234" w:hanging="230"/>
        <w:rPr>
          <w:snapToGrid w:val="0"/>
          <w:kern w:val="22"/>
        </w:rPr>
      </w:pPr>
      <w:r w:rsidRPr="007D5466">
        <w:rPr>
          <w:snapToGrid w:val="0"/>
          <w:kern w:val="22"/>
        </w:rPr>
        <w:t xml:space="preserve">CONFERENCE OF THE PARTIES TO THE CONVENTION ON BIOLOGICAL DIVERSITY </w:t>
      </w:r>
      <w:r w:rsidR="005E0ED3" w:rsidRPr="007D5466">
        <w:rPr>
          <w:snapToGrid w:val="0"/>
          <w:kern w:val="22"/>
        </w:rPr>
        <w:t>SERVING AS THE MEETING OF THE PARTIES TO THE CARTAGENA PROTOCOL ON BIOSAFETY</w:t>
      </w:r>
    </w:p>
    <w:p w14:paraId="141C6194" w14:textId="15DB9022" w:rsidR="003B7BB2" w:rsidRPr="007D5466" w:rsidRDefault="00201591" w:rsidP="003B7BB2">
      <w:pPr>
        <w:pStyle w:val="Cornernotation"/>
        <w:kinsoku w:val="0"/>
        <w:overflowPunct w:val="0"/>
        <w:autoSpaceDE w:val="0"/>
        <w:autoSpaceDN w:val="0"/>
        <w:ind w:left="0" w:right="4512" w:firstLine="0"/>
        <w:rPr>
          <w:snapToGrid w:val="0"/>
          <w:kern w:val="22"/>
        </w:rPr>
      </w:pPr>
      <w:r w:rsidRPr="007D5466">
        <w:rPr>
          <w:snapToGrid w:val="0"/>
          <w:kern w:val="22"/>
        </w:rPr>
        <w:t>Tenth</w:t>
      </w:r>
      <w:r w:rsidR="003B7BB2" w:rsidRPr="007D5466">
        <w:rPr>
          <w:snapToGrid w:val="0"/>
          <w:kern w:val="22"/>
        </w:rPr>
        <w:t xml:space="preserve"> meeting</w:t>
      </w:r>
      <w:r w:rsidR="00AD7FFC" w:rsidRPr="007D5466">
        <w:rPr>
          <w:snapToGrid w:val="0"/>
          <w:kern w:val="22"/>
        </w:rPr>
        <w:t xml:space="preserve"> </w:t>
      </w:r>
      <w:r w:rsidR="00B26ACD" w:rsidRPr="007D5466">
        <w:rPr>
          <w:snapToGrid w:val="0"/>
          <w:kern w:val="22"/>
        </w:rPr>
        <w:t>– Part II</w:t>
      </w:r>
    </w:p>
    <w:p w14:paraId="4268D28C" w14:textId="78B11728" w:rsidR="003B7BB2" w:rsidRPr="007D5466" w:rsidRDefault="00B26ACD" w:rsidP="00AD7FFC">
      <w:pPr>
        <w:pStyle w:val="Cornernotation"/>
        <w:kinsoku w:val="0"/>
        <w:overflowPunct w:val="0"/>
        <w:autoSpaceDE w:val="0"/>
        <w:autoSpaceDN w:val="0"/>
        <w:ind w:left="227" w:right="4512" w:hanging="227"/>
        <w:rPr>
          <w:snapToGrid w:val="0"/>
          <w:kern w:val="22"/>
          <w:szCs w:val="22"/>
          <w:lang w:eastAsia="nb-NO"/>
        </w:rPr>
      </w:pPr>
      <w:r w:rsidRPr="007D5466">
        <w:rPr>
          <w:snapToGrid w:val="0"/>
          <w:kern w:val="22"/>
          <w:szCs w:val="22"/>
          <w:lang w:eastAsia="nb-NO"/>
        </w:rPr>
        <w:t>Montreal, Canada, 7-19 December 2022</w:t>
      </w:r>
    </w:p>
    <w:p w14:paraId="5ECF7635" w14:textId="14F6026D" w:rsidR="00C9161D" w:rsidRPr="007D5466" w:rsidRDefault="00B26ACD" w:rsidP="00C9161D">
      <w:r w:rsidRPr="007D5466">
        <w:rPr>
          <w:snapToGrid w:val="0"/>
          <w:kern w:val="22"/>
          <w:szCs w:val="22"/>
        </w:rPr>
        <w:t>Agenda i</w:t>
      </w:r>
      <w:r w:rsidR="00134846" w:rsidRPr="007D5466">
        <w:rPr>
          <w:snapToGrid w:val="0"/>
          <w:kern w:val="22"/>
          <w:szCs w:val="22"/>
        </w:rPr>
        <w:t xml:space="preserve">tem </w:t>
      </w:r>
      <w:r w:rsidR="009669D3" w:rsidRPr="007D5466">
        <w:rPr>
          <w:snapToGrid w:val="0"/>
          <w:kern w:val="22"/>
          <w:szCs w:val="22"/>
        </w:rPr>
        <w:t>15</w:t>
      </w:r>
      <w:r w:rsidR="00134846" w:rsidRPr="007D5466">
        <w:rPr>
          <w:snapToGrid w:val="0"/>
          <w:kern w:val="22"/>
          <w:szCs w:val="22"/>
        </w:rPr>
        <w:t xml:space="preserve"> </w:t>
      </w:r>
    </w:p>
    <w:p w14:paraId="3D93B5D0" w14:textId="021FE4EC" w:rsidR="002532A1" w:rsidRPr="00117766" w:rsidRDefault="002532A1" w:rsidP="00117766">
      <w:pPr>
        <w:spacing w:before="240" w:after="240"/>
        <w:ind w:right="-288"/>
        <w:jc w:val="center"/>
        <w:rPr>
          <w:rFonts w:ascii="Times New Roman Bold" w:hAnsi="Times New Roman Bold"/>
          <w:b/>
          <w:caps/>
        </w:rPr>
      </w:pPr>
      <w:r w:rsidRPr="007D5466">
        <w:rPr>
          <w:rFonts w:ascii="Times New Roman Bold" w:hAnsi="Times New Roman Bold"/>
          <w:b/>
          <w:caps/>
        </w:rPr>
        <w:t>Decision adopted by the Parties to the Cartagena Protocol on Biosafety</w:t>
      </w:r>
    </w:p>
    <w:p w14:paraId="57F6B7A1" w14:textId="7D4DAA4F" w:rsidR="00C9161D" w:rsidRPr="007D5466" w:rsidRDefault="00000000" w:rsidP="00117766">
      <w:pPr>
        <w:keepNext/>
        <w:spacing w:before="120" w:after="240"/>
        <w:jc w:val="center"/>
        <w:outlineLvl w:val="1"/>
        <w:rPr>
          <w:rFonts w:ascii="Times New Roman Bold" w:hAnsi="Times New Roman Bold" w:cs="Times New Roman Bold"/>
          <w:b/>
          <w:caps/>
        </w:rPr>
      </w:pPr>
      <w:sdt>
        <w:sdtPr>
          <w:rPr>
            <w:b/>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00CB6700" w:rsidRPr="007D5466">
            <w:rPr>
              <w:b/>
            </w:rPr>
            <w:t>CP-10/11.</w:t>
          </w:r>
          <w:r w:rsidR="00CB6700" w:rsidRPr="007D5466">
            <w:rPr>
              <w:b/>
            </w:rPr>
            <w:tab/>
            <w:t>Detection and identification of living modified organisms</w:t>
          </w:r>
        </w:sdtContent>
      </w:sdt>
      <w:r w:rsidR="00105372" w:rsidRPr="007D5466">
        <w:rPr>
          <w:rFonts w:ascii="Times New Roman Bold" w:hAnsi="Times New Roman Bold" w:cs="Times New Roman Bold"/>
          <w:b/>
          <w:caps/>
        </w:rPr>
        <w:t xml:space="preserve"> </w:t>
      </w:r>
    </w:p>
    <w:p w14:paraId="44E88E53" w14:textId="77777777" w:rsidR="009669D3" w:rsidRPr="007D5466" w:rsidRDefault="009669D3" w:rsidP="00416426">
      <w:pPr>
        <w:pStyle w:val="ListParagraph"/>
        <w:shd w:val="clear" w:color="auto" w:fill="FFFFFF" w:themeFill="background1"/>
        <w:adjustRightInd w:val="0"/>
        <w:snapToGrid w:val="0"/>
        <w:spacing w:before="240" w:after="120"/>
        <w:ind w:left="0" w:firstLine="720"/>
        <w:contextualSpacing w:val="0"/>
        <w:rPr>
          <w:i/>
          <w:iCs/>
          <w:kern w:val="22"/>
          <w:szCs w:val="22"/>
        </w:rPr>
      </w:pPr>
      <w:r w:rsidRPr="007D5466">
        <w:rPr>
          <w:i/>
          <w:iCs/>
          <w:kern w:val="22"/>
          <w:szCs w:val="22"/>
        </w:rPr>
        <w:t>The Conference of Parties serving as the meeting of the Parties to the Cartagena Protocol on Biosafety</w:t>
      </w:r>
      <w:r w:rsidRPr="007D5466">
        <w:rPr>
          <w:kern w:val="22"/>
          <w:szCs w:val="22"/>
        </w:rPr>
        <w:t>,</w:t>
      </w:r>
    </w:p>
    <w:p w14:paraId="28A8DFFE" w14:textId="77777777" w:rsidR="009669D3" w:rsidRPr="007D5466" w:rsidRDefault="009669D3" w:rsidP="009669D3">
      <w:pPr>
        <w:pStyle w:val="ListParagraph"/>
        <w:shd w:val="clear" w:color="auto" w:fill="FFFFFF" w:themeFill="background1"/>
        <w:adjustRightInd w:val="0"/>
        <w:snapToGrid w:val="0"/>
        <w:spacing w:before="120" w:after="120"/>
        <w:ind w:left="0" w:firstLine="720"/>
        <w:contextualSpacing w:val="0"/>
        <w:rPr>
          <w:i/>
          <w:iCs/>
          <w:kern w:val="22"/>
          <w:szCs w:val="22"/>
        </w:rPr>
      </w:pPr>
      <w:r w:rsidRPr="007D5466">
        <w:rPr>
          <w:i/>
          <w:iCs/>
          <w:kern w:val="22"/>
          <w:szCs w:val="22"/>
        </w:rPr>
        <w:t xml:space="preserve">Recalling </w:t>
      </w:r>
      <w:r w:rsidRPr="007D5466">
        <w:rPr>
          <w:kern w:val="22"/>
          <w:szCs w:val="22"/>
        </w:rPr>
        <w:t>decision CP-9/11,</w:t>
      </w:r>
    </w:p>
    <w:p w14:paraId="71A5E4F1" w14:textId="77777777" w:rsidR="009669D3" w:rsidRPr="000A403C" w:rsidRDefault="009669D3" w:rsidP="009669D3">
      <w:pPr>
        <w:shd w:val="clear" w:color="auto" w:fill="FFFFFF" w:themeFill="background1"/>
        <w:adjustRightInd w:val="0"/>
        <w:snapToGrid w:val="0"/>
        <w:spacing w:before="120" w:after="120"/>
        <w:ind w:firstLine="720"/>
        <w:rPr>
          <w:kern w:val="22"/>
          <w:szCs w:val="22"/>
        </w:rPr>
      </w:pPr>
      <w:r w:rsidRPr="007D5466">
        <w:rPr>
          <w:i/>
          <w:iCs/>
          <w:kern w:val="22"/>
          <w:szCs w:val="22"/>
        </w:rPr>
        <w:t xml:space="preserve">Noting </w:t>
      </w:r>
      <w:r w:rsidRPr="007D5466">
        <w:rPr>
          <w:snapToGrid w:val="0"/>
          <w:kern w:val="22"/>
          <w:szCs w:val="22"/>
        </w:rPr>
        <w:t xml:space="preserve">the information provided by Parties </w:t>
      </w:r>
      <w:r w:rsidRPr="000A403C">
        <w:rPr>
          <w:snapToGrid w:val="0"/>
          <w:kern w:val="22"/>
          <w:szCs w:val="22"/>
        </w:rPr>
        <w:t>in their fourth national reports relating to detection and identification of living modified organisms under the Cartagena Protocol on Biosafety,</w:t>
      </w:r>
      <w:r w:rsidRPr="000A403C">
        <w:rPr>
          <w:kern w:val="22"/>
          <w:szCs w:val="22"/>
          <w:lang w:eastAsia="en-CA"/>
        </w:rPr>
        <w:t xml:space="preserve"> </w:t>
      </w:r>
      <w:r w:rsidRPr="000A403C">
        <w:rPr>
          <w:kern w:val="22"/>
          <w:szCs w:val="22"/>
        </w:rPr>
        <w:t xml:space="preserve">and </w:t>
      </w:r>
      <w:r w:rsidRPr="00117766">
        <w:rPr>
          <w:kern w:val="22"/>
          <w:szCs w:val="22"/>
        </w:rPr>
        <w:t>acknowledging</w:t>
      </w:r>
      <w:r w:rsidRPr="000A403C">
        <w:rPr>
          <w:kern w:val="22"/>
          <w:szCs w:val="22"/>
        </w:rPr>
        <w:t xml:space="preserve"> the findings in the fourth assessment and review of the effectiveness of the Protocol,</w:t>
      </w:r>
    </w:p>
    <w:p w14:paraId="044CF14F" w14:textId="73E924F9" w:rsidR="009669D3" w:rsidRPr="000A403C" w:rsidRDefault="009669D3" w:rsidP="009669D3">
      <w:pPr>
        <w:pStyle w:val="ListParagraph"/>
        <w:shd w:val="clear" w:color="auto" w:fill="FFFFFF" w:themeFill="background1"/>
        <w:adjustRightInd w:val="0"/>
        <w:snapToGrid w:val="0"/>
        <w:spacing w:before="120" w:after="120"/>
        <w:ind w:left="0" w:firstLine="720"/>
        <w:contextualSpacing w:val="0"/>
        <w:rPr>
          <w:kern w:val="22"/>
          <w:szCs w:val="22"/>
        </w:rPr>
      </w:pPr>
      <w:proofErr w:type="gramStart"/>
      <w:r w:rsidRPr="000A403C">
        <w:rPr>
          <w:i/>
          <w:iCs/>
          <w:kern w:val="22"/>
          <w:szCs w:val="22"/>
        </w:rPr>
        <w:t xml:space="preserve">Noting </w:t>
      </w:r>
      <w:r w:rsidR="00A065C4" w:rsidRPr="000A403C">
        <w:rPr>
          <w:i/>
          <w:iCs/>
          <w:kern w:val="22"/>
          <w:szCs w:val="22"/>
        </w:rPr>
        <w:t>also</w:t>
      </w:r>
      <w:proofErr w:type="gramEnd"/>
      <w:r w:rsidR="00A065C4" w:rsidRPr="000A403C">
        <w:rPr>
          <w:i/>
          <w:iCs/>
          <w:kern w:val="22"/>
          <w:szCs w:val="22"/>
        </w:rPr>
        <w:t xml:space="preserve"> </w:t>
      </w:r>
      <w:r w:rsidRPr="000A403C">
        <w:rPr>
          <w:kern w:val="22"/>
          <w:szCs w:val="22"/>
        </w:rPr>
        <w:t xml:space="preserve">goals A.6 to A.8 of the </w:t>
      </w:r>
      <w:r w:rsidR="005745D2" w:rsidRPr="000A403C">
        <w:rPr>
          <w:kern w:val="22"/>
          <w:szCs w:val="22"/>
        </w:rPr>
        <w:t>I</w:t>
      </w:r>
      <w:r w:rsidRPr="000A403C">
        <w:rPr>
          <w:kern w:val="22"/>
          <w:szCs w:val="22"/>
        </w:rPr>
        <w:t xml:space="preserve">mplementation </w:t>
      </w:r>
      <w:r w:rsidR="005745D2" w:rsidRPr="000A403C">
        <w:rPr>
          <w:kern w:val="22"/>
          <w:szCs w:val="22"/>
        </w:rPr>
        <w:t>P</w:t>
      </w:r>
      <w:r w:rsidRPr="000A403C">
        <w:rPr>
          <w:kern w:val="22"/>
          <w:szCs w:val="22"/>
        </w:rPr>
        <w:t>lan for the Cartagena Protocol on Biosafety,</w:t>
      </w:r>
      <w:r w:rsidR="00BC11F0" w:rsidRPr="000A403C">
        <w:rPr>
          <w:rStyle w:val="FootnoteReference"/>
          <w:kern w:val="22"/>
          <w:szCs w:val="22"/>
        </w:rPr>
        <w:footnoteReference w:id="1"/>
      </w:r>
      <w:r w:rsidRPr="000A403C">
        <w:rPr>
          <w:kern w:val="22"/>
          <w:szCs w:val="22"/>
        </w:rPr>
        <w:t xml:space="preserve"> as well as goals A.6 to A.8 and related capacity-building activities of the </w:t>
      </w:r>
      <w:r w:rsidR="005745D2" w:rsidRPr="000A403C">
        <w:rPr>
          <w:kern w:val="22"/>
          <w:szCs w:val="22"/>
        </w:rPr>
        <w:t>C</w:t>
      </w:r>
      <w:r w:rsidRPr="000A403C">
        <w:rPr>
          <w:kern w:val="22"/>
          <w:szCs w:val="22"/>
        </w:rPr>
        <w:t>apacity-</w:t>
      </w:r>
      <w:r w:rsidR="00D21380" w:rsidRPr="00117766">
        <w:rPr>
          <w:kern w:val="22"/>
          <w:szCs w:val="22"/>
        </w:rPr>
        <w:t>b</w:t>
      </w:r>
      <w:r w:rsidRPr="000A403C">
        <w:rPr>
          <w:kern w:val="22"/>
          <w:szCs w:val="22"/>
        </w:rPr>
        <w:t xml:space="preserve">uilding </w:t>
      </w:r>
      <w:r w:rsidR="005745D2" w:rsidRPr="000A403C">
        <w:rPr>
          <w:kern w:val="22"/>
          <w:szCs w:val="22"/>
        </w:rPr>
        <w:t>A</w:t>
      </w:r>
      <w:r w:rsidRPr="000A403C">
        <w:rPr>
          <w:kern w:val="22"/>
          <w:szCs w:val="22"/>
        </w:rPr>
        <w:t xml:space="preserve">ction </w:t>
      </w:r>
      <w:r w:rsidR="005745D2" w:rsidRPr="000A403C">
        <w:rPr>
          <w:kern w:val="22"/>
          <w:szCs w:val="22"/>
        </w:rPr>
        <w:t>P</w:t>
      </w:r>
      <w:r w:rsidRPr="000A403C">
        <w:rPr>
          <w:kern w:val="22"/>
          <w:szCs w:val="22"/>
        </w:rPr>
        <w:t xml:space="preserve">lan for the </w:t>
      </w:r>
      <w:r w:rsidR="0088681C" w:rsidRPr="000A403C">
        <w:rPr>
          <w:kern w:val="22"/>
          <w:szCs w:val="22"/>
        </w:rPr>
        <w:t xml:space="preserve">Cartagena </w:t>
      </w:r>
      <w:r w:rsidRPr="000A403C">
        <w:rPr>
          <w:kern w:val="22"/>
          <w:szCs w:val="22"/>
        </w:rPr>
        <w:t>Protocol</w:t>
      </w:r>
      <w:r w:rsidR="0088681C" w:rsidRPr="000A403C">
        <w:rPr>
          <w:kern w:val="22"/>
          <w:szCs w:val="22"/>
        </w:rPr>
        <w:t xml:space="preserve"> on Biosafety</w:t>
      </w:r>
      <w:r w:rsidRPr="000A403C">
        <w:rPr>
          <w:kern w:val="22"/>
          <w:szCs w:val="22"/>
        </w:rPr>
        <w:t>,</w:t>
      </w:r>
      <w:r w:rsidR="00004CD2" w:rsidRPr="000A403C">
        <w:rPr>
          <w:rStyle w:val="FootnoteReference"/>
          <w:kern w:val="22"/>
          <w:szCs w:val="22"/>
        </w:rPr>
        <w:footnoteReference w:id="2"/>
      </w:r>
    </w:p>
    <w:p w14:paraId="16D20BA4" w14:textId="523C699B" w:rsidR="009669D3" w:rsidRPr="000A403C" w:rsidRDefault="009669D3" w:rsidP="009669D3">
      <w:pPr>
        <w:shd w:val="clear" w:color="auto" w:fill="FFFFFF" w:themeFill="background1"/>
        <w:adjustRightInd w:val="0"/>
        <w:snapToGrid w:val="0"/>
        <w:spacing w:before="120" w:after="120"/>
        <w:ind w:firstLine="720"/>
        <w:rPr>
          <w:i/>
          <w:iCs/>
          <w:kern w:val="22"/>
          <w:szCs w:val="22"/>
        </w:rPr>
      </w:pPr>
      <w:r w:rsidRPr="000A403C">
        <w:rPr>
          <w:i/>
          <w:iCs/>
          <w:kern w:val="22"/>
          <w:szCs w:val="22"/>
        </w:rPr>
        <w:t xml:space="preserve">Recognizing </w:t>
      </w:r>
      <w:r w:rsidRPr="000A403C">
        <w:rPr>
          <w:kern w:val="22"/>
          <w:szCs w:val="22"/>
        </w:rPr>
        <w:t>the importance of the field of detection and identification of living modified organisms for the Cartagena Protocol on Biosafety, as well as its relevance and applicability to other fields</w:t>
      </w:r>
      <w:r w:rsidR="007A50EE" w:rsidRPr="000A403C">
        <w:rPr>
          <w:kern w:val="22"/>
          <w:szCs w:val="22"/>
        </w:rPr>
        <w:t>,</w:t>
      </w:r>
    </w:p>
    <w:p w14:paraId="13153EF0" w14:textId="72AC309A" w:rsidR="009669D3" w:rsidRPr="000A403C" w:rsidRDefault="009669D3" w:rsidP="009669D3">
      <w:pPr>
        <w:shd w:val="clear" w:color="auto" w:fill="FFFFFF" w:themeFill="background1"/>
        <w:adjustRightInd w:val="0"/>
        <w:snapToGrid w:val="0"/>
        <w:spacing w:before="120" w:after="120"/>
        <w:ind w:firstLine="720"/>
        <w:rPr>
          <w:kern w:val="22"/>
          <w:szCs w:val="22"/>
        </w:rPr>
      </w:pPr>
      <w:r w:rsidRPr="000A403C">
        <w:rPr>
          <w:i/>
          <w:iCs/>
          <w:kern w:val="22"/>
          <w:szCs w:val="22"/>
        </w:rPr>
        <w:t xml:space="preserve">Recognizing also </w:t>
      </w:r>
      <w:r w:rsidRPr="000A403C">
        <w:rPr>
          <w:kern w:val="22"/>
          <w:szCs w:val="22"/>
        </w:rPr>
        <w:t>the challenges identified by Parties associated with detection and identification of living modified organisms, including the lack of accessible validation and reference materials and financing</w:t>
      </w:r>
      <w:r w:rsidR="00EF6BB6" w:rsidRPr="000A403C">
        <w:rPr>
          <w:kern w:val="22"/>
          <w:szCs w:val="22"/>
        </w:rPr>
        <w:t>,</w:t>
      </w:r>
    </w:p>
    <w:p w14:paraId="311C450C" w14:textId="0A86523B" w:rsidR="009669D3" w:rsidRPr="000A403C" w:rsidRDefault="009669D3" w:rsidP="009669D3">
      <w:pPr>
        <w:shd w:val="clear" w:color="auto" w:fill="FFFFFF" w:themeFill="background1"/>
        <w:adjustRightInd w:val="0"/>
        <w:snapToGrid w:val="0"/>
        <w:spacing w:before="120" w:after="120"/>
        <w:ind w:firstLine="720"/>
        <w:rPr>
          <w:kern w:val="22"/>
          <w:szCs w:val="22"/>
        </w:rPr>
      </w:pPr>
      <w:r w:rsidRPr="000A403C">
        <w:rPr>
          <w:i/>
          <w:iCs/>
          <w:kern w:val="22"/>
          <w:szCs w:val="22"/>
        </w:rPr>
        <w:t xml:space="preserve">Recognizing further </w:t>
      </w:r>
      <w:r w:rsidRPr="000A403C">
        <w:rPr>
          <w:kern w:val="22"/>
          <w:szCs w:val="22"/>
        </w:rPr>
        <w:t>the need for capacity-building activities on new detection techniques, as well as on detecting and identifying unauthorized living modified organisms</w:t>
      </w:r>
      <w:r w:rsidR="00EF6BB6" w:rsidRPr="000A403C">
        <w:rPr>
          <w:kern w:val="22"/>
          <w:szCs w:val="22"/>
        </w:rPr>
        <w:t>,</w:t>
      </w:r>
    </w:p>
    <w:p w14:paraId="24919841" w14:textId="77777777" w:rsidR="009669D3" w:rsidRPr="000A403C" w:rsidRDefault="009669D3" w:rsidP="009669D3">
      <w:pPr>
        <w:shd w:val="clear" w:color="auto" w:fill="FFFFFF" w:themeFill="background1"/>
        <w:adjustRightInd w:val="0"/>
        <w:snapToGrid w:val="0"/>
        <w:spacing w:before="120" w:after="120"/>
        <w:ind w:firstLine="720"/>
        <w:rPr>
          <w:kern w:val="22"/>
          <w:szCs w:val="22"/>
        </w:rPr>
      </w:pPr>
      <w:r w:rsidRPr="000A403C">
        <w:rPr>
          <w:kern w:val="22"/>
          <w:szCs w:val="22"/>
        </w:rPr>
        <w:t xml:space="preserve">1. </w:t>
      </w:r>
      <w:r w:rsidRPr="000A403C">
        <w:rPr>
          <w:kern w:val="22"/>
          <w:szCs w:val="22"/>
        </w:rPr>
        <w:tab/>
      </w:r>
      <w:r w:rsidRPr="000A403C">
        <w:rPr>
          <w:i/>
          <w:iCs/>
          <w:kern w:val="22"/>
          <w:szCs w:val="22"/>
        </w:rPr>
        <w:t>Welcomes</w:t>
      </w:r>
      <w:r w:rsidRPr="000A403C">
        <w:rPr>
          <w:kern w:val="22"/>
          <w:szCs w:val="22"/>
        </w:rPr>
        <w:t xml:space="preserve"> the publication of Biosafety Technical Series 05:</w:t>
      </w:r>
      <w:r w:rsidRPr="000A403C">
        <w:rPr>
          <w:i/>
          <w:iCs/>
          <w:kern w:val="22"/>
          <w:szCs w:val="22"/>
        </w:rPr>
        <w:t xml:space="preserve"> Training Manual on the Detection and Identification of Living Modified Organisms in the Context of the Cartagena Protocol on </w:t>
      </w:r>
      <w:proofErr w:type="gramStart"/>
      <w:r w:rsidRPr="000A403C">
        <w:rPr>
          <w:i/>
          <w:iCs/>
          <w:kern w:val="22"/>
          <w:szCs w:val="22"/>
        </w:rPr>
        <w:t>Biosafety</w:t>
      </w:r>
      <w:r w:rsidRPr="000A403C">
        <w:rPr>
          <w:kern w:val="22"/>
          <w:szCs w:val="22"/>
        </w:rPr>
        <w:t>;</w:t>
      </w:r>
      <w:proofErr w:type="gramEnd"/>
    </w:p>
    <w:p w14:paraId="50C030AA" w14:textId="7817C1F2" w:rsidR="008445AF" w:rsidRPr="007D5466" w:rsidRDefault="009669D3" w:rsidP="008445AF">
      <w:pPr>
        <w:shd w:val="clear" w:color="auto" w:fill="FFFFFF" w:themeFill="background1"/>
        <w:adjustRightInd w:val="0"/>
        <w:snapToGrid w:val="0"/>
        <w:spacing w:before="120" w:after="120"/>
        <w:ind w:firstLine="720"/>
        <w:rPr>
          <w:kern w:val="22"/>
          <w:szCs w:val="22"/>
        </w:rPr>
      </w:pPr>
      <w:r w:rsidRPr="000A403C">
        <w:rPr>
          <w:kern w:val="22"/>
          <w:szCs w:val="22"/>
        </w:rPr>
        <w:t xml:space="preserve">2. </w:t>
      </w:r>
      <w:r w:rsidRPr="000A403C">
        <w:rPr>
          <w:kern w:val="22"/>
          <w:szCs w:val="22"/>
        </w:rPr>
        <w:tab/>
      </w:r>
      <w:r w:rsidRPr="000A403C">
        <w:rPr>
          <w:i/>
          <w:iCs/>
          <w:kern w:val="22"/>
          <w:szCs w:val="22"/>
        </w:rPr>
        <w:t>Recognizes</w:t>
      </w:r>
      <w:r w:rsidRPr="000A403C">
        <w:rPr>
          <w:kern w:val="22"/>
          <w:szCs w:val="22"/>
        </w:rPr>
        <w:t xml:space="preserve"> the importance of the Network of Laboratories for the Detection and Identification of Living Modified Organisms and encourages Parties to continue to cooperate to develop regional networks of laboratories to facilitate the exchange of experience, sharing of information and building of expertise in the </w:t>
      </w:r>
      <w:proofErr w:type="gramStart"/>
      <w:r w:rsidRPr="000A403C">
        <w:rPr>
          <w:kern w:val="22"/>
          <w:szCs w:val="22"/>
        </w:rPr>
        <w:t>field;</w:t>
      </w:r>
      <w:proofErr w:type="gramEnd"/>
    </w:p>
    <w:p w14:paraId="751143DA" w14:textId="70BC2B01" w:rsidR="009669D3" w:rsidRPr="000A403C" w:rsidRDefault="009669D3" w:rsidP="0022675F">
      <w:pPr>
        <w:shd w:val="clear" w:color="auto" w:fill="FFFFFF" w:themeFill="background1"/>
        <w:adjustRightInd w:val="0"/>
        <w:snapToGrid w:val="0"/>
        <w:spacing w:before="120" w:after="120"/>
        <w:ind w:firstLine="720"/>
        <w:rPr>
          <w:kern w:val="22"/>
          <w:szCs w:val="22"/>
        </w:rPr>
      </w:pPr>
      <w:r w:rsidRPr="000A403C">
        <w:rPr>
          <w:kern w:val="22"/>
          <w:szCs w:val="22"/>
        </w:rPr>
        <w:lastRenderedPageBreak/>
        <w:t>3.</w:t>
      </w:r>
      <w:r w:rsidRPr="000A403C">
        <w:rPr>
          <w:kern w:val="22"/>
          <w:szCs w:val="22"/>
        </w:rPr>
        <w:tab/>
      </w:r>
      <w:r w:rsidRPr="000A403C">
        <w:rPr>
          <w:i/>
          <w:iCs/>
          <w:kern w:val="22"/>
          <w:szCs w:val="22"/>
        </w:rPr>
        <w:t xml:space="preserve">Invites </w:t>
      </w:r>
      <w:r w:rsidRPr="000A403C">
        <w:rPr>
          <w:kern w:val="22"/>
          <w:szCs w:val="22"/>
        </w:rPr>
        <w:t xml:space="preserve">Parties and relevant organizations to submit information on their experience with </w:t>
      </w:r>
      <w:r w:rsidR="008445AF" w:rsidRPr="000A403C">
        <w:rPr>
          <w:kern w:val="22"/>
          <w:szCs w:val="22"/>
        </w:rPr>
        <w:t xml:space="preserve">new detection techniques, </w:t>
      </w:r>
      <w:r w:rsidRPr="000A403C">
        <w:rPr>
          <w:kern w:val="22"/>
          <w:szCs w:val="22"/>
        </w:rPr>
        <w:t xml:space="preserve">detecting newly developed and unauthorized living modified organisms, and developing reference materials, as well as ongoing collaborations involving national and regional laboratories, and </w:t>
      </w:r>
      <w:r w:rsidRPr="00117766">
        <w:rPr>
          <w:kern w:val="22"/>
          <w:szCs w:val="22"/>
        </w:rPr>
        <w:t>also invites</w:t>
      </w:r>
      <w:r w:rsidRPr="000A403C">
        <w:rPr>
          <w:i/>
          <w:iCs/>
          <w:kern w:val="22"/>
          <w:szCs w:val="22"/>
        </w:rPr>
        <w:t xml:space="preserve"> </w:t>
      </w:r>
      <w:r w:rsidRPr="000A403C">
        <w:rPr>
          <w:kern w:val="22"/>
          <w:szCs w:val="22"/>
        </w:rPr>
        <w:t>Parties, in particular those that have not yet done so, to submit information on their laboratories, including their specific activities, to the Biosafety Clearing-House using the Laboratory common format;</w:t>
      </w:r>
    </w:p>
    <w:p w14:paraId="6733DF25" w14:textId="5EC97A70" w:rsidR="009669D3" w:rsidRPr="000A403C" w:rsidRDefault="009669D3" w:rsidP="0022675F">
      <w:pPr>
        <w:shd w:val="clear" w:color="auto" w:fill="FFFFFF" w:themeFill="background1"/>
        <w:ind w:firstLine="720"/>
      </w:pPr>
      <w:r w:rsidRPr="000A403C">
        <w:t xml:space="preserve">4. </w:t>
      </w:r>
      <w:r w:rsidRPr="000A403C">
        <w:tab/>
      </w:r>
      <w:r w:rsidRPr="000A403C">
        <w:rPr>
          <w:i/>
          <w:iCs/>
        </w:rPr>
        <w:t>Requests</w:t>
      </w:r>
      <w:r w:rsidRPr="000A403C">
        <w:t xml:space="preserve"> the </w:t>
      </w:r>
      <w:r w:rsidR="0086460A" w:rsidRPr="000A403C">
        <w:t>Subsidiary Body on Scientific, Technical and Technological Advice</w:t>
      </w:r>
      <w:r w:rsidRPr="000A403C">
        <w:t xml:space="preserve"> at its </w:t>
      </w:r>
      <w:r w:rsidR="0086460A" w:rsidRPr="000A403C">
        <w:t>twenty-fifth</w:t>
      </w:r>
      <w:r w:rsidRPr="000A403C">
        <w:t xml:space="preserve"> </w:t>
      </w:r>
      <w:r w:rsidR="00B213AA" w:rsidRPr="000A403C">
        <w:t xml:space="preserve">or twenty-sixth </w:t>
      </w:r>
      <w:r w:rsidRPr="000A403C">
        <w:t xml:space="preserve">meeting to consider the information submitted by Parties and relevant organizations in </w:t>
      </w:r>
      <w:r w:rsidR="00275DF7" w:rsidRPr="000A403C">
        <w:t xml:space="preserve">response to </w:t>
      </w:r>
      <w:r w:rsidRPr="000A403C">
        <w:t xml:space="preserve">paragraph 3 </w:t>
      </w:r>
      <w:r w:rsidR="00F44F04" w:rsidRPr="000A403C">
        <w:t xml:space="preserve">above </w:t>
      </w:r>
      <w:r w:rsidRPr="000A403C">
        <w:t xml:space="preserve">and </w:t>
      </w:r>
      <w:r w:rsidR="00B213AA" w:rsidRPr="000A403C">
        <w:t xml:space="preserve">to prepare a </w:t>
      </w:r>
      <w:r w:rsidRPr="000A403C">
        <w:t>recommend</w:t>
      </w:r>
      <w:r w:rsidR="00B213AA" w:rsidRPr="000A403C">
        <w:t xml:space="preserve">ation </w:t>
      </w:r>
      <w:r w:rsidRPr="000A403C">
        <w:t>to the C</w:t>
      </w:r>
      <w:r w:rsidR="0086460A" w:rsidRPr="000A403C">
        <w:t>onference of Parties</w:t>
      </w:r>
      <w:r w:rsidRPr="000A403C">
        <w:t xml:space="preserve"> serving as a </w:t>
      </w:r>
      <w:r w:rsidR="0086460A" w:rsidRPr="000A403C">
        <w:t xml:space="preserve">meeting of </w:t>
      </w:r>
      <w:r w:rsidRPr="000A403C">
        <w:t>P</w:t>
      </w:r>
      <w:r w:rsidR="0086460A" w:rsidRPr="000A403C">
        <w:t>arties to the Cartagena Protocol on Biosafety</w:t>
      </w:r>
      <w:r w:rsidRPr="000A403C">
        <w:t xml:space="preserve"> at its </w:t>
      </w:r>
      <w:r w:rsidR="0086460A" w:rsidRPr="000A403C">
        <w:t>eleventh</w:t>
      </w:r>
      <w:r w:rsidRPr="000A403C">
        <w:t xml:space="preserve"> meeting</w:t>
      </w:r>
      <w:r w:rsidR="00B213AA" w:rsidRPr="000A403C">
        <w:t xml:space="preserve"> regarding </w:t>
      </w:r>
      <w:r w:rsidRPr="000A403C">
        <w:t xml:space="preserve">the need </w:t>
      </w:r>
      <w:r w:rsidR="0086460A" w:rsidRPr="000A403C">
        <w:t>to</w:t>
      </w:r>
      <w:r w:rsidRPr="000A403C">
        <w:t xml:space="preserve"> update the training manual on the detection and identification of living modified organisms in the context of the Cartagena Protocol on Biosafety;</w:t>
      </w:r>
    </w:p>
    <w:p w14:paraId="4C048594" w14:textId="5E0D58A7" w:rsidR="009669D3" w:rsidRPr="000A403C" w:rsidRDefault="009669D3" w:rsidP="009669D3">
      <w:pPr>
        <w:shd w:val="clear" w:color="auto" w:fill="FFFFFF" w:themeFill="background1"/>
        <w:adjustRightInd w:val="0"/>
        <w:snapToGrid w:val="0"/>
        <w:spacing w:before="120" w:after="120"/>
        <w:ind w:firstLine="720"/>
        <w:rPr>
          <w:kern w:val="22"/>
          <w:szCs w:val="22"/>
        </w:rPr>
      </w:pPr>
      <w:r w:rsidRPr="000A403C">
        <w:rPr>
          <w:kern w:val="22"/>
          <w:szCs w:val="22"/>
        </w:rPr>
        <w:t>5.</w:t>
      </w:r>
      <w:r w:rsidRPr="000A403C">
        <w:rPr>
          <w:kern w:val="22"/>
          <w:szCs w:val="22"/>
        </w:rPr>
        <w:tab/>
      </w:r>
      <w:r w:rsidRPr="000A403C">
        <w:rPr>
          <w:i/>
          <w:iCs/>
          <w:kern w:val="22"/>
          <w:szCs w:val="22"/>
        </w:rPr>
        <w:t xml:space="preserve">Urges </w:t>
      </w:r>
      <w:r w:rsidRPr="000A403C">
        <w:rPr>
          <w:kern w:val="22"/>
          <w:szCs w:val="22"/>
        </w:rPr>
        <w:t xml:space="preserve">Parties and </w:t>
      </w:r>
      <w:r w:rsidRPr="00117766">
        <w:rPr>
          <w:kern w:val="22"/>
          <w:szCs w:val="22"/>
        </w:rPr>
        <w:t>invites</w:t>
      </w:r>
      <w:r w:rsidRPr="000A403C">
        <w:rPr>
          <w:kern w:val="22"/>
          <w:szCs w:val="22"/>
        </w:rPr>
        <w:t xml:space="preserve"> international organizations to provide financial resources, in particular for developing countries</w:t>
      </w:r>
      <w:r w:rsidR="00B213AA" w:rsidRPr="000A403C">
        <w:rPr>
          <w:kern w:val="22"/>
          <w:szCs w:val="22"/>
        </w:rPr>
        <w:t xml:space="preserve">, </w:t>
      </w:r>
      <w:r w:rsidR="00982117" w:rsidRPr="000A403C">
        <w:rPr>
          <w:kern w:val="22"/>
          <w:szCs w:val="22"/>
        </w:rPr>
        <w:t>in particular</w:t>
      </w:r>
      <w:r w:rsidRPr="000A403C">
        <w:rPr>
          <w:kern w:val="22"/>
          <w:szCs w:val="22"/>
        </w:rPr>
        <w:t xml:space="preserve"> </w:t>
      </w:r>
      <w:r w:rsidR="00B213AA" w:rsidRPr="000A403C">
        <w:rPr>
          <w:kern w:val="22"/>
          <w:szCs w:val="22"/>
        </w:rPr>
        <w:t>the</w:t>
      </w:r>
      <w:r w:rsidRPr="000A403C">
        <w:rPr>
          <w:kern w:val="22"/>
          <w:szCs w:val="22"/>
        </w:rPr>
        <w:t xml:space="preserve"> least developed countries and small island developing </w:t>
      </w:r>
      <w:r w:rsidR="00B213AA" w:rsidRPr="000A403C">
        <w:rPr>
          <w:kern w:val="22"/>
          <w:szCs w:val="22"/>
        </w:rPr>
        <w:t>States,</w:t>
      </w:r>
      <w:r w:rsidRPr="000A403C">
        <w:rPr>
          <w:kern w:val="22"/>
          <w:szCs w:val="22"/>
        </w:rPr>
        <w:t xml:space="preserve"> and countries with economies in transition, to laboratories and to strengthen the infrastructure for detection and identification of living modified </w:t>
      </w:r>
      <w:proofErr w:type="gramStart"/>
      <w:r w:rsidRPr="000A403C">
        <w:rPr>
          <w:kern w:val="22"/>
          <w:szCs w:val="22"/>
        </w:rPr>
        <w:t>organisms;</w:t>
      </w:r>
      <w:proofErr w:type="gramEnd"/>
      <w:r w:rsidRPr="000A403C">
        <w:rPr>
          <w:kern w:val="22"/>
          <w:szCs w:val="22"/>
        </w:rPr>
        <w:t xml:space="preserve"> </w:t>
      </w:r>
    </w:p>
    <w:p w14:paraId="698B50A7" w14:textId="5AFD2A01" w:rsidR="009669D3" w:rsidRPr="000A403C" w:rsidRDefault="009669D3" w:rsidP="009669D3">
      <w:pPr>
        <w:shd w:val="clear" w:color="auto" w:fill="FFFFFF" w:themeFill="background1"/>
        <w:adjustRightInd w:val="0"/>
        <w:snapToGrid w:val="0"/>
        <w:spacing w:before="120" w:after="120"/>
        <w:ind w:firstLine="720"/>
        <w:rPr>
          <w:kern w:val="22"/>
          <w:szCs w:val="22"/>
        </w:rPr>
      </w:pPr>
      <w:r w:rsidRPr="000A403C">
        <w:rPr>
          <w:kern w:val="22"/>
          <w:szCs w:val="22"/>
        </w:rPr>
        <w:t>6.</w:t>
      </w:r>
      <w:r w:rsidRPr="000A403C">
        <w:rPr>
          <w:i/>
          <w:iCs/>
          <w:kern w:val="22"/>
          <w:szCs w:val="22"/>
        </w:rPr>
        <w:t xml:space="preserve"> </w:t>
      </w:r>
      <w:r w:rsidR="00B213AA" w:rsidRPr="000A403C">
        <w:rPr>
          <w:i/>
          <w:iCs/>
          <w:kern w:val="22"/>
          <w:szCs w:val="22"/>
        </w:rPr>
        <w:tab/>
      </w:r>
      <w:r w:rsidRPr="000A403C">
        <w:rPr>
          <w:i/>
          <w:iCs/>
          <w:kern w:val="22"/>
          <w:szCs w:val="22"/>
        </w:rPr>
        <w:t xml:space="preserve">Encourages </w:t>
      </w:r>
      <w:r w:rsidRPr="000A403C">
        <w:rPr>
          <w:kern w:val="22"/>
          <w:szCs w:val="22"/>
        </w:rPr>
        <w:t xml:space="preserve">Parties and international organizations to fund the capacity-building of personnel involved in the field of detection and identification of living modified </w:t>
      </w:r>
      <w:proofErr w:type="gramStart"/>
      <w:r w:rsidRPr="000A403C">
        <w:rPr>
          <w:kern w:val="22"/>
          <w:szCs w:val="22"/>
        </w:rPr>
        <w:t>organisms;</w:t>
      </w:r>
      <w:proofErr w:type="gramEnd"/>
    </w:p>
    <w:p w14:paraId="20A2044A" w14:textId="5FEA93F9" w:rsidR="009669D3" w:rsidRPr="000A403C" w:rsidRDefault="009669D3" w:rsidP="009669D3">
      <w:pPr>
        <w:shd w:val="clear" w:color="auto" w:fill="FFFFFF" w:themeFill="background1"/>
        <w:adjustRightInd w:val="0"/>
        <w:snapToGrid w:val="0"/>
        <w:spacing w:before="120" w:after="120"/>
        <w:ind w:left="720"/>
        <w:rPr>
          <w:kern w:val="22"/>
          <w:szCs w:val="22"/>
        </w:rPr>
      </w:pPr>
      <w:r w:rsidRPr="000A403C">
        <w:rPr>
          <w:kern w:val="22"/>
          <w:szCs w:val="22"/>
        </w:rPr>
        <w:t>7.</w:t>
      </w:r>
      <w:r w:rsidRPr="000A403C">
        <w:rPr>
          <w:kern w:val="22"/>
          <w:szCs w:val="22"/>
        </w:rPr>
        <w:tab/>
      </w:r>
      <w:r w:rsidRPr="000A403C">
        <w:rPr>
          <w:i/>
          <w:iCs/>
          <w:kern w:val="22"/>
          <w:szCs w:val="22"/>
        </w:rPr>
        <w:t xml:space="preserve">Requests </w:t>
      </w:r>
      <w:r w:rsidRPr="000A403C">
        <w:rPr>
          <w:kern w:val="22"/>
          <w:szCs w:val="22"/>
        </w:rPr>
        <w:t>the Executive Secretary:</w:t>
      </w:r>
    </w:p>
    <w:p w14:paraId="028B5AC3" w14:textId="77777777" w:rsidR="009669D3" w:rsidRPr="000A403C" w:rsidRDefault="009669D3" w:rsidP="009669D3">
      <w:pPr>
        <w:pStyle w:val="ListParagraph"/>
        <w:shd w:val="clear" w:color="auto" w:fill="FFFFFF" w:themeFill="background1"/>
        <w:adjustRightInd w:val="0"/>
        <w:snapToGrid w:val="0"/>
        <w:spacing w:before="120" w:after="120"/>
        <w:ind w:left="0" w:firstLine="720"/>
        <w:contextualSpacing w:val="0"/>
        <w:rPr>
          <w:kern w:val="22"/>
          <w:szCs w:val="22"/>
        </w:rPr>
      </w:pPr>
      <w:r w:rsidRPr="000A403C">
        <w:rPr>
          <w:kern w:val="22"/>
          <w:szCs w:val="22"/>
        </w:rPr>
        <w:t>(a)</w:t>
      </w:r>
      <w:r w:rsidRPr="000A403C">
        <w:rPr>
          <w:kern w:val="22"/>
          <w:szCs w:val="22"/>
        </w:rPr>
        <w:tab/>
        <w:t>To continue the work mandated under decision CP-9/</w:t>
      </w:r>
      <w:proofErr w:type="gramStart"/>
      <w:r w:rsidRPr="000A403C">
        <w:rPr>
          <w:kern w:val="22"/>
          <w:szCs w:val="22"/>
        </w:rPr>
        <w:t>11;</w:t>
      </w:r>
      <w:proofErr w:type="gramEnd"/>
    </w:p>
    <w:p w14:paraId="37259014" w14:textId="410EF9DA" w:rsidR="009669D3" w:rsidRPr="000A403C" w:rsidRDefault="009669D3" w:rsidP="009669D3">
      <w:pPr>
        <w:pStyle w:val="ListParagraph"/>
        <w:numPr>
          <w:ilvl w:val="0"/>
          <w:numId w:val="19"/>
        </w:numPr>
        <w:shd w:val="clear" w:color="auto" w:fill="FFFFFF" w:themeFill="background1"/>
        <w:adjustRightInd w:val="0"/>
        <w:snapToGrid w:val="0"/>
        <w:spacing w:before="120" w:after="120"/>
        <w:ind w:left="0" w:firstLine="720"/>
        <w:contextualSpacing w:val="0"/>
        <w:rPr>
          <w:kern w:val="22"/>
          <w:szCs w:val="22"/>
        </w:rPr>
      </w:pPr>
      <w:r w:rsidRPr="000A403C">
        <w:rPr>
          <w:kern w:val="22"/>
          <w:szCs w:val="22"/>
        </w:rPr>
        <w:t xml:space="preserve">To synthesize the information </w:t>
      </w:r>
      <w:r w:rsidR="0067540C" w:rsidRPr="000A403C">
        <w:rPr>
          <w:kern w:val="22"/>
          <w:szCs w:val="22"/>
        </w:rPr>
        <w:t xml:space="preserve">gathered </w:t>
      </w:r>
      <w:r w:rsidR="004E7523" w:rsidRPr="000A403C">
        <w:rPr>
          <w:kern w:val="22"/>
          <w:szCs w:val="22"/>
        </w:rPr>
        <w:t xml:space="preserve">in response to </w:t>
      </w:r>
      <w:r w:rsidRPr="000A403C">
        <w:rPr>
          <w:kern w:val="22"/>
          <w:szCs w:val="22"/>
        </w:rPr>
        <w:t xml:space="preserve">paragraph 3 above and submit a report to the Conference of Parties serving as the meeting of Parties to the Cartagena Protocol on Biosafety at its next </w:t>
      </w:r>
      <w:proofErr w:type="gramStart"/>
      <w:r w:rsidRPr="000A403C">
        <w:rPr>
          <w:kern w:val="22"/>
          <w:szCs w:val="22"/>
        </w:rPr>
        <w:t>meeting;</w:t>
      </w:r>
      <w:proofErr w:type="gramEnd"/>
    </w:p>
    <w:p w14:paraId="371533AC" w14:textId="77777777" w:rsidR="009669D3" w:rsidRPr="000A403C" w:rsidRDefault="009669D3" w:rsidP="009669D3">
      <w:pPr>
        <w:pStyle w:val="ListParagraph"/>
        <w:numPr>
          <w:ilvl w:val="0"/>
          <w:numId w:val="19"/>
        </w:numPr>
        <w:shd w:val="clear" w:color="auto" w:fill="FFFFFF" w:themeFill="background1"/>
        <w:adjustRightInd w:val="0"/>
        <w:snapToGrid w:val="0"/>
        <w:spacing w:before="120" w:after="120"/>
        <w:ind w:left="0" w:firstLine="720"/>
        <w:contextualSpacing w:val="0"/>
        <w:rPr>
          <w:szCs w:val="22"/>
        </w:rPr>
      </w:pPr>
      <w:r w:rsidRPr="000A403C">
        <w:rPr>
          <w:kern w:val="22"/>
          <w:szCs w:val="22"/>
        </w:rPr>
        <w:t>To further enhance capacity-building in the field of detection and identification of living modified organisms, including the convening, in cooperation with relevant organizations, subject to the availability of resources, of regional and subregional capacity-building activities, such as online training and face-to-face workshops.</w:t>
      </w:r>
    </w:p>
    <w:p w14:paraId="6B7EA98D" w14:textId="2EEDB2D2" w:rsidR="00F6586C" w:rsidRDefault="00416426" w:rsidP="00416426">
      <w:pPr>
        <w:pStyle w:val="Para1"/>
        <w:numPr>
          <w:ilvl w:val="0"/>
          <w:numId w:val="0"/>
        </w:numPr>
        <w:jc w:val="center"/>
      </w:pPr>
      <w:r w:rsidRPr="000A403C">
        <w:t>__________</w:t>
      </w:r>
    </w:p>
    <w:p w14:paraId="3093D971" w14:textId="77777777" w:rsidR="00B3369F" w:rsidRPr="00C9161D" w:rsidRDefault="00B3369F" w:rsidP="00C9161D"/>
    <w:sectPr w:rsidR="00B3369F" w:rsidRPr="00C9161D" w:rsidSect="00A17867">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3EC4" w14:textId="77777777" w:rsidR="001E3950" w:rsidRDefault="001E3950" w:rsidP="00CF1848">
      <w:r>
        <w:separator/>
      </w:r>
    </w:p>
  </w:endnote>
  <w:endnote w:type="continuationSeparator" w:id="0">
    <w:p w14:paraId="073E5A28" w14:textId="77777777" w:rsidR="001E3950" w:rsidRDefault="001E3950"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F9B21" w14:textId="77777777" w:rsidR="001E3950" w:rsidRDefault="001E3950" w:rsidP="00CF1848">
      <w:r>
        <w:separator/>
      </w:r>
    </w:p>
  </w:footnote>
  <w:footnote w:type="continuationSeparator" w:id="0">
    <w:p w14:paraId="5DCF93BD" w14:textId="77777777" w:rsidR="001E3950" w:rsidRDefault="001E3950" w:rsidP="00CF1848">
      <w:r>
        <w:continuationSeparator/>
      </w:r>
    </w:p>
  </w:footnote>
  <w:footnote w:id="1">
    <w:p w14:paraId="3D495B99" w14:textId="2D58CDE5" w:rsidR="00BC11F0" w:rsidRPr="000D4C1D" w:rsidRDefault="00BC11F0" w:rsidP="00117766">
      <w:pPr>
        <w:pStyle w:val="FootnoteText"/>
        <w:ind w:firstLine="0"/>
        <w:rPr>
          <w:szCs w:val="18"/>
          <w:lang w:val="en-US"/>
        </w:rPr>
      </w:pPr>
      <w:r w:rsidRPr="000D4C1D">
        <w:rPr>
          <w:rStyle w:val="FootnoteReference"/>
          <w:sz w:val="18"/>
          <w:szCs w:val="18"/>
        </w:rPr>
        <w:footnoteRef/>
      </w:r>
      <w:r w:rsidRPr="000D4C1D">
        <w:rPr>
          <w:szCs w:val="18"/>
        </w:rPr>
        <w:t xml:space="preserve"> </w:t>
      </w:r>
      <w:r w:rsidR="00632CC0">
        <w:rPr>
          <w:szCs w:val="18"/>
        </w:rPr>
        <w:t>D</w:t>
      </w:r>
      <w:r w:rsidR="00004CD2" w:rsidRPr="000D4C1D">
        <w:rPr>
          <w:szCs w:val="18"/>
        </w:rPr>
        <w:t>ecision CP-10/</w:t>
      </w:r>
      <w:r w:rsidR="0085400E">
        <w:rPr>
          <w:szCs w:val="18"/>
        </w:rPr>
        <w:t>3</w:t>
      </w:r>
      <w:r w:rsidR="00632CC0">
        <w:rPr>
          <w:szCs w:val="18"/>
        </w:rPr>
        <w:t>, annex</w:t>
      </w:r>
      <w:r w:rsidR="00004CD2" w:rsidRPr="000D4C1D">
        <w:rPr>
          <w:szCs w:val="18"/>
        </w:rPr>
        <w:t>.</w:t>
      </w:r>
    </w:p>
  </w:footnote>
  <w:footnote w:id="2">
    <w:p w14:paraId="29605F2C" w14:textId="0852EE46" w:rsidR="00004CD2" w:rsidRPr="00693784" w:rsidRDefault="00004CD2" w:rsidP="00117766">
      <w:pPr>
        <w:pStyle w:val="FootnoteText"/>
        <w:ind w:firstLine="0"/>
        <w:rPr>
          <w:lang w:val="en-US"/>
        </w:rPr>
      </w:pPr>
      <w:r w:rsidRPr="000D4C1D">
        <w:rPr>
          <w:rStyle w:val="FootnoteReference"/>
          <w:sz w:val="18"/>
          <w:szCs w:val="18"/>
        </w:rPr>
        <w:footnoteRef/>
      </w:r>
      <w:r w:rsidRPr="000D4C1D">
        <w:rPr>
          <w:szCs w:val="18"/>
        </w:rPr>
        <w:t xml:space="preserve"> </w:t>
      </w:r>
      <w:r w:rsidR="00632CC0">
        <w:rPr>
          <w:szCs w:val="18"/>
          <w:lang w:val="en-US"/>
        </w:rPr>
        <w:t>D</w:t>
      </w:r>
      <w:r w:rsidRPr="000D4C1D">
        <w:rPr>
          <w:szCs w:val="18"/>
          <w:lang w:val="en-US"/>
        </w:rPr>
        <w:t>ecision CP-10/</w:t>
      </w:r>
      <w:r w:rsidR="009E0861">
        <w:rPr>
          <w:szCs w:val="18"/>
          <w:lang w:val="en-US"/>
        </w:rPr>
        <w:t>4</w:t>
      </w:r>
      <w:r w:rsidR="00632CC0">
        <w:rPr>
          <w:szCs w:val="18"/>
          <w:lang w:val="en-US"/>
        </w:rPr>
        <w:t>, annex</w:t>
      </w:r>
      <w:r w:rsidR="00F31950" w:rsidRPr="000D4C1D">
        <w:rPr>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14:paraId="3BC20A3F" w14:textId="7693EB58" w:rsidR="00534681" w:rsidRPr="00117766" w:rsidRDefault="005B5029" w:rsidP="00534681">
        <w:pPr>
          <w:pStyle w:val="Header"/>
          <w:rPr>
            <w:lang w:val="fr-CA"/>
          </w:rPr>
        </w:pPr>
        <w:r w:rsidRPr="00117766">
          <w:rPr>
            <w:lang w:val="fr-CA"/>
          </w:rPr>
          <w:t>CBD/CP/MOP/DEC/10/11</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14:paraId="2C4EC37E" w14:textId="236A31D3" w:rsidR="009505C9" w:rsidRPr="00117766" w:rsidRDefault="005B5029" w:rsidP="009505C9">
        <w:pPr>
          <w:pStyle w:val="Header"/>
          <w:jc w:val="right"/>
          <w:rPr>
            <w:lang w:val="fr-CA"/>
          </w:rPr>
        </w:pPr>
        <w:r w:rsidRPr="00117766">
          <w:rPr>
            <w:lang w:val="fr-CA"/>
          </w:rPr>
          <w:t>CBD/CP/MOP/DEC/10/11</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A5E5F"/>
    <w:multiLevelType w:val="hybridMultilevel"/>
    <w:tmpl w:val="E15E5C56"/>
    <w:lvl w:ilvl="0" w:tplc="56F2DEB8">
      <w:start w:val="2"/>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0046799">
    <w:abstractNumId w:val="4"/>
  </w:num>
  <w:num w:numId="2" w16cid:durableId="2062165082">
    <w:abstractNumId w:val="7"/>
  </w:num>
  <w:num w:numId="3" w16cid:durableId="1732658746">
    <w:abstractNumId w:val="5"/>
  </w:num>
  <w:num w:numId="4" w16cid:durableId="990132364">
    <w:abstractNumId w:val="7"/>
  </w:num>
  <w:num w:numId="5" w16cid:durableId="1891380713">
    <w:abstractNumId w:val="6"/>
  </w:num>
  <w:num w:numId="6" w16cid:durableId="963854223">
    <w:abstractNumId w:val="0"/>
  </w:num>
  <w:num w:numId="7" w16cid:durableId="823813228">
    <w:abstractNumId w:val="3"/>
  </w:num>
  <w:num w:numId="8" w16cid:durableId="1063867375">
    <w:abstractNumId w:val="5"/>
    <w:lvlOverride w:ilvl="0">
      <w:startOverride w:val="1"/>
    </w:lvlOverride>
  </w:num>
  <w:num w:numId="9" w16cid:durableId="679624050">
    <w:abstractNumId w:val="10"/>
  </w:num>
  <w:num w:numId="10" w16cid:durableId="1743523470">
    <w:abstractNumId w:val="5"/>
    <w:lvlOverride w:ilvl="0">
      <w:startOverride w:val="1"/>
    </w:lvlOverride>
  </w:num>
  <w:num w:numId="11" w16cid:durableId="1861357072">
    <w:abstractNumId w:val="5"/>
    <w:lvlOverride w:ilvl="0">
      <w:startOverride w:val="1"/>
    </w:lvlOverride>
  </w:num>
  <w:num w:numId="12" w16cid:durableId="696279052">
    <w:abstractNumId w:val="5"/>
    <w:lvlOverride w:ilvl="0">
      <w:startOverride w:val="1"/>
    </w:lvlOverride>
  </w:num>
  <w:num w:numId="13" w16cid:durableId="1909731549">
    <w:abstractNumId w:val="5"/>
    <w:lvlOverride w:ilvl="0">
      <w:startOverride w:val="1"/>
    </w:lvlOverride>
  </w:num>
  <w:num w:numId="14" w16cid:durableId="127208875">
    <w:abstractNumId w:val="9"/>
  </w:num>
  <w:num w:numId="15" w16cid:durableId="70007651">
    <w:abstractNumId w:val="8"/>
  </w:num>
  <w:num w:numId="16" w16cid:durableId="54207618">
    <w:abstractNumId w:val="1"/>
  </w:num>
  <w:num w:numId="17" w16cid:durableId="53699750">
    <w:abstractNumId w:val="11"/>
  </w:num>
  <w:num w:numId="18" w16cid:durableId="1792746214">
    <w:abstractNumId w:val="12"/>
  </w:num>
  <w:num w:numId="19" w16cid:durableId="1418206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4CD2"/>
    <w:rsid w:val="00020A25"/>
    <w:rsid w:val="00053B63"/>
    <w:rsid w:val="00053C5B"/>
    <w:rsid w:val="0007171B"/>
    <w:rsid w:val="00087050"/>
    <w:rsid w:val="000933B6"/>
    <w:rsid w:val="000A403C"/>
    <w:rsid w:val="000C64C2"/>
    <w:rsid w:val="000C6B73"/>
    <w:rsid w:val="000D4C1D"/>
    <w:rsid w:val="000E3EB2"/>
    <w:rsid w:val="000E673A"/>
    <w:rsid w:val="000F0BF1"/>
    <w:rsid w:val="000F74F5"/>
    <w:rsid w:val="00105372"/>
    <w:rsid w:val="001176A1"/>
    <w:rsid w:val="00117766"/>
    <w:rsid w:val="001312AD"/>
    <w:rsid w:val="00131E7A"/>
    <w:rsid w:val="00134846"/>
    <w:rsid w:val="00142CC6"/>
    <w:rsid w:val="00172AF6"/>
    <w:rsid w:val="00176CEE"/>
    <w:rsid w:val="00183AA9"/>
    <w:rsid w:val="00186DD8"/>
    <w:rsid w:val="001B13FE"/>
    <w:rsid w:val="001D1486"/>
    <w:rsid w:val="001D4065"/>
    <w:rsid w:val="001E3950"/>
    <w:rsid w:val="001F18C1"/>
    <w:rsid w:val="00201591"/>
    <w:rsid w:val="00221739"/>
    <w:rsid w:val="0022675F"/>
    <w:rsid w:val="00230176"/>
    <w:rsid w:val="002532A1"/>
    <w:rsid w:val="0027183D"/>
    <w:rsid w:val="00275DF7"/>
    <w:rsid w:val="00280178"/>
    <w:rsid w:val="0030169D"/>
    <w:rsid w:val="003060EB"/>
    <w:rsid w:val="003153EB"/>
    <w:rsid w:val="00321985"/>
    <w:rsid w:val="003237E8"/>
    <w:rsid w:val="00344312"/>
    <w:rsid w:val="003503B1"/>
    <w:rsid w:val="00351205"/>
    <w:rsid w:val="0035195C"/>
    <w:rsid w:val="00372F74"/>
    <w:rsid w:val="003B7BB2"/>
    <w:rsid w:val="003F37EA"/>
    <w:rsid w:val="003F7224"/>
    <w:rsid w:val="00416426"/>
    <w:rsid w:val="00423504"/>
    <w:rsid w:val="00427D21"/>
    <w:rsid w:val="00430518"/>
    <w:rsid w:val="00432368"/>
    <w:rsid w:val="004368B0"/>
    <w:rsid w:val="00453275"/>
    <w:rsid w:val="004644C2"/>
    <w:rsid w:val="00467F9C"/>
    <w:rsid w:val="004D5AF1"/>
    <w:rsid w:val="004E613B"/>
    <w:rsid w:val="004E6EC2"/>
    <w:rsid w:val="004E7523"/>
    <w:rsid w:val="0052663A"/>
    <w:rsid w:val="0053106D"/>
    <w:rsid w:val="00534681"/>
    <w:rsid w:val="00542670"/>
    <w:rsid w:val="00563442"/>
    <w:rsid w:val="00565B42"/>
    <w:rsid w:val="005745D2"/>
    <w:rsid w:val="005B4ADC"/>
    <w:rsid w:val="005B5029"/>
    <w:rsid w:val="005C4CE6"/>
    <w:rsid w:val="005D4724"/>
    <w:rsid w:val="005D7803"/>
    <w:rsid w:val="005E0ED3"/>
    <w:rsid w:val="005E6850"/>
    <w:rsid w:val="006122BA"/>
    <w:rsid w:val="006176D1"/>
    <w:rsid w:val="00632CC0"/>
    <w:rsid w:val="0063588C"/>
    <w:rsid w:val="00645E1C"/>
    <w:rsid w:val="00665E75"/>
    <w:rsid w:val="00672158"/>
    <w:rsid w:val="00673E90"/>
    <w:rsid w:val="0067540C"/>
    <w:rsid w:val="00693784"/>
    <w:rsid w:val="006B2290"/>
    <w:rsid w:val="006B5ED4"/>
    <w:rsid w:val="00717D88"/>
    <w:rsid w:val="007324FF"/>
    <w:rsid w:val="007337B4"/>
    <w:rsid w:val="00761481"/>
    <w:rsid w:val="00786056"/>
    <w:rsid w:val="0079405A"/>
    <w:rsid w:val="007942D3"/>
    <w:rsid w:val="007A50EE"/>
    <w:rsid w:val="007B2099"/>
    <w:rsid w:val="007B6C09"/>
    <w:rsid w:val="007B7741"/>
    <w:rsid w:val="007B775E"/>
    <w:rsid w:val="007D3F3D"/>
    <w:rsid w:val="007D5466"/>
    <w:rsid w:val="007E083C"/>
    <w:rsid w:val="007E09DA"/>
    <w:rsid w:val="008178B6"/>
    <w:rsid w:val="00826BF3"/>
    <w:rsid w:val="008445AF"/>
    <w:rsid w:val="00845551"/>
    <w:rsid w:val="0085400E"/>
    <w:rsid w:val="0086460A"/>
    <w:rsid w:val="00865B74"/>
    <w:rsid w:val="00880D2B"/>
    <w:rsid w:val="0088681C"/>
    <w:rsid w:val="00894B8C"/>
    <w:rsid w:val="008974F0"/>
    <w:rsid w:val="008B012A"/>
    <w:rsid w:val="008C45A2"/>
    <w:rsid w:val="008C5029"/>
    <w:rsid w:val="008D1F17"/>
    <w:rsid w:val="008D39B5"/>
    <w:rsid w:val="008D7600"/>
    <w:rsid w:val="00906E17"/>
    <w:rsid w:val="00930BA1"/>
    <w:rsid w:val="0093169E"/>
    <w:rsid w:val="00937130"/>
    <w:rsid w:val="009505C9"/>
    <w:rsid w:val="00950752"/>
    <w:rsid w:val="00966424"/>
    <w:rsid w:val="009669D3"/>
    <w:rsid w:val="00982117"/>
    <w:rsid w:val="00984EE2"/>
    <w:rsid w:val="009B1634"/>
    <w:rsid w:val="009C2DE6"/>
    <w:rsid w:val="009D56F6"/>
    <w:rsid w:val="009E0861"/>
    <w:rsid w:val="00A065C4"/>
    <w:rsid w:val="00A1252A"/>
    <w:rsid w:val="00A17867"/>
    <w:rsid w:val="00A67A4E"/>
    <w:rsid w:val="00A8100B"/>
    <w:rsid w:val="00AA6F92"/>
    <w:rsid w:val="00AB68B2"/>
    <w:rsid w:val="00AB6934"/>
    <w:rsid w:val="00AB73BF"/>
    <w:rsid w:val="00AD7FFC"/>
    <w:rsid w:val="00AF42DE"/>
    <w:rsid w:val="00B03A36"/>
    <w:rsid w:val="00B14F48"/>
    <w:rsid w:val="00B213AA"/>
    <w:rsid w:val="00B22532"/>
    <w:rsid w:val="00B229B9"/>
    <w:rsid w:val="00B26ACD"/>
    <w:rsid w:val="00B3369F"/>
    <w:rsid w:val="00B544AE"/>
    <w:rsid w:val="00B85855"/>
    <w:rsid w:val="00B94E6C"/>
    <w:rsid w:val="00BB4606"/>
    <w:rsid w:val="00BC11F0"/>
    <w:rsid w:val="00BC2EA1"/>
    <w:rsid w:val="00BD1DBE"/>
    <w:rsid w:val="00BF11F9"/>
    <w:rsid w:val="00C23D2F"/>
    <w:rsid w:val="00C30CEA"/>
    <w:rsid w:val="00C443BD"/>
    <w:rsid w:val="00C451C5"/>
    <w:rsid w:val="00C5044C"/>
    <w:rsid w:val="00C54320"/>
    <w:rsid w:val="00C9161D"/>
    <w:rsid w:val="00CA0C1D"/>
    <w:rsid w:val="00CA74A7"/>
    <w:rsid w:val="00CB6700"/>
    <w:rsid w:val="00CD05B8"/>
    <w:rsid w:val="00CD77B1"/>
    <w:rsid w:val="00CF1848"/>
    <w:rsid w:val="00D12044"/>
    <w:rsid w:val="00D21380"/>
    <w:rsid w:val="00D30264"/>
    <w:rsid w:val="00D33EFC"/>
    <w:rsid w:val="00D40DBC"/>
    <w:rsid w:val="00D46AE7"/>
    <w:rsid w:val="00D63882"/>
    <w:rsid w:val="00D66CB6"/>
    <w:rsid w:val="00D67904"/>
    <w:rsid w:val="00D76A18"/>
    <w:rsid w:val="00D80849"/>
    <w:rsid w:val="00D82E8F"/>
    <w:rsid w:val="00DA5653"/>
    <w:rsid w:val="00DD118C"/>
    <w:rsid w:val="00DF45AE"/>
    <w:rsid w:val="00E215C4"/>
    <w:rsid w:val="00E30D56"/>
    <w:rsid w:val="00E3522C"/>
    <w:rsid w:val="00E401F9"/>
    <w:rsid w:val="00E66235"/>
    <w:rsid w:val="00E8397F"/>
    <w:rsid w:val="00E83C24"/>
    <w:rsid w:val="00E9318D"/>
    <w:rsid w:val="00EC1F46"/>
    <w:rsid w:val="00EF6BB6"/>
    <w:rsid w:val="00F06404"/>
    <w:rsid w:val="00F22D1C"/>
    <w:rsid w:val="00F31950"/>
    <w:rsid w:val="00F44F04"/>
    <w:rsid w:val="00F5004D"/>
    <w:rsid w:val="00F53193"/>
    <w:rsid w:val="00F5357E"/>
    <w:rsid w:val="00F565F0"/>
    <w:rsid w:val="00F64E28"/>
    <w:rsid w:val="00F6586C"/>
    <w:rsid w:val="00F66927"/>
    <w:rsid w:val="00F94774"/>
    <w:rsid w:val="00FA0E9A"/>
    <w:rsid w:val="00FA663B"/>
    <w:rsid w:val="00FC25F8"/>
    <w:rsid w:val="00FC53DB"/>
    <w:rsid w:val="00FE2131"/>
    <w:rsid w:val="00FE70B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locked/>
    <w:rsid w:val="009669D3"/>
    <w:rPr>
      <w:rFonts w:ascii="Times New Roman" w:eastAsia="Times New Roman" w:hAnsi="Times New Roman" w:cs="Times New Roman"/>
      <w:sz w:val="22"/>
      <w:lang w:val="en-GB"/>
    </w:rPr>
  </w:style>
  <w:style w:type="paragraph" w:styleId="Revision">
    <w:name w:val="Revision"/>
    <w:hidden/>
    <w:uiPriority w:val="99"/>
    <w:semiHidden/>
    <w:rsid w:val="00A8100B"/>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1F18C1"/>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1F18C1"/>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37FD7"/>
    <w:rsid w:val="0016789F"/>
    <w:rsid w:val="00264956"/>
    <w:rsid w:val="003145F1"/>
    <w:rsid w:val="00365AA5"/>
    <w:rsid w:val="003D1215"/>
    <w:rsid w:val="003D5340"/>
    <w:rsid w:val="003E1301"/>
    <w:rsid w:val="0040041E"/>
    <w:rsid w:val="0046422C"/>
    <w:rsid w:val="004760CF"/>
    <w:rsid w:val="004E092F"/>
    <w:rsid w:val="00500A2B"/>
    <w:rsid w:val="0058288D"/>
    <w:rsid w:val="005E1F24"/>
    <w:rsid w:val="00607665"/>
    <w:rsid w:val="00665C6B"/>
    <w:rsid w:val="006801B3"/>
    <w:rsid w:val="006E4CF4"/>
    <w:rsid w:val="00810A55"/>
    <w:rsid w:val="008C6619"/>
    <w:rsid w:val="008D420E"/>
    <w:rsid w:val="0098642F"/>
    <w:rsid w:val="009B59FA"/>
    <w:rsid w:val="00A11509"/>
    <w:rsid w:val="00AC03BB"/>
    <w:rsid w:val="00B27D2C"/>
    <w:rsid w:val="00C5075A"/>
    <w:rsid w:val="00C8104B"/>
    <w:rsid w:val="00C90BC9"/>
    <w:rsid w:val="00CE7818"/>
    <w:rsid w:val="00D31D12"/>
    <w:rsid w:val="00D82D3B"/>
    <w:rsid w:val="00EA7441"/>
    <w:rsid w:val="00EC785F"/>
    <w:rsid w:val="00F109B5"/>
    <w:rsid w:val="00FB4F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C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4CBF95-A5AB-44E5-8693-DE8824F2A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CP-10/11.	Detection and identification of living modified organisms</vt:lpstr>
    </vt:vector>
  </TitlesOfParts>
  <Company>SCBD</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CP-10/11.	Detection and identification of living modified organisms</dc:title>
  <dc:subject>CBD/CP/MOP/DEC/10/11</dc:subject>
  <dc:creator>SCBD</dc:creator>
  <cp:keywords>Decision adopted by the Parties to the Cartagena Protocol on Biosafety</cp:keywords>
  <cp:lastModifiedBy>Veronique Lefebvre</cp:lastModifiedBy>
  <cp:revision>3</cp:revision>
  <cp:lastPrinted>2023-02-08T23:51:00Z</cp:lastPrinted>
  <dcterms:created xsi:type="dcterms:W3CDTF">2023-02-22T19:14:00Z</dcterms:created>
  <dcterms:modified xsi:type="dcterms:W3CDTF">2023-02-22T19:14:00Z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