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101"/>
      </w:tblGrid>
      <w:tr w:rsidR="00C9161D" w14:paraId="07F6750D" w14:textId="77777777" w:rsidTr="00183069">
        <w:trPr>
          <w:trHeight w:val="851"/>
        </w:trPr>
        <w:tc>
          <w:tcPr>
            <w:tcW w:w="976" w:type="dxa"/>
            <w:tcBorders>
              <w:bottom w:val="single" w:sz="12" w:space="0" w:color="auto"/>
            </w:tcBorders>
          </w:tcPr>
          <w:p w14:paraId="1DEFF495" w14:textId="77777777" w:rsidR="00C9161D" w:rsidRPr="00321985" w:rsidRDefault="00C9161D" w:rsidP="00321985">
            <w:r>
              <w:rPr>
                <w:noProof/>
                <w:lang w:val="fr-FR" w:eastAsia="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58BA023B" w:rsidR="00FA663B" w:rsidRPr="00321985" w:rsidRDefault="00B82723" w:rsidP="00321985">
            <w:r w:rsidRPr="00B82723">
              <w:rPr>
                <w:noProof/>
                <w:lang w:val="fr-FR" w:eastAsia="fr-FR"/>
              </w:rPr>
              <w:drawing>
                <wp:inline distT="0" distB="0" distL="0" distR="0" wp14:anchorId="72F46E6B" wp14:editId="263CE8AC">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101"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183069">
        <w:tc>
          <w:tcPr>
            <w:tcW w:w="6117" w:type="dxa"/>
            <w:gridSpan w:val="2"/>
            <w:tcBorders>
              <w:top w:val="single" w:sz="12" w:space="0" w:color="auto"/>
              <w:bottom w:val="single" w:sz="36" w:space="0" w:color="auto"/>
            </w:tcBorders>
            <w:vAlign w:val="center"/>
          </w:tcPr>
          <w:p w14:paraId="14F52A6C" w14:textId="23F84414" w:rsidR="00C9161D" w:rsidRDefault="00B82723" w:rsidP="00C9161D">
            <w:r w:rsidRPr="006E78A2">
              <w:rPr>
                <w:bCs/>
                <w:noProof/>
                <w:szCs w:val="22"/>
                <w:lang w:val="fr-FR" w:eastAsia="fr-FR"/>
              </w:rPr>
              <w:drawing>
                <wp:inline distT="0" distB="0" distL="0" distR="0" wp14:anchorId="06586C84" wp14:editId="0947AEBE">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101"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40B3A4D1" w:rsidR="00C9161D" w:rsidRPr="00B82723" w:rsidRDefault="00B82723" w:rsidP="00176CEE">
            <w:pPr>
              <w:ind w:left="1215"/>
              <w:rPr>
                <w:szCs w:val="22"/>
                <w:lang w:val="fr-FR"/>
              </w:rPr>
            </w:pPr>
            <w:r>
              <w:rPr>
                <w:caps/>
                <w:szCs w:val="22"/>
              </w:rPr>
              <w:t>GÉnÉ</w:t>
            </w:r>
            <w:r w:rsidR="00082BEB">
              <w:rPr>
                <w:caps/>
                <w:szCs w:val="22"/>
              </w:rPr>
              <w:t>ral</w:t>
            </w:r>
            <w:r>
              <w:rPr>
                <w:caps/>
                <w:szCs w:val="22"/>
              </w:rPr>
              <w:t>e</w:t>
            </w:r>
          </w:p>
          <w:p w14:paraId="06715052" w14:textId="77777777" w:rsidR="00C9161D" w:rsidRPr="00C9161D" w:rsidRDefault="00C9161D" w:rsidP="00176CEE">
            <w:pPr>
              <w:ind w:left="1215"/>
              <w:rPr>
                <w:szCs w:val="22"/>
              </w:rPr>
            </w:pPr>
          </w:p>
          <w:p w14:paraId="44230134" w14:textId="43437544" w:rsidR="00C9161D" w:rsidRPr="00C9161D" w:rsidRDefault="0067117B"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82BEB">
                  <w:rPr>
                    <w:lang w:val="en-US"/>
                  </w:rPr>
                  <w:t>CBD/CP/MOP/DEC/</w:t>
                </w:r>
                <w:r w:rsidR="00A37FBF">
                  <w:rPr>
                    <w:lang w:val="en-US"/>
                  </w:rPr>
                  <w:t>10/</w:t>
                </w:r>
                <w:r w:rsidR="00082BEB">
                  <w:rPr>
                    <w:lang w:val="en-US"/>
                  </w:rPr>
                  <w:t>10</w:t>
                </w:r>
              </w:sdtContent>
            </w:sdt>
          </w:p>
          <w:p w14:paraId="0DF1F033" w14:textId="5782485A" w:rsidR="00C9161D" w:rsidRPr="00C9161D" w:rsidRDefault="00082BEB" w:rsidP="00176CEE">
            <w:pPr>
              <w:ind w:left="1215"/>
              <w:rPr>
                <w:szCs w:val="22"/>
              </w:rPr>
            </w:pPr>
            <w:r>
              <w:rPr>
                <w:szCs w:val="22"/>
                <w:lang w:val="en-US"/>
              </w:rPr>
              <w:t>1</w:t>
            </w:r>
            <w:r w:rsidR="00B82723">
              <w:rPr>
                <w:szCs w:val="22"/>
                <w:lang w:val="en-US"/>
              </w:rPr>
              <w:t>9 décembre</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3C1E8AAC" w14:textId="1F884C4E" w:rsidR="00B82723" w:rsidRDefault="00B82723" w:rsidP="00176CEE">
            <w:pPr>
              <w:ind w:left="1215"/>
              <w:rPr>
                <w:szCs w:val="22"/>
              </w:rPr>
            </w:pPr>
            <w:r>
              <w:rPr>
                <w:szCs w:val="22"/>
              </w:rPr>
              <w:t>FRANÇAIS</w:t>
            </w:r>
          </w:p>
          <w:p w14:paraId="19472D49" w14:textId="70D56AD5" w:rsidR="00C9161D" w:rsidRPr="00C9161D" w:rsidRDefault="006B2290" w:rsidP="00176CEE">
            <w:pPr>
              <w:ind w:left="1215"/>
              <w:rPr>
                <w:szCs w:val="22"/>
              </w:rPr>
            </w:pPr>
            <w:r>
              <w:rPr>
                <w:szCs w:val="22"/>
              </w:rPr>
              <w:t>ORIGINAL</w:t>
            </w:r>
            <w:r w:rsidR="00B82723">
              <w:rPr>
                <w:szCs w:val="22"/>
              </w:rPr>
              <w:t xml:space="preserve"> </w:t>
            </w:r>
            <w:r>
              <w:rPr>
                <w:szCs w:val="22"/>
              </w:rPr>
              <w:t xml:space="preserve">: </w:t>
            </w:r>
            <w:r w:rsidR="00B82723">
              <w:rPr>
                <w:szCs w:val="22"/>
              </w:rPr>
              <w:t>A</w:t>
            </w:r>
            <w:r w:rsidR="00C9161D" w:rsidRPr="00C9161D">
              <w:rPr>
                <w:szCs w:val="22"/>
              </w:rPr>
              <w:t>NGL</w:t>
            </w:r>
            <w:r w:rsidR="00B82723">
              <w:rPr>
                <w:szCs w:val="22"/>
              </w:rPr>
              <w:t>AIS</w:t>
            </w:r>
          </w:p>
          <w:p w14:paraId="5AA10CCE" w14:textId="77777777" w:rsidR="00C9161D" w:rsidRDefault="00C9161D"/>
        </w:tc>
      </w:tr>
    </w:tbl>
    <w:p w14:paraId="1848BF4F" w14:textId="77777777" w:rsidR="00B82723" w:rsidRPr="00147180" w:rsidRDefault="00B82723" w:rsidP="00B82723">
      <w:pPr>
        <w:pStyle w:val="Cornernotation"/>
        <w:kinsoku w:val="0"/>
        <w:overflowPunct w:val="0"/>
        <w:autoSpaceDE w:val="0"/>
        <w:autoSpaceDN w:val="0"/>
        <w:spacing w:before="60"/>
        <w:ind w:left="142" w:right="4115" w:hanging="142"/>
        <w:rPr>
          <w:snapToGrid w:val="0"/>
          <w:kern w:val="22"/>
          <w:lang w:val="fr-CA"/>
        </w:rPr>
      </w:pPr>
      <w:r>
        <w:rPr>
          <w:snapToGrid w:val="0"/>
          <w:kern w:val="22"/>
          <w:lang w:val="fr-CA"/>
        </w:rPr>
        <w:t>CONFÉRENCE DES PARTIES SIÉGEANT EN TANT QUE RÉUNION DES PARTIES AU PROTOCOLE DE CARTAGENA SUR LA PRÉVENTION DES RISQUES BIOTECHNOLOGIQUES</w:t>
      </w:r>
    </w:p>
    <w:p w14:paraId="39DFEB87" w14:textId="77777777" w:rsidR="00B82723" w:rsidRPr="00147180" w:rsidRDefault="00B82723" w:rsidP="00B82723">
      <w:pPr>
        <w:pStyle w:val="Cornernotation"/>
        <w:ind w:right="4115"/>
        <w:rPr>
          <w:lang w:val="fr-CA"/>
        </w:rPr>
      </w:pPr>
      <w:r>
        <w:rPr>
          <w:lang w:val="fr-CA"/>
        </w:rPr>
        <w:t>Dixième réunion, deuxième partie</w:t>
      </w:r>
    </w:p>
    <w:p w14:paraId="5E5B6BDD" w14:textId="72E608A3" w:rsidR="00B82723" w:rsidRPr="00147180" w:rsidRDefault="00B82723" w:rsidP="00B82723">
      <w:pPr>
        <w:pStyle w:val="Cornernotation"/>
        <w:kinsoku w:val="0"/>
        <w:overflowPunct w:val="0"/>
        <w:autoSpaceDE w:val="0"/>
        <w:autoSpaceDN w:val="0"/>
        <w:ind w:left="227" w:right="4075" w:hanging="227"/>
        <w:rPr>
          <w:snapToGrid w:val="0"/>
          <w:kern w:val="22"/>
          <w:szCs w:val="22"/>
          <w:lang w:val="fr-CA" w:eastAsia="nb-NO"/>
        </w:rPr>
      </w:pPr>
      <w:r w:rsidRPr="00147180">
        <w:rPr>
          <w:snapToGrid w:val="0"/>
          <w:kern w:val="22"/>
          <w:szCs w:val="22"/>
          <w:lang w:val="fr-CA" w:eastAsia="nb-NO"/>
        </w:rPr>
        <w:t>Montr</w:t>
      </w:r>
      <w:r>
        <w:rPr>
          <w:snapToGrid w:val="0"/>
          <w:kern w:val="22"/>
          <w:szCs w:val="22"/>
          <w:lang w:val="fr-CA" w:eastAsia="nb-NO"/>
        </w:rPr>
        <w:t>é</w:t>
      </w:r>
      <w:r w:rsidRPr="00147180">
        <w:rPr>
          <w:snapToGrid w:val="0"/>
          <w:kern w:val="22"/>
          <w:szCs w:val="22"/>
          <w:lang w:val="fr-CA" w:eastAsia="nb-NO"/>
        </w:rPr>
        <w:t>al</w:t>
      </w:r>
      <w:r>
        <w:rPr>
          <w:snapToGrid w:val="0"/>
          <w:kern w:val="22"/>
          <w:szCs w:val="22"/>
          <w:lang w:val="fr-CA" w:eastAsia="nb-NO"/>
        </w:rPr>
        <w:t>, Canada</w:t>
      </w:r>
      <w:r w:rsidR="00AB7794">
        <w:rPr>
          <w:snapToGrid w:val="0"/>
          <w:kern w:val="22"/>
          <w:szCs w:val="22"/>
          <w:lang w:val="fr-CA" w:eastAsia="nb-NO"/>
        </w:rPr>
        <w:t>,</w:t>
      </w:r>
      <w:r w:rsidRPr="00147180">
        <w:rPr>
          <w:snapToGrid w:val="0"/>
          <w:kern w:val="22"/>
          <w:szCs w:val="22"/>
          <w:lang w:val="fr-CA" w:eastAsia="nb-NO"/>
        </w:rPr>
        <w:t xml:space="preserve"> 7-19 </w:t>
      </w:r>
      <w:r>
        <w:rPr>
          <w:snapToGrid w:val="0"/>
          <w:kern w:val="22"/>
          <w:szCs w:val="22"/>
          <w:lang w:val="fr-CA" w:eastAsia="nb-NO"/>
        </w:rPr>
        <w:t>décembre</w:t>
      </w:r>
      <w:r w:rsidRPr="00147180">
        <w:rPr>
          <w:snapToGrid w:val="0"/>
          <w:kern w:val="22"/>
          <w:szCs w:val="22"/>
          <w:lang w:val="fr-CA" w:eastAsia="nb-NO"/>
        </w:rPr>
        <w:t xml:space="preserve"> 2022</w:t>
      </w:r>
    </w:p>
    <w:p w14:paraId="7445E49C" w14:textId="77777777" w:rsidR="00B82723" w:rsidRPr="00B82723" w:rsidRDefault="00B82723" w:rsidP="00B82723">
      <w:pPr>
        <w:pStyle w:val="Cornernotation"/>
        <w:ind w:right="4784"/>
        <w:rPr>
          <w:lang w:val="en-AU"/>
        </w:rPr>
      </w:pPr>
      <w:r w:rsidRPr="00B82723">
        <w:rPr>
          <w:lang w:val="en-AU"/>
        </w:rPr>
        <w:t>Point 14 de l’ordre du jour</w:t>
      </w:r>
    </w:p>
    <w:p w14:paraId="14479F15" w14:textId="1AAEAB05" w:rsidR="00B82723" w:rsidRPr="00475F4D" w:rsidRDefault="00B82723" w:rsidP="00B82723">
      <w:pPr>
        <w:spacing w:before="240" w:after="240"/>
        <w:ind w:right="-288"/>
        <w:jc w:val="center"/>
        <w:rPr>
          <w:rFonts w:ascii="Times New Roman Bold" w:hAnsi="Times New Roman Bold"/>
          <w:b/>
          <w:caps/>
          <w:lang w:val="fr-FR"/>
        </w:rPr>
      </w:pPr>
      <w:r>
        <w:rPr>
          <w:rFonts w:ascii="Times New Roman Bold" w:hAnsi="Times New Roman Bold"/>
          <w:b/>
          <w:caps/>
          <w:lang w:val="fr-FR"/>
        </w:rPr>
        <w:t>D</w:t>
      </w:r>
      <w:r>
        <w:rPr>
          <w:rFonts w:ascii="Times New Roman Bold" w:hAnsi="Times New Roman Bold" w:cs="Times New Roman Bold"/>
          <w:b/>
          <w:caps/>
          <w:lang w:val="fr-FR"/>
        </w:rPr>
        <w:t>É</w:t>
      </w:r>
      <w:r>
        <w:rPr>
          <w:rFonts w:ascii="Times New Roman Bold" w:hAnsi="Times New Roman Bold"/>
          <w:b/>
          <w:caps/>
          <w:lang w:val="fr-FR"/>
        </w:rPr>
        <w:t>cision adopt</w:t>
      </w:r>
      <w:r>
        <w:rPr>
          <w:rFonts w:ascii="Times New Roman Bold" w:hAnsi="Times New Roman Bold" w:cs="Times New Roman Bold"/>
          <w:b/>
          <w:caps/>
          <w:lang w:val="fr-FR"/>
        </w:rPr>
        <w:t>É</w:t>
      </w:r>
      <w:r>
        <w:rPr>
          <w:rFonts w:ascii="Times New Roman Bold" w:hAnsi="Times New Roman Bold"/>
          <w:b/>
          <w:caps/>
          <w:lang w:val="fr-FR"/>
        </w:rPr>
        <w:t>e par les Parties au protocole de Cartagena sur la pr</w:t>
      </w:r>
      <w:r>
        <w:rPr>
          <w:rFonts w:ascii="Times New Roman Bold" w:hAnsi="Times New Roman Bold" w:cs="Times New Roman Bold"/>
          <w:b/>
          <w:caps/>
          <w:lang w:val="fr-FR"/>
        </w:rPr>
        <w:t>É</w:t>
      </w:r>
      <w:r>
        <w:rPr>
          <w:rFonts w:ascii="Times New Roman Bold" w:hAnsi="Times New Roman Bold"/>
          <w:b/>
          <w:caps/>
          <w:lang w:val="fr-FR"/>
        </w:rPr>
        <w:t>vention des risques biotechnologiques</w:t>
      </w:r>
    </w:p>
    <w:sdt>
      <w:sdtPr>
        <w:rPr>
          <w:b/>
          <w:szCs w:val="22"/>
          <w:lang w:val="fr-CA"/>
        </w:rPr>
        <w:alias w:val="Title"/>
        <w:tag w:val=""/>
        <w:id w:val="626674870"/>
        <w:placeholder>
          <w:docPart w:val="498D4F9426224FECB1C66D5C030A616B"/>
        </w:placeholder>
        <w:dataBinding w:prefixMappings="xmlns:ns0='http://purl.org/dc/elements/1.1/' xmlns:ns1='http://schemas.openxmlformats.org/package/2006/metadata/core-properties' " w:xpath="/ns1:coreProperties[1]/ns0:title[1]" w:storeItemID="{6C3C8BC8-F283-45AE-878A-BAB7291924A1}"/>
        <w:text/>
      </w:sdtPr>
      <w:sdtContent>
        <w:p w14:paraId="57F6B7A1" w14:textId="6AE2C4E9" w:rsidR="00C9161D" w:rsidRPr="000308BF" w:rsidRDefault="000308BF" w:rsidP="00183069">
          <w:pPr>
            <w:keepNext/>
            <w:spacing w:before="120" w:after="240"/>
            <w:jc w:val="center"/>
            <w:outlineLvl w:val="1"/>
            <w:rPr>
              <w:b/>
              <w:caps/>
              <w:lang w:val="fr-FR"/>
            </w:rPr>
          </w:pPr>
          <w:r w:rsidRPr="000308BF">
            <w:rPr>
              <w:b/>
              <w:szCs w:val="22"/>
              <w:lang w:val="fr-CA"/>
            </w:rPr>
            <w:t>CP-10/10</w:t>
          </w:r>
          <w:r>
            <w:rPr>
              <w:b/>
              <w:szCs w:val="22"/>
              <w:lang w:val="fr-CA"/>
            </w:rPr>
            <w:t>.</w:t>
          </w:r>
          <w:r>
            <w:rPr>
              <w:b/>
              <w:szCs w:val="22"/>
              <w:lang w:val="fr-CA"/>
            </w:rPr>
            <w:tab/>
          </w:r>
          <w:r w:rsidRPr="000308BF">
            <w:rPr>
              <w:b/>
              <w:szCs w:val="22"/>
              <w:lang w:val="fr-CA"/>
            </w:rPr>
            <w:t>Évaluation des risques et gest</w:t>
          </w:r>
          <w:r>
            <w:rPr>
              <w:b/>
              <w:szCs w:val="22"/>
              <w:lang w:val="fr-CA"/>
            </w:rPr>
            <w:t>ion des risques (articles 15 et</w:t>
          </w:r>
          <w:r w:rsidRPr="000308BF">
            <w:rPr>
              <w:b/>
              <w:szCs w:val="22"/>
              <w:lang w:val="fr-CA"/>
            </w:rPr>
            <w:t xml:space="preserve"> 16)</w:t>
          </w:r>
        </w:p>
      </w:sdtContent>
    </w:sdt>
    <w:p w14:paraId="6E315AA2" w14:textId="77777777" w:rsidR="000308BF" w:rsidRPr="001F51EF" w:rsidRDefault="000308BF" w:rsidP="000308BF">
      <w:pPr>
        <w:pStyle w:val="Para1"/>
        <w:numPr>
          <w:ilvl w:val="0"/>
          <w:numId w:val="0"/>
        </w:numPr>
        <w:suppressLineNumbers/>
        <w:suppressAutoHyphens/>
        <w:spacing w:before="240"/>
        <w:ind w:firstLine="720"/>
        <w:rPr>
          <w:i/>
          <w:iCs/>
          <w:kern w:val="22"/>
          <w:szCs w:val="22"/>
          <w:lang w:val="fr-CA"/>
        </w:rPr>
      </w:pPr>
      <w:r w:rsidRPr="001F51EF">
        <w:rPr>
          <w:i/>
          <w:iCs/>
          <w:kern w:val="22"/>
          <w:szCs w:val="22"/>
          <w:lang w:val="fr-CA"/>
        </w:rPr>
        <w:t>La Conférence des Parties siégeant en tant que réunion des Parties au Protocole de Cartagena sur la prévention des risques biotechnologiques,</w:t>
      </w:r>
    </w:p>
    <w:p w14:paraId="766EDE27" w14:textId="08F122F7" w:rsidR="000308BF" w:rsidRPr="001F51EF" w:rsidRDefault="000308BF" w:rsidP="000308BF">
      <w:pPr>
        <w:pStyle w:val="Para1"/>
        <w:numPr>
          <w:ilvl w:val="0"/>
          <w:numId w:val="0"/>
        </w:numPr>
        <w:suppressLineNumbers/>
        <w:suppressAutoHyphens/>
        <w:ind w:firstLine="720"/>
        <w:rPr>
          <w:kern w:val="22"/>
          <w:szCs w:val="22"/>
          <w:lang w:val="fr-CA"/>
        </w:rPr>
      </w:pPr>
      <w:r w:rsidRPr="001F51EF">
        <w:rPr>
          <w:i/>
          <w:iCs/>
          <w:kern w:val="22"/>
          <w:szCs w:val="22"/>
          <w:lang w:val="fr-CA"/>
        </w:rPr>
        <w:t>Rappelant</w:t>
      </w:r>
      <w:r w:rsidRPr="001F51EF">
        <w:rPr>
          <w:kern w:val="22"/>
          <w:szCs w:val="22"/>
          <w:lang w:val="fr-CA"/>
        </w:rPr>
        <w:t xml:space="preserve"> le paragraphe 7 de la décision CP-9/13, dans lequel elle a décidé d'examiner, à sa dixième réunion, si des documents d'</w:t>
      </w:r>
      <w:r w:rsidR="00EE0F9B">
        <w:rPr>
          <w:kern w:val="22"/>
          <w:szCs w:val="22"/>
          <w:lang w:val="fr-CA"/>
        </w:rPr>
        <w:t>orientation supplémentaires</w:t>
      </w:r>
      <w:r w:rsidRPr="001F51EF">
        <w:rPr>
          <w:kern w:val="22"/>
          <w:szCs w:val="22"/>
          <w:lang w:val="fr-CA"/>
        </w:rPr>
        <w:t xml:space="preserve"> sur l'évaluation des risques sont nécessaires pour</w:t>
      </w:r>
      <w:r w:rsidR="00540A93">
        <w:rPr>
          <w:kern w:val="22"/>
          <w:szCs w:val="22"/>
          <w:lang w:val="fr-CA"/>
        </w:rPr>
        <w:t> :</w:t>
      </w:r>
      <w:r w:rsidRPr="001F51EF">
        <w:rPr>
          <w:kern w:val="22"/>
          <w:szCs w:val="22"/>
          <w:lang w:val="fr-CA"/>
        </w:rPr>
        <w:t xml:space="preserve"> a) les organismes vivants modifiés issus du forçage génétique, et b) les poissons vivants modifiés,</w:t>
      </w:r>
    </w:p>
    <w:p w14:paraId="164D6E30" w14:textId="30901AC9" w:rsidR="000308BF" w:rsidRPr="001F51EF" w:rsidRDefault="000308BF" w:rsidP="000308BF">
      <w:pPr>
        <w:pStyle w:val="Para1"/>
        <w:numPr>
          <w:ilvl w:val="0"/>
          <w:numId w:val="0"/>
        </w:numPr>
        <w:ind w:firstLine="720"/>
        <w:rPr>
          <w:kern w:val="22"/>
          <w:szCs w:val="22"/>
          <w:lang w:val="fr-CA"/>
        </w:rPr>
      </w:pPr>
      <w:r w:rsidRPr="001F51EF">
        <w:rPr>
          <w:i/>
          <w:iCs/>
          <w:kern w:val="22"/>
          <w:szCs w:val="22"/>
          <w:lang w:val="fr-CA"/>
        </w:rPr>
        <w:t>Rappelant également</w:t>
      </w:r>
      <w:r w:rsidRPr="001F51EF">
        <w:rPr>
          <w:kern w:val="22"/>
          <w:szCs w:val="22"/>
          <w:lang w:val="fr-CA"/>
        </w:rPr>
        <w:t xml:space="preserve"> le paragraphe 17 de la décision BS-VII/12, dans lequel celle-ci</w:t>
      </w:r>
      <w:r w:rsidR="00D9362C">
        <w:rPr>
          <w:kern w:val="22"/>
          <w:szCs w:val="22"/>
          <w:lang w:val="fr-CA"/>
        </w:rPr>
        <w:t xml:space="preserve"> recommande à la Conférence des </w:t>
      </w:r>
      <w:r w:rsidRPr="001F51EF">
        <w:rPr>
          <w:kern w:val="22"/>
          <w:szCs w:val="22"/>
          <w:lang w:val="fr-CA"/>
        </w:rPr>
        <w:t>Parties à la Convention sur la diversité biologique une approche coordonnée avec la Conférence des</w:t>
      </w:r>
      <w:r w:rsidR="00D9362C">
        <w:rPr>
          <w:kern w:val="22"/>
          <w:szCs w:val="22"/>
          <w:lang w:val="fr-CA"/>
        </w:rPr>
        <w:t xml:space="preserve"> Parties si</w:t>
      </w:r>
      <w:r w:rsidRPr="001F51EF">
        <w:rPr>
          <w:kern w:val="22"/>
          <w:szCs w:val="22"/>
          <w:lang w:val="fr-CA"/>
        </w:rPr>
        <w:t>égeant en tant que réunion des Parties au Protocole de Cartagena sur la prévention des risques biot</w:t>
      </w:r>
      <w:bookmarkStart w:id="0" w:name="_GoBack"/>
      <w:bookmarkEnd w:id="0"/>
      <w:r w:rsidRPr="001F51EF">
        <w:rPr>
          <w:kern w:val="22"/>
          <w:szCs w:val="22"/>
          <w:lang w:val="fr-CA"/>
        </w:rPr>
        <w:t>echnologiques sur la question de la biologie de synthèse, en tenant compte de la possibilité que les dispositions du Protocole s'appliquent également aux organismes vivants issus de la biologie de synthèse,</w:t>
      </w:r>
    </w:p>
    <w:p w14:paraId="3388F032" w14:textId="34AD9F02" w:rsidR="000308BF" w:rsidRPr="001F51EF" w:rsidRDefault="000308BF" w:rsidP="000308BF">
      <w:pPr>
        <w:pStyle w:val="Para1"/>
        <w:numPr>
          <w:ilvl w:val="0"/>
          <w:numId w:val="0"/>
        </w:numPr>
        <w:ind w:firstLine="720"/>
        <w:rPr>
          <w:kern w:val="22"/>
          <w:szCs w:val="22"/>
          <w:lang w:val="fr-CA"/>
        </w:rPr>
      </w:pPr>
      <w:r w:rsidRPr="001F51EF">
        <w:rPr>
          <w:i/>
          <w:iCs/>
          <w:kern w:val="22"/>
          <w:szCs w:val="22"/>
          <w:lang w:val="fr-CA"/>
        </w:rPr>
        <w:t>Rappelant</w:t>
      </w:r>
      <w:r w:rsidR="00AB7794">
        <w:rPr>
          <w:i/>
          <w:iCs/>
          <w:kern w:val="22"/>
          <w:szCs w:val="22"/>
          <w:lang w:val="fr-CA"/>
        </w:rPr>
        <w:t xml:space="preserve"> en outre</w:t>
      </w:r>
      <w:r w:rsidRPr="001F51EF">
        <w:rPr>
          <w:kern w:val="22"/>
          <w:szCs w:val="22"/>
          <w:lang w:val="fr-CA"/>
        </w:rPr>
        <w:t xml:space="preserve"> l'importance du principe de précaution, conformément au Protocole de Cartagena sur la prévention des risques biotechnologiques,</w:t>
      </w:r>
    </w:p>
    <w:p w14:paraId="27736FF4" w14:textId="77777777" w:rsidR="000308BF" w:rsidRPr="001F51EF" w:rsidRDefault="000308BF" w:rsidP="000308BF">
      <w:pPr>
        <w:pStyle w:val="Para1"/>
        <w:numPr>
          <w:ilvl w:val="0"/>
          <w:numId w:val="0"/>
        </w:numPr>
        <w:ind w:firstLine="720"/>
        <w:rPr>
          <w:kern w:val="22"/>
          <w:szCs w:val="22"/>
          <w:lang w:val="fr-CA"/>
        </w:rPr>
      </w:pPr>
      <w:r w:rsidRPr="001F51EF">
        <w:rPr>
          <w:i/>
          <w:iCs/>
          <w:kern w:val="22"/>
          <w:szCs w:val="22"/>
          <w:lang w:val="fr-CA"/>
        </w:rPr>
        <w:t>Notant</w:t>
      </w:r>
      <w:r w:rsidRPr="001F51EF">
        <w:rPr>
          <w:kern w:val="22"/>
          <w:szCs w:val="22"/>
          <w:lang w:val="fr-CA"/>
        </w:rPr>
        <w:t xml:space="preserve"> les orientations facultatives existantes sur l'évaluation des considérations socio-économiques dans le contexte de l'article 26 du Protocole de Cartagena sur la prévention des risques biotechnologiques,</w:t>
      </w:r>
    </w:p>
    <w:p w14:paraId="129AA98D" w14:textId="03B9E320" w:rsidR="000308BF" w:rsidRPr="00AB7794"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Se félicite</w:t>
      </w:r>
      <w:r w:rsidRPr="001F51EF">
        <w:rPr>
          <w:kern w:val="22"/>
          <w:szCs w:val="22"/>
          <w:lang w:val="fr-CA"/>
        </w:rPr>
        <w:t xml:space="preserve"> des résultats des discussions du Groupe spécial d'experts techniques sur l'évaluation des risques</w:t>
      </w:r>
      <w:r w:rsidRPr="0050190F">
        <w:rPr>
          <w:rStyle w:val="FootnoteReference"/>
          <w:kern w:val="22"/>
          <w:szCs w:val="22"/>
        </w:rPr>
        <w:footnoteReference w:id="1"/>
      </w:r>
      <w:r w:rsidRPr="00AB7794">
        <w:rPr>
          <w:kern w:val="22"/>
          <w:szCs w:val="22"/>
          <w:lang w:val="fr-CA"/>
        </w:rPr>
        <w:t>;</w:t>
      </w:r>
    </w:p>
    <w:p w14:paraId="52674BC1" w14:textId="50ACFB58"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Prend note</w:t>
      </w:r>
      <w:r w:rsidRPr="001F51EF">
        <w:rPr>
          <w:kern w:val="22"/>
          <w:szCs w:val="22"/>
          <w:lang w:val="fr-CA"/>
        </w:rPr>
        <w:t xml:space="preserve"> d</w:t>
      </w:r>
      <w:r w:rsidR="00AB7794">
        <w:rPr>
          <w:kern w:val="22"/>
          <w:szCs w:val="22"/>
          <w:lang w:val="fr-CA"/>
        </w:rPr>
        <w:t>es précisions apportées par le G</w:t>
      </w:r>
      <w:r w:rsidRPr="001F51EF">
        <w:rPr>
          <w:kern w:val="22"/>
          <w:szCs w:val="22"/>
          <w:lang w:val="fr-CA"/>
        </w:rPr>
        <w:t>roupe spécial d'experts techniques sur l'annexe I de la décision CP-9/13 concernant le processus d'identification et de hiérarchisation des questions spécifiques d'évaluation des risques liés aux organismes vivants modifiés qui pourraient mériter d'être examinées</w:t>
      </w:r>
      <w:r w:rsidRPr="0050190F">
        <w:rPr>
          <w:rStyle w:val="FootnoteReference"/>
          <w:kern w:val="22"/>
          <w:szCs w:val="22"/>
        </w:rPr>
        <w:footnoteReference w:id="2"/>
      </w:r>
      <w:r w:rsidRPr="00AB7794">
        <w:rPr>
          <w:kern w:val="22"/>
          <w:szCs w:val="22"/>
          <w:lang w:val="fr-CA"/>
        </w:rPr>
        <w:t>;</w:t>
      </w:r>
    </w:p>
    <w:p w14:paraId="5FD21A88" w14:textId="714AB329"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lastRenderedPageBreak/>
        <w:t>Se félicite</w:t>
      </w:r>
      <w:r w:rsidR="00AB7794">
        <w:rPr>
          <w:kern w:val="22"/>
          <w:szCs w:val="22"/>
          <w:lang w:val="fr-CA"/>
        </w:rPr>
        <w:t xml:space="preserve"> de l'analyse effectuée par le G</w:t>
      </w:r>
      <w:r w:rsidRPr="001F51EF">
        <w:rPr>
          <w:kern w:val="22"/>
          <w:szCs w:val="22"/>
          <w:lang w:val="fr-CA"/>
        </w:rPr>
        <w:t>roupe spécial d'experts techniques sur les thèmes</w:t>
      </w:r>
      <w:r w:rsidR="00540A93">
        <w:rPr>
          <w:kern w:val="22"/>
          <w:szCs w:val="22"/>
          <w:lang w:val="fr-CA"/>
        </w:rPr>
        <w:t> :</w:t>
      </w:r>
      <w:r w:rsidRPr="001F51EF">
        <w:rPr>
          <w:kern w:val="22"/>
          <w:szCs w:val="22"/>
          <w:lang w:val="fr-CA"/>
        </w:rPr>
        <w:t xml:space="preserve"> a) des organismes vivants modifiés issus du forçage génétique</w:t>
      </w:r>
      <w:r w:rsidR="00540A93">
        <w:rPr>
          <w:kern w:val="22"/>
          <w:szCs w:val="22"/>
          <w:lang w:val="fr-CA"/>
        </w:rPr>
        <w:t>, et</w:t>
      </w:r>
      <w:r w:rsidRPr="001F51EF">
        <w:rPr>
          <w:kern w:val="22"/>
          <w:szCs w:val="22"/>
          <w:lang w:val="fr-CA"/>
        </w:rPr>
        <w:t xml:space="preserve"> b) des poissons v</w:t>
      </w:r>
      <w:r w:rsidR="00540A93">
        <w:rPr>
          <w:kern w:val="22"/>
          <w:szCs w:val="22"/>
          <w:lang w:val="fr-CA"/>
        </w:rPr>
        <w:t>ivants modifiés, en application de l’annexe I à la décision CP-9/13</w:t>
      </w:r>
      <w:r w:rsidRPr="001F51EF">
        <w:rPr>
          <w:kern w:val="22"/>
          <w:szCs w:val="22"/>
          <w:lang w:val="fr-CA"/>
        </w:rPr>
        <w:t>;</w:t>
      </w:r>
    </w:p>
    <w:p w14:paraId="1A50B112" w14:textId="486959E6"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Prend note</w:t>
      </w:r>
      <w:r w:rsidRPr="001F51EF">
        <w:rPr>
          <w:szCs w:val="22"/>
          <w:lang w:val="fr-CA"/>
        </w:rPr>
        <w:t xml:space="preserve"> de l'éventail des points de vue sur la nécessité d'élaborer des orientations sur l'évaluation des risques liés aux poissons vivants modifiés, et décide de ne pas procéder, à ce stade, à l'élaboration de documents d'orientations facultatives supplémentaires sur l'évaluation des risques liés aux poissons vivants modifiés, et encourage les Parties et invite les autres gouvernements et les organisations compétentes à promouvoir la coopération internationale, le partage de l'information et le renforcement des capacités sur l'évaluation des risques liés aux poissons vivants modifiés, et à utiliser les documents d'orientation existants, en vue d'examiner</w:t>
      </w:r>
      <w:r w:rsidR="00540A93">
        <w:rPr>
          <w:szCs w:val="22"/>
          <w:lang w:val="fr-CA"/>
        </w:rPr>
        <w:t xml:space="preserve"> la nécessité</w:t>
      </w:r>
      <w:r w:rsidRPr="001F51EF">
        <w:rPr>
          <w:szCs w:val="22"/>
          <w:lang w:val="fr-CA"/>
        </w:rPr>
        <w:t xml:space="preserve"> de nouvelles orientations sur les poissons vivants modifiés à sa onzième réunion, sous réserve des dispositions de l'</w:t>
      </w:r>
      <w:r w:rsidR="00540A93">
        <w:rPr>
          <w:szCs w:val="22"/>
          <w:lang w:val="fr-CA"/>
        </w:rPr>
        <w:t>annexe I à la décision CP-9/13</w:t>
      </w:r>
      <w:r w:rsidRPr="001F51EF">
        <w:rPr>
          <w:szCs w:val="22"/>
          <w:lang w:val="fr-CA"/>
        </w:rPr>
        <w:t>;</w:t>
      </w:r>
    </w:p>
    <w:p w14:paraId="24A5B4F7" w14:textId="187FA2E3"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Approuve</w:t>
      </w:r>
      <w:r w:rsidRPr="001F51EF">
        <w:rPr>
          <w:kern w:val="22"/>
          <w:szCs w:val="22"/>
          <w:lang w:val="fr-CA"/>
        </w:rPr>
        <w:t xml:space="preserve"> la recommandation du Groupe spécial d'experts techniques selon laquelle il conviendrait d'élaborer des documents d'orientations facultatives supplémentaires à l'appui de l'évaluation des risques au cas par cas des organismes vivants modifiés issus du forçage génétique, et </w:t>
      </w:r>
      <w:r w:rsidR="00EE0F9B">
        <w:rPr>
          <w:szCs w:val="22"/>
          <w:lang w:val="fr-CA"/>
        </w:rPr>
        <w:t>convient d’</w:t>
      </w:r>
      <w:r w:rsidRPr="001F51EF">
        <w:rPr>
          <w:szCs w:val="22"/>
          <w:lang w:val="fr-CA"/>
        </w:rPr>
        <w:t>élaborer ces documents d'orientations facultatives supplémentaires con</w:t>
      </w:r>
      <w:r w:rsidR="00540A93">
        <w:rPr>
          <w:szCs w:val="22"/>
          <w:lang w:val="fr-CA"/>
        </w:rPr>
        <w:t>formément à l'annexe ci-dessous</w:t>
      </w:r>
      <w:r w:rsidRPr="001F51EF">
        <w:rPr>
          <w:szCs w:val="22"/>
          <w:lang w:val="fr-CA"/>
        </w:rPr>
        <w:t>;</w:t>
      </w:r>
    </w:p>
    <w:p w14:paraId="041C2EC4" w14:textId="7EC17ED1" w:rsidR="000308BF" w:rsidRPr="001F51EF" w:rsidRDefault="000308BF" w:rsidP="000308BF">
      <w:pPr>
        <w:pStyle w:val="ListParagraph"/>
        <w:numPr>
          <w:ilvl w:val="0"/>
          <w:numId w:val="19"/>
        </w:numPr>
        <w:spacing w:before="120" w:after="120"/>
        <w:ind w:left="0" w:firstLine="720"/>
        <w:rPr>
          <w:snapToGrid w:val="0"/>
          <w:kern w:val="22"/>
          <w:szCs w:val="22"/>
          <w:lang w:val="fr-CA"/>
        </w:rPr>
      </w:pPr>
      <w:r w:rsidRPr="001F51EF">
        <w:rPr>
          <w:i/>
          <w:iCs/>
          <w:snapToGrid w:val="0"/>
          <w:kern w:val="22"/>
          <w:szCs w:val="22"/>
          <w:lang w:val="fr-CA"/>
        </w:rPr>
        <w:t>Décide</w:t>
      </w:r>
      <w:r w:rsidR="00827F9B">
        <w:rPr>
          <w:snapToGrid w:val="0"/>
          <w:kern w:val="22"/>
          <w:szCs w:val="22"/>
          <w:lang w:val="fr-CA"/>
        </w:rPr>
        <w:t xml:space="preserve"> de créer un g</w:t>
      </w:r>
      <w:r w:rsidRPr="001F51EF">
        <w:rPr>
          <w:snapToGrid w:val="0"/>
          <w:kern w:val="22"/>
          <w:szCs w:val="22"/>
          <w:lang w:val="fr-CA"/>
        </w:rPr>
        <w:t>roupe spécial d'experts techniques sur l'évalua</w:t>
      </w:r>
      <w:r w:rsidR="00827F9B">
        <w:rPr>
          <w:snapToGrid w:val="0"/>
          <w:kern w:val="22"/>
          <w:szCs w:val="22"/>
          <w:lang w:val="fr-CA"/>
        </w:rPr>
        <w:t>tion des risques qui mènera ses travaux</w:t>
      </w:r>
      <w:r w:rsidR="00EE0F9B">
        <w:rPr>
          <w:snapToGrid w:val="0"/>
          <w:kern w:val="22"/>
          <w:szCs w:val="22"/>
          <w:lang w:val="fr-CA"/>
        </w:rPr>
        <w:t xml:space="preserve"> conformément au mandat joint en </w:t>
      </w:r>
      <w:r w:rsidRPr="001F51EF">
        <w:rPr>
          <w:snapToGrid w:val="0"/>
          <w:kern w:val="22"/>
          <w:szCs w:val="22"/>
          <w:lang w:val="fr-CA"/>
        </w:rPr>
        <w:t>annexe</w:t>
      </w:r>
      <w:r w:rsidR="00827F9B">
        <w:rPr>
          <w:snapToGrid w:val="0"/>
          <w:kern w:val="22"/>
          <w:szCs w:val="22"/>
          <w:lang w:val="fr-CA"/>
        </w:rPr>
        <w:t xml:space="preserve"> à la présente décision</w:t>
      </w:r>
      <w:r w:rsidRPr="001F51EF">
        <w:rPr>
          <w:snapToGrid w:val="0"/>
          <w:kern w:val="22"/>
          <w:szCs w:val="22"/>
          <w:lang w:val="fr-CA"/>
        </w:rPr>
        <w:t>;</w:t>
      </w:r>
    </w:p>
    <w:p w14:paraId="483AD02C" w14:textId="774F84C8"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 xml:space="preserve">Invite </w:t>
      </w:r>
      <w:r w:rsidRPr="001F51EF">
        <w:rPr>
          <w:kern w:val="22"/>
          <w:szCs w:val="22"/>
          <w:lang w:val="fr-CA"/>
        </w:rPr>
        <w:t xml:space="preserve">les Parties, les autres gouvernements, les peuples autochtones et les communautés locales ainsi que les organisations </w:t>
      </w:r>
      <w:r w:rsidR="001B0DFB">
        <w:rPr>
          <w:kern w:val="22"/>
          <w:szCs w:val="22"/>
          <w:lang w:val="fr-CA"/>
        </w:rPr>
        <w:t>compétentes</w:t>
      </w:r>
      <w:r w:rsidR="00EE0F9B">
        <w:rPr>
          <w:kern w:val="22"/>
          <w:szCs w:val="22"/>
          <w:lang w:val="fr-CA"/>
        </w:rPr>
        <w:t xml:space="preserve"> à transmettre</w:t>
      </w:r>
      <w:r w:rsidRPr="001F51EF">
        <w:rPr>
          <w:kern w:val="22"/>
          <w:szCs w:val="22"/>
          <w:lang w:val="fr-CA"/>
        </w:rPr>
        <w:t xml:space="preserve"> à la Secrétaire exécutive des informations pertinentes pour les travaux du Grou</w:t>
      </w:r>
      <w:r w:rsidR="00827F9B">
        <w:rPr>
          <w:kern w:val="22"/>
          <w:szCs w:val="22"/>
          <w:lang w:val="fr-CA"/>
        </w:rPr>
        <w:t>pe spécial d'experts techniques sur l’</w:t>
      </w:r>
      <w:r w:rsidR="00EE0F9B">
        <w:rPr>
          <w:kern w:val="22"/>
          <w:szCs w:val="22"/>
          <w:lang w:val="fr-CA"/>
        </w:rPr>
        <w:t xml:space="preserve">évaluation des risques créé </w:t>
      </w:r>
      <w:r w:rsidR="00827F9B">
        <w:rPr>
          <w:kern w:val="22"/>
          <w:szCs w:val="22"/>
          <w:lang w:val="fr-CA"/>
        </w:rPr>
        <w:t>en vertu du paragraphe 6 ci-dessus</w:t>
      </w:r>
      <w:r w:rsidRPr="001F51EF">
        <w:rPr>
          <w:kern w:val="22"/>
          <w:szCs w:val="22"/>
          <w:lang w:val="fr-CA"/>
        </w:rPr>
        <w:t>;</w:t>
      </w:r>
    </w:p>
    <w:p w14:paraId="1350FFF4" w14:textId="48513DB1"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Invite</w:t>
      </w:r>
      <w:r w:rsidR="00EE0F9B">
        <w:rPr>
          <w:kern w:val="22"/>
          <w:szCs w:val="22"/>
          <w:lang w:val="fr-CA"/>
        </w:rPr>
        <w:t xml:space="preserve"> les Parties à communiquer</w:t>
      </w:r>
      <w:r w:rsidRPr="001F51EF">
        <w:rPr>
          <w:kern w:val="22"/>
          <w:szCs w:val="22"/>
          <w:lang w:val="fr-CA"/>
        </w:rPr>
        <w:t xml:space="preserve"> également des informations sur leurs besoins et leurs priorités en matière de documents d'</w:t>
      </w:r>
      <w:r w:rsidR="00EE0F9B">
        <w:rPr>
          <w:kern w:val="22"/>
          <w:szCs w:val="22"/>
          <w:lang w:val="fr-CA"/>
        </w:rPr>
        <w:t>orientation supplémentaires</w:t>
      </w:r>
      <w:r w:rsidRPr="001F51EF">
        <w:rPr>
          <w:kern w:val="22"/>
          <w:szCs w:val="22"/>
          <w:lang w:val="fr-CA"/>
        </w:rPr>
        <w:t xml:space="preserve"> sur des sujets spécifiques de l'évaluation des risques liés aux organismes vivants modifiés, y compris une justification suiv</w:t>
      </w:r>
      <w:r w:rsidR="00827F9B">
        <w:rPr>
          <w:kern w:val="22"/>
          <w:szCs w:val="22"/>
          <w:lang w:val="fr-CA"/>
        </w:rPr>
        <w:t>ant les critères énoncés dans l’annexe I à la décision CP-9/13</w:t>
      </w:r>
      <w:r w:rsidRPr="001F51EF">
        <w:rPr>
          <w:kern w:val="22"/>
          <w:szCs w:val="22"/>
          <w:lang w:val="fr-CA"/>
        </w:rPr>
        <w:t>;</w:t>
      </w:r>
    </w:p>
    <w:p w14:paraId="2577F08F" w14:textId="0163A24F" w:rsidR="000308BF" w:rsidRPr="001F51EF" w:rsidRDefault="00827F9B" w:rsidP="000308BF">
      <w:pPr>
        <w:pStyle w:val="Para1"/>
        <w:numPr>
          <w:ilvl w:val="0"/>
          <w:numId w:val="19"/>
        </w:numPr>
        <w:suppressLineNumbers/>
        <w:suppressAutoHyphens/>
        <w:ind w:left="0" w:firstLine="720"/>
        <w:rPr>
          <w:kern w:val="22"/>
          <w:szCs w:val="22"/>
          <w:lang w:val="fr-CA"/>
        </w:rPr>
      </w:pPr>
      <w:r>
        <w:rPr>
          <w:i/>
          <w:iCs/>
          <w:kern w:val="22"/>
          <w:szCs w:val="22"/>
          <w:lang w:val="fr-CA"/>
        </w:rPr>
        <w:t>Demand</w:t>
      </w:r>
      <w:r w:rsidR="000308BF" w:rsidRPr="001F51EF">
        <w:rPr>
          <w:i/>
          <w:iCs/>
          <w:kern w:val="22"/>
          <w:szCs w:val="22"/>
          <w:lang w:val="fr-CA"/>
        </w:rPr>
        <w:t>e</w:t>
      </w:r>
      <w:r>
        <w:rPr>
          <w:kern w:val="22"/>
          <w:szCs w:val="22"/>
          <w:lang w:val="fr-CA"/>
        </w:rPr>
        <w:t xml:space="preserve"> aux Parties, aux autres gouvernements et aux organisations compétentes de</w:t>
      </w:r>
      <w:r w:rsidR="000308BF" w:rsidRPr="001F51EF">
        <w:rPr>
          <w:kern w:val="22"/>
          <w:szCs w:val="22"/>
          <w:lang w:val="fr-CA"/>
        </w:rPr>
        <w:t xml:space="preserve"> continuer à diffuser des informations et à partager des expériences, notamment par l'intermédiaire du Centre d'échange pour la prévention des risques biotechnologiques, qui sont utiles pour l'évaluation des risques liés aux organismes</w:t>
      </w:r>
      <w:r w:rsidR="00EE0F9B">
        <w:rPr>
          <w:kern w:val="22"/>
          <w:szCs w:val="22"/>
          <w:lang w:val="fr-CA"/>
        </w:rPr>
        <w:t xml:space="preserve"> vivants modifiés, y compris les</w:t>
      </w:r>
      <w:r w:rsidR="000308BF" w:rsidRPr="001F51EF">
        <w:rPr>
          <w:kern w:val="22"/>
          <w:szCs w:val="22"/>
          <w:lang w:val="fr-CA"/>
        </w:rPr>
        <w:t xml:space="preserve"> poissons </w:t>
      </w:r>
      <w:r w:rsidR="00EE0F9B">
        <w:rPr>
          <w:kern w:val="22"/>
          <w:szCs w:val="22"/>
          <w:lang w:val="fr-CA"/>
        </w:rPr>
        <w:t xml:space="preserve">vivants modifiés </w:t>
      </w:r>
      <w:r w:rsidR="00FC0963">
        <w:rPr>
          <w:kern w:val="22"/>
          <w:szCs w:val="22"/>
          <w:lang w:val="fr-CA"/>
        </w:rPr>
        <w:t xml:space="preserve">et </w:t>
      </w:r>
      <w:r w:rsidR="00EE0F9B">
        <w:rPr>
          <w:kern w:val="22"/>
          <w:szCs w:val="22"/>
          <w:lang w:val="fr-CA"/>
        </w:rPr>
        <w:t xml:space="preserve">les </w:t>
      </w:r>
      <w:r w:rsidR="000308BF" w:rsidRPr="001F51EF">
        <w:rPr>
          <w:kern w:val="22"/>
          <w:szCs w:val="22"/>
          <w:lang w:val="fr-CA"/>
        </w:rPr>
        <w:t>organi</w:t>
      </w:r>
      <w:r>
        <w:rPr>
          <w:kern w:val="22"/>
          <w:szCs w:val="22"/>
          <w:lang w:val="fr-CA"/>
        </w:rPr>
        <w:t>smes</w:t>
      </w:r>
      <w:r w:rsidR="00FC0963">
        <w:rPr>
          <w:kern w:val="22"/>
          <w:szCs w:val="22"/>
          <w:lang w:val="fr-CA"/>
        </w:rPr>
        <w:t xml:space="preserve"> </w:t>
      </w:r>
      <w:r>
        <w:rPr>
          <w:kern w:val="22"/>
          <w:szCs w:val="22"/>
          <w:lang w:val="fr-CA"/>
        </w:rPr>
        <w:t>issus du forçage génétique</w:t>
      </w:r>
      <w:r w:rsidR="000308BF" w:rsidRPr="001F51EF">
        <w:rPr>
          <w:kern w:val="22"/>
          <w:szCs w:val="22"/>
          <w:lang w:val="fr-CA"/>
        </w:rPr>
        <w:t>;</w:t>
      </w:r>
    </w:p>
    <w:p w14:paraId="05546B47" w14:textId="77777777" w:rsidR="000308BF" w:rsidRPr="001F51EF" w:rsidRDefault="000308BF" w:rsidP="000308BF">
      <w:pPr>
        <w:pStyle w:val="Para1"/>
        <w:numPr>
          <w:ilvl w:val="0"/>
          <w:numId w:val="19"/>
        </w:numPr>
        <w:suppressLineNumbers/>
        <w:suppressAutoHyphens/>
        <w:ind w:left="0" w:firstLine="720"/>
        <w:rPr>
          <w:kern w:val="22"/>
          <w:szCs w:val="22"/>
          <w:lang w:val="fr-CA"/>
        </w:rPr>
      </w:pPr>
      <w:r w:rsidRPr="001F51EF">
        <w:rPr>
          <w:i/>
          <w:iCs/>
          <w:kern w:val="22"/>
          <w:szCs w:val="22"/>
          <w:lang w:val="fr-CA"/>
        </w:rPr>
        <w:t>Prie</w:t>
      </w:r>
      <w:r w:rsidRPr="001F51EF">
        <w:rPr>
          <w:kern w:val="22"/>
          <w:szCs w:val="22"/>
          <w:lang w:val="fr-CA"/>
        </w:rPr>
        <w:t xml:space="preserve"> la Secrétaire exécutive de :</w:t>
      </w:r>
    </w:p>
    <w:p w14:paraId="12A447A8" w14:textId="70400C68" w:rsidR="000308BF" w:rsidRPr="001F51EF" w:rsidRDefault="000308BF" w:rsidP="000308BF">
      <w:pPr>
        <w:pStyle w:val="Para1"/>
        <w:numPr>
          <w:ilvl w:val="0"/>
          <w:numId w:val="0"/>
        </w:numPr>
        <w:suppressLineNumbers/>
        <w:suppressAutoHyphens/>
        <w:ind w:firstLine="720"/>
        <w:rPr>
          <w:kern w:val="22"/>
          <w:szCs w:val="22"/>
          <w:lang w:val="fr-CA"/>
        </w:rPr>
      </w:pPr>
      <w:r w:rsidRPr="001F51EF">
        <w:rPr>
          <w:kern w:val="22"/>
          <w:szCs w:val="22"/>
          <w:lang w:val="fr-CA"/>
        </w:rPr>
        <w:t>a)</w:t>
      </w:r>
      <w:r w:rsidRPr="001F51EF">
        <w:rPr>
          <w:i/>
          <w:iCs/>
          <w:kern w:val="22"/>
          <w:szCs w:val="22"/>
          <w:lang w:val="fr-CA"/>
        </w:rPr>
        <w:tab/>
      </w:r>
      <w:r w:rsidR="00827F9B">
        <w:rPr>
          <w:kern w:val="22"/>
          <w:szCs w:val="22"/>
          <w:lang w:val="fr-CA"/>
        </w:rPr>
        <w:t>Commander, dans la limite des</w:t>
      </w:r>
      <w:r w:rsidRPr="001F51EF">
        <w:rPr>
          <w:kern w:val="22"/>
          <w:szCs w:val="22"/>
          <w:lang w:val="fr-CA"/>
        </w:rPr>
        <w:t xml:space="preserve"> ressources</w:t>
      </w:r>
      <w:r w:rsidR="00827F9B">
        <w:rPr>
          <w:kern w:val="22"/>
          <w:szCs w:val="22"/>
          <w:lang w:val="fr-CA"/>
        </w:rPr>
        <w:t xml:space="preserve"> disponibles</w:t>
      </w:r>
      <w:r w:rsidRPr="001F51EF">
        <w:rPr>
          <w:kern w:val="22"/>
          <w:szCs w:val="22"/>
          <w:lang w:val="fr-CA"/>
        </w:rPr>
        <w:t xml:space="preserve"> et en appliquant la décision 14/33 sur la procédure permettant d'éviter ou de gé</w:t>
      </w:r>
      <w:r w:rsidR="00827F9B">
        <w:rPr>
          <w:kern w:val="22"/>
          <w:szCs w:val="22"/>
          <w:lang w:val="fr-CA"/>
        </w:rPr>
        <w:t xml:space="preserve">rer les conflits d'intérêts </w:t>
      </w:r>
      <w:r w:rsidR="001B0DFB">
        <w:rPr>
          <w:kern w:val="22"/>
          <w:szCs w:val="22"/>
          <w:lang w:val="fr-CA"/>
        </w:rPr>
        <w:t>au sein des</w:t>
      </w:r>
      <w:r w:rsidR="00827F9B">
        <w:rPr>
          <w:kern w:val="22"/>
          <w:szCs w:val="22"/>
          <w:lang w:val="fr-CA"/>
        </w:rPr>
        <w:t xml:space="preserve"> groupes d'experts, l</w:t>
      </w:r>
      <w:r w:rsidR="00FC0963">
        <w:rPr>
          <w:kern w:val="22"/>
          <w:szCs w:val="22"/>
          <w:lang w:val="fr-CA"/>
        </w:rPr>
        <w:t>a préparation d</w:t>
      </w:r>
      <w:r w:rsidR="005B38F6">
        <w:rPr>
          <w:kern w:val="22"/>
          <w:szCs w:val="22"/>
          <w:lang w:val="fr-CA"/>
        </w:rPr>
        <w:t xml:space="preserve">’un plan détaillé </w:t>
      </w:r>
      <w:r w:rsidR="00FC0963">
        <w:rPr>
          <w:kern w:val="22"/>
          <w:szCs w:val="22"/>
          <w:lang w:val="fr-CA"/>
        </w:rPr>
        <w:t>de</w:t>
      </w:r>
      <w:r w:rsidRPr="001F51EF">
        <w:rPr>
          <w:kern w:val="22"/>
          <w:szCs w:val="22"/>
          <w:lang w:val="fr-CA"/>
        </w:rPr>
        <w:t xml:space="preserve"> documents d'</w:t>
      </w:r>
      <w:r w:rsidR="00EE0F9B">
        <w:rPr>
          <w:kern w:val="22"/>
          <w:szCs w:val="22"/>
          <w:lang w:val="fr-CA"/>
        </w:rPr>
        <w:t>orientation supplémentaires</w:t>
      </w:r>
      <w:r w:rsidRPr="001F51EF">
        <w:rPr>
          <w:kern w:val="22"/>
          <w:szCs w:val="22"/>
          <w:lang w:val="fr-CA"/>
        </w:rPr>
        <w:t xml:space="preserve"> </w:t>
      </w:r>
      <w:r w:rsidR="00827F9B">
        <w:rPr>
          <w:kern w:val="22"/>
          <w:szCs w:val="22"/>
          <w:lang w:val="fr-CA"/>
        </w:rPr>
        <w:t>sur l'évaluation des risques liés aux</w:t>
      </w:r>
      <w:r w:rsidRPr="001F51EF">
        <w:rPr>
          <w:kern w:val="22"/>
          <w:szCs w:val="22"/>
          <w:lang w:val="fr-CA"/>
        </w:rPr>
        <w:t xml:space="preserve"> organismes vivants modif</w:t>
      </w:r>
      <w:r w:rsidR="00FC0963">
        <w:rPr>
          <w:kern w:val="22"/>
          <w:szCs w:val="22"/>
          <w:lang w:val="fr-CA"/>
        </w:rPr>
        <w:t>iés issus du forçage génétique</w:t>
      </w:r>
      <w:r w:rsidR="005B38F6">
        <w:rPr>
          <w:kern w:val="22"/>
          <w:szCs w:val="22"/>
          <w:lang w:val="fr-CA"/>
        </w:rPr>
        <w:t>, qui sera</w:t>
      </w:r>
      <w:r w:rsidRPr="001F51EF">
        <w:rPr>
          <w:kern w:val="22"/>
          <w:szCs w:val="22"/>
          <w:lang w:val="fr-CA"/>
        </w:rPr>
        <w:t xml:space="preserve"> examiné par</w:t>
      </w:r>
      <w:r w:rsidR="00FC0963">
        <w:rPr>
          <w:kern w:val="22"/>
          <w:szCs w:val="22"/>
          <w:lang w:val="fr-CA"/>
        </w:rPr>
        <w:t xml:space="preserve"> le forum en lig</w:t>
      </w:r>
      <w:r w:rsidR="005B38F6">
        <w:rPr>
          <w:kern w:val="22"/>
          <w:szCs w:val="22"/>
          <w:lang w:val="fr-CA"/>
        </w:rPr>
        <w:t>ne et servira</w:t>
      </w:r>
      <w:r w:rsidR="00FC0963">
        <w:rPr>
          <w:kern w:val="22"/>
          <w:szCs w:val="22"/>
          <w:lang w:val="fr-CA"/>
        </w:rPr>
        <w:t xml:space="preserve"> de</w:t>
      </w:r>
      <w:r w:rsidRPr="001F51EF">
        <w:rPr>
          <w:kern w:val="22"/>
          <w:szCs w:val="22"/>
          <w:lang w:val="fr-CA"/>
        </w:rPr>
        <w:t xml:space="preserve"> base aux travaux du Grou</w:t>
      </w:r>
      <w:r w:rsidR="00FC0963">
        <w:rPr>
          <w:kern w:val="22"/>
          <w:szCs w:val="22"/>
          <w:lang w:val="fr-CA"/>
        </w:rPr>
        <w:t>pe spécial d'experts techniques</w:t>
      </w:r>
      <w:r w:rsidRPr="001F51EF">
        <w:rPr>
          <w:kern w:val="22"/>
          <w:szCs w:val="22"/>
          <w:lang w:val="fr-CA"/>
        </w:rPr>
        <w:t>;</w:t>
      </w:r>
    </w:p>
    <w:p w14:paraId="435DA8BC" w14:textId="11BDB50A" w:rsidR="000308BF" w:rsidRPr="001F51EF" w:rsidRDefault="000308BF" w:rsidP="000308BF">
      <w:pPr>
        <w:pStyle w:val="Para1"/>
        <w:numPr>
          <w:ilvl w:val="0"/>
          <w:numId w:val="0"/>
        </w:numPr>
        <w:suppressLineNumbers/>
        <w:tabs>
          <w:tab w:val="left" w:pos="1440"/>
        </w:tabs>
        <w:suppressAutoHyphens/>
        <w:ind w:firstLine="720"/>
        <w:rPr>
          <w:kern w:val="22"/>
          <w:szCs w:val="22"/>
          <w:lang w:val="fr-CA"/>
        </w:rPr>
      </w:pPr>
      <w:r w:rsidRPr="001F51EF">
        <w:rPr>
          <w:kern w:val="22"/>
          <w:szCs w:val="22"/>
          <w:lang w:val="fr-CA"/>
        </w:rPr>
        <w:t>b)</w:t>
      </w:r>
      <w:r w:rsidRPr="001F51EF">
        <w:rPr>
          <w:kern w:val="22"/>
          <w:szCs w:val="22"/>
          <w:lang w:val="fr-CA"/>
        </w:rPr>
        <w:tab/>
        <w:t>Organiser des discuss</w:t>
      </w:r>
      <w:r w:rsidR="00EE0F9B">
        <w:rPr>
          <w:kern w:val="22"/>
          <w:szCs w:val="22"/>
          <w:lang w:val="fr-CA"/>
        </w:rPr>
        <w:t>ions en ligne dans le cadre du F</w:t>
      </w:r>
      <w:r w:rsidRPr="001F51EF">
        <w:rPr>
          <w:kern w:val="22"/>
          <w:szCs w:val="22"/>
          <w:lang w:val="fr-CA"/>
        </w:rPr>
        <w:t>orum en ligne sur l'évaluation</w:t>
      </w:r>
      <w:r w:rsidR="00EE0F9B">
        <w:rPr>
          <w:kern w:val="22"/>
          <w:szCs w:val="22"/>
          <w:lang w:val="fr-CA"/>
        </w:rPr>
        <w:t xml:space="preserve"> des risques</w:t>
      </w:r>
      <w:r w:rsidRPr="001F51EF">
        <w:rPr>
          <w:kern w:val="22"/>
          <w:szCs w:val="22"/>
          <w:lang w:val="fr-CA"/>
        </w:rPr>
        <w:t xml:space="preserve"> et la gestion des ris</w:t>
      </w:r>
      <w:r w:rsidR="00FC0963">
        <w:rPr>
          <w:kern w:val="22"/>
          <w:szCs w:val="22"/>
          <w:lang w:val="fr-CA"/>
        </w:rPr>
        <w:t>ques</w:t>
      </w:r>
      <w:r w:rsidR="00EE0F9B">
        <w:rPr>
          <w:kern w:val="22"/>
          <w:szCs w:val="22"/>
          <w:lang w:val="fr-CA"/>
        </w:rPr>
        <w:t>,</w:t>
      </w:r>
      <w:r w:rsidR="00FC0963">
        <w:rPr>
          <w:kern w:val="22"/>
          <w:szCs w:val="22"/>
          <w:lang w:val="fr-CA"/>
        </w:rPr>
        <w:t xml:space="preserve"> afin d'examiner un projet</w:t>
      </w:r>
      <w:r w:rsidRPr="001F51EF">
        <w:rPr>
          <w:kern w:val="22"/>
          <w:szCs w:val="22"/>
          <w:lang w:val="fr-CA"/>
        </w:rPr>
        <w:t xml:space="preserve"> de documents d'orientations facultativ</w:t>
      </w:r>
      <w:r w:rsidR="00FC0963">
        <w:rPr>
          <w:kern w:val="22"/>
          <w:szCs w:val="22"/>
          <w:lang w:val="fr-CA"/>
        </w:rPr>
        <w:t>es supplémentaires et d’appuye</w:t>
      </w:r>
      <w:r w:rsidRPr="001F51EF">
        <w:rPr>
          <w:kern w:val="22"/>
          <w:szCs w:val="22"/>
          <w:lang w:val="fr-CA"/>
        </w:rPr>
        <w:t>r les travaux du Group</w:t>
      </w:r>
      <w:r w:rsidR="00FC0963">
        <w:rPr>
          <w:kern w:val="22"/>
          <w:szCs w:val="22"/>
          <w:lang w:val="fr-CA"/>
        </w:rPr>
        <w:t>e spécial d'experts techniques;</w:t>
      </w:r>
    </w:p>
    <w:p w14:paraId="7B1F10AE" w14:textId="4A6EBB22" w:rsidR="000308BF" w:rsidRPr="001F51EF" w:rsidRDefault="00FC0963" w:rsidP="000308BF">
      <w:pPr>
        <w:pStyle w:val="Para1"/>
        <w:numPr>
          <w:ilvl w:val="0"/>
          <w:numId w:val="0"/>
        </w:numPr>
        <w:suppressLineNumbers/>
        <w:tabs>
          <w:tab w:val="left" w:pos="1440"/>
        </w:tabs>
        <w:suppressAutoHyphens/>
        <w:ind w:firstLine="720"/>
        <w:rPr>
          <w:kern w:val="22"/>
          <w:szCs w:val="22"/>
          <w:lang w:val="fr-CA"/>
        </w:rPr>
      </w:pPr>
      <w:r>
        <w:rPr>
          <w:kern w:val="22"/>
          <w:szCs w:val="22"/>
          <w:lang w:val="fr-CA"/>
        </w:rPr>
        <w:t>c)</w:t>
      </w:r>
      <w:r>
        <w:rPr>
          <w:kern w:val="22"/>
          <w:szCs w:val="22"/>
          <w:lang w:val="fr-CA"/>
        </w:rPr>
        <w:tab/>
        <w:t>Recueillir et faire la synthèse d</w:t>
      </w:r>
      <w:r w:rsidR="000308BF" w:rsidRPr="001F51EF">
        <w:rPr>
          <w:kern w:val="22"/>
          <w:szCs w:val="22"/>
          <w:lang w:val="fr-CA"/>
        </w:rPr>
        <w:t>es informations pertinentes pour faciliter le</w:t>
      </w:r>
      <w:r>
        <w:rPr>
          <w:kern w:val="22"/>
          <w:szCs w:val="22"/>
          <w:lang w:val="fr-CA"/>
        </w:rPr>
        <w:t>s travaux</w:t>
      </w:r>
      <w:r w:rsidR="000308BF" w:rsidRPr="001F51EF">
        <w:rPr>
          <w:kern w:val="22"/>
          <w:szCs w:val="22"/>
          <w:lang w:val="fr-CA"/>
        </w:rPr>
        <w:t xml:space="preserve"> </w:t>
      </w:r>
      <w:r w:rsidR="00227A2A">
        <w:rPr>
          <w:kern w:val="22"/>
          <w:szCs w:val="22"/>
          <w:lang w:val="fr-CA"/>
        </w:rPr>
        <w:t>du f</w:t>
      </w:r>
      <w:r w:rsidR="000308BF" w:rsidRPr="001F51EF">
        <w:rPr>
          <w:kern w:val="22"/>
          <w:szCs w:val="22"/>
          <w:lang w:val="fr-CA"/>
        </w:rPr>
        <w:t>orum en ligne et du Grou</w:t>
      </w:r>
      <w:r>
        <w:rPr>
          <w:kern w:val="22"/>
          <w:szCs w:val="22"/>
          <w:lang w:val="fr-CA"/>
        </w:rPr>
        <w:t>pe spécial d'experts techniques</w:t>
      </w:r>
      <w:r w:rsidR="000308BF" w:rsidRPr="001F51EF">
        <w:rPr>
          <w:kern w:val="22"/>
          <w:szCs w:val="22"/>
          <w:lang w:val="fr-CA"/>
        </w:rPr>
        <w:t>;</w:t>
      </w:r>
    </w:p>
    <w:p w14:paraId="71CFE1FD" w14:textId="377051CC" w:rsidR="000308BF" w:rsidRPr="001F51EF" w:rsidRDefault="000308BF" w:rsidP="000308BF">
      <w:pPr>
        <w:pStyle w:val="Para1"/>
        <w:numPr>
          <w:ilvl w:val="0"/>
          <w:numId w:val="0"/>
        </w:numPr>
        <w:suppressLineNumbers/>
        <w:tabs>
          <w:tab w:val="left" w:pos="1440"/>
        </w:tabs>
        <w:suppressAutoHyphens/>
        <w:ind w:firstLine="720"/>
        <w:rPr>
          <w:kern w:val="22"/>
          <w:szCs w:val="22"/>
          <w:lang w:val="fr-CA"/>
        </w:rPr>
      </w:pPr>
      <w:r w:rsidRPr="001F51EF">
        <w:rPr>
          <w:kern w:val="22"/>
          <w:szCs w:val="22"/>
          <w:lang w:val="fr-CA"/>
        </w:rPr>
        <w:t>d)</w:t>
      </w:r>
      <w:r w:rsidRPr="001F51EF">
        <w:rPr>
          <w:kern w:val="22"/>
          <w:szCs w:val="22"/>
          <w:lang w:val="fr-CA"/>
        </w:rPr>
        <w:tab/>
        <w:t xml:space="preserve">Faire la synthèse des points de </w:t>
      </w:r>
      <w:r w:rsidR="00227A2A">
        <w:rPr>
          <w:kern w:val="22"/>
          <w:szCs w:val="22"/>
          <w:lang w:val="fr-CA"/>
        </w:rPr>
        <w:t>vue indiqués</w:t>
      </w:r>
      <w:r w:rsidR="005B38F6">
        <w:rPr>
          <w:kern w:val="22"/>
          <w:szCs w:val="22"/>
          <w:lang w:val="fr-CA"/>
        </w:rPr>
        <w:t xml:space="preserve"> aux paragraphes 7 et 8</w:t>
      </w:r>
      <w:r w:rsidRPr="001F51EF">
        <w:rPr>
          <w:kern w:val="22"/>
          <w:szCs w:val="22"/>
          <w:lang w:val="fr-CA"/>
        </w:rPr>
        <w:t xml:space="preserve"> c</w:t>
      </w:r>
      <w:r w:rsidR="00227A2A">
        <w:rPr>
          <w:kern w:val="22"/>
          <w:szCs w:val="22"/>
          <w:lang w:val="fr-CA"/>
        </w:rPr>
        <w:t>i-dessus et des discussions du f</w:t>
      </w:r>
      <w:r w:rsidRPr="001F51EF">
        <w:rPr>
          <w:kern w:val="22"/>
          <w:szCs w:val="22"/>
          <w:lang w:val="fr-CA"/>
        </w:rPr>
        <w:t>orum en ligne et les mettre à la disposition du Grou</w:t>
      </w:r>
      <w:r w:rsidR="00FC0963">
        <w:rPr>
          <w:kern w:val="22"/>
          <w:szCs w:val="22"/>
          <w:lang w:val="fr-CA"/>
        </w:rPr>
        <w:t>pe spécial d'experts techniques</w:t>
      </w:r>
      <w:r w:rsidRPr="001F51EF">
        <w:rPr>
          <w:kern w:val="22"/>
          <w:szCs w:val="22"/>
          <w:lang w:val="fr-CA"/>
        </w:rPr>
        <w:t>;</w:t>
      </w:r>
    </w:p>
    <w:p w14:paraId="4F1D8DA3" w14:textId="539E42C7" w:rsidR="000308BF" w:rsidRPr="001F51EF" w:rsidRDefault="000308BF" w:rsidP="000308BF">
      <w:pPr>
        <w:pStyle w:val="Para1"/>
        <w:numPr>
          <w:ilvl w:val="0"/>
          <w:numId w:val="0"/>
        </w:numPr>
        <w:suppressLineNumbers/>
        <w:tabs>
          <w:tab w:val="left" w:pos="1440"/>
        </w:tabs>
        <w:suppressAutoHyphens/>
        <w:ind w:firstLine="720"/>
        <w:rPr>
          <w:kern w:val="22"/>
          <w:szCs w:val="22"/>
          <w:lang w:val="fr-CA"/>
        </w:rPr>
      </w:pPr>
      <w:r w:rsidRPr="001F51EF">
        <w:rPr>
          <w:kern w:val="22"/>
          <w:szCs w:val="22"/>
          <w:lang w:val="fr-CA"/>
        </w:rPr>
        <w:lastRenderedPageBreak/>
        <w:t>e)</w:t>
      </w:r>
      <w:r w:rsidR="005B38F6">
        <w:rPr>
          <w:kern w:val="22"/>
          <w:szCs w:val="22"/>
          <w:lang w:val="fr-CA"/>
        </w:rPr>
        <w:tab/>
        <w:t xml:space="preserve">Organiser, dans la limite </w:t>
      </w:r>
      <w:r w:rsidRPr="001F51EF">
        <w:rPr>
          <w:kern w:val="22"/>
          <w:szCs w:val="22"/>
          <w:lang w:val="fr-CA"/>
        </w:rPr>
        <w:t>des ressources</w:t>
      </w:r>
      <w:r w:rsidR="005B38F6">
        <w:rPr>
          <w:kern w:val="22"/>
          <w:szCs w:val="22"/>
          <w:lang w:val="fr-CA"/>
        </w:rPr>
        <w:t xml:space="preserve"> disponibles</w:t>
      </w:r>
      <w:r w:rsidRPr="001F51EF">
        <w:rPr>
          <w:kern w:val="22"/>
          <w:szCs w:val="22"/>
          <w:lang w:val="fr-CA"/>
        </w:rPr>
        <w:t>, deux réunions du Groupe spécial d'experts techniques sur l'évalu</w:t>
      </w:r>
      <w:r w:rsidR="005B38F6">
        <w:rPr>
          <w:kern w:val="22"/>
          <w:szCs w:val="22"/>
          <w:lang w:val="fr-CA"/>
        </w:rPr>
        <w:t>ati</w:t>
      </w:r>
      <w:r w:rsidR="00227A2A">
        <w:rPr>
          <w:kern w:val="22"/>
          <w:szCs w:val="22"/>
          <w:lang w:val="fr-CA"/>
        </w:rPr>
        <w:t>on des risques, en faisant en sorte</w:t>
      </w:r>
      <w:r w:rsidR="005B38F6">
        <w:rPr>
          <w:kern w:val="22"/>
          <w:szCs w:val="22"/>
          <w:lang w:val="fr-CA"/>
        </w:rPr>
        <w:t xml:space="preserve"> qu’une de ces</w:t>
      </w:r>
      <w:r w:rsidR="00886CF1">
        <w:rPr>
          <w:kern w:val="22"/>
          <w:szCs w:val="22"/>
          <w:lang w:val="fr-CA"/>
        </w:rPr>
        <w:t xml:space="preserve"> deux</w:t>
      </w:r>
      <w:r w:rsidR="005B38F6">
        <w:rPr>
          <w:kern w:val="22"/>
          <w:szCs w:val="22"/>
          <w:lang w:val="fr-CA"/>
        </w:rPr>
        <w:t xml:space="preserve"> réunions au moins soit</w:t>
      </w:r>
      <w:r w:rsidR="00886CF1">
        <w:rPr>
          <w:kern w:val="22"/>
          <w:szCs w:val="22"/>
          <w:lang w:val="fr-CA"/>
        </w:rPr>
        <w:t xml:space="preserve"> une réunion en personne</w:t>
      </w:r>
      <w:r w:rsidRPr="0050190F">
        <w:rPr>
          <w:rStyle w:val="FootnoteReference"/>
          <w:kern w:val="22"/>
          <w:szCs w:val="22"/>
        </w:rPr>
        <w:footnoteReference w:id="3"/>
      </w:r>
      <w:r w:rsidRPr="005B38F6">
        <w:rPr>
          <w:kern w:val="22"/>
          <w:szCs w:val="22"/>
          <w:lang w:val="fr-CA"/>
        </w:rPr>
        <w:t>;</w:t>
      </w:r>
    </w:p>
    <w:p w14:paraId="3BCF8141" w14:textId="07280D48" w:rsidR="000308BF" w:rsidRPr="001F51EF" w:rsidRDefault="000308BF" w:rsidP="000308BF">
      <w:pPr>
        <w:pStyle w:val="Para1"/>
        <w:numPr>
          <w:ilvl w:val="0"/>
          <w:numId w:val="0"/>
        </w:numPr>
        <w:suppressLineNumbers/>
        <w:suppressAutoHyphens/>
        <w:ind w:firstLine="720"/>
        <w:rPr>
          <w:kern w:val="22"/>
          <w:szCs w:val="22"/>
          <w:lang w:val="fr-CA"/>
        </w:rPr>
      </w:pPr>
      <w:r w:rsidRPr="001F51EF">
        <w:rPr>
          <w:kern w:val="22"/>
          <w:szCs w:val="22"/>
          <w:lang w:val="fr-CA"/>
        </w:rPr>
        <w:t>f)</w:t>
      </w:r>
      <w:r w:rsidRPr="001F51EF">
        <w:rPr>
          <w:kern w:val="22"/>
          <w:szCs w:val="22"/>
          <w:lang w:val="fr-CA"/>
        </w:rPr>
        <w:tab/>
        <w:t>Faciliter le processus d'identification et de hiérarchisation des questions spécifiques d'évaluation des risques liés aux organismes vivants modifiés qui pourraient mériter d'être examinées, conformément au paragraphe 6 de la décision CP-9/13, en mettant à dis</w:t>
      </w:r>
      <w:r w:rsidR="00886CF1">
        <w:rPr>
          <w:kern w:val="22"/>
          <w:szCs w:val="22"/>
          <w:lang w:val="fr-CA"/>
        </w:rPr>
        <w:t>position les informations communiqué</w:t>
      </w:r>
      <w:r w:rsidRPr="001F51EF">
        <w:rPr>
          <w:kern w:val="22"/>
          <w:szCs w:val="22"/>
          <w:lang w:val="fr-CA"/>
        </w:rPr>
        <w:t>es par les Parties sur les qu</w:t>
      </w:r>
      <w:r w:rsidR="00227A2A">
        <w:rPr>
          <w:kern w:val="22"/>
          <w:szCs w:val="22"/>
          <w:lang w:val="fr-CA"/>
        </w:rPr>
        <w:t>estions recensé</w:t>
      </w:r>
      <w:r w:rsidRPr="001F51EF">
        <w:rPr>
          <w:kern w:val="22"/>
          <w:szCs w:val="22"/>
          <w:lang w:val="fr-CA"/>
        </w:rPr>
        <w:t>es</w:t>
      </w:r>
      <w:r w:rsidR="00227A2A">
        <w:rPr>
          <w:kern w:val="22"/>
          <w:szCs w:val="22"/>
          <w:lang w:val="fr-CA"/>
        </w:rPr>
        <w:t xml:space="preserve"> conformément à l'annexe I de</w:t>
      </w:r>
      <w:r w:rsidR="00886CF1">
        <w:rPr>
          <w:kern w:val="22"/>
          <w:szCs w:val="22"/>
          <w:lang w:val="fr-CA"/>
        </w:rPr>
        <w:t xml:space="preserve"> cette</w:t>
      </w:r>
      <w:r w:rsidRPr="001F51EF">
        <w:rPr>
          <w:kern w:val="22"/>
          <w:szCs w:val="22"/>
          <w:lang w:val="fr-CA"/>
        </w:rPr>
        <w:t xml:space="preserve"> </w:t>
      </w:r>
      <w:r w:rsidR="00886CF1">
        <w:rPr>
          <w:kern w:val="22"/>
          <w:szCs w:val="22"/>
          <w:lang w:val="fr-CA"/>
        </w:rPr>
        <w:t xml:space="preserve">même </w:t>
      </w:r>
      <w:r w:rsidRPr="001F51EF">
        <w:rPr>
          <w:kern w:val="22"/>
          <w:szCs w:val="22"/>
          <w:lang w:val="fr-CA"/>
        </w:rPr>
        <w:t>décision, ainsi que les informations utiles pour l'évaluati</w:t>
      </w:r>
      <w:r w:rsidR="00227A2A">
        <w:rPr>
          <w:kern w:val="22"/>
          <w:szCs w:val="22"/>
          <w:lang w:val="fr-CA"/>
        </w:rPr>
        <w:t>on des risques sur</w:t>
      </w:r>
      <w:r w:rsidR="00886CF1">
        <w:rPr>
          <w:kern w:val="22"/>
          <w:szCs w:val="22"/>
          <w:lang w:val="fr-CA"/>
        </w:rPr>
        <w:t xml:space="preserve"> ces questions</w:t>
      </w:r>
      <w:r w:rsidR="00227A2A">
        <w:rPr>
          <w:kern w:val="22"/>
          <w:szCs w:val="22"/>
          <w:lang w:val="fr-CA"/>
        </w:rPr>
        <w:t>, dans</w:t>
      </w:r>
      <w:r w:rsidRPr="001F51EF">
        <w:rPr>
          <w:kern w:val="22"/>
          <w:szCs w:val="22"/>
          <w:lang w:val="fr-CA"/>
        </w:rPr>
        <w:t xml:space="preserve"> une page Web spéciale du Centre d'échange pour la préventio</w:t>
      </w:r>
      <w:r w:rsidR="00886CF1">
        <w:rPr>
          <w:kern w:val="22"/>
          <w:szCs w:val="22"/>
          <w:lang w:val="fr-CA"/>
        </w:rPr>
        <w:t>n des risques biotechnologiques</w:t>
      </w:r>
      <w:r w:rsidRPr="001F51EF">
        <w:rPr>
          <w:kern w:val="22"/>
          <w:szCs w:val="22"/>
          <w:lang w:val="fr-CA"/>
        </w:rPr>
        <w:t>;</w:t>
      </w:r>
    </w:p>
    <w:p w14:paraId="229E68B1" w14:textId="551DF5CE" w:rsidR="000308BF" w:rsidRPr="001F51EF" w:rsidRDefault="000308BF" w:rsidP="000308BF">
      <w:pPr>
        <w:pStyle w:val="ListParagraph"/>
        <w:ind w:left="0" w:firstLine="720"/>
        <w:contextualSpacing w:val="0"/>
        <w:rPr>
          <w:snapToGrid w:val="0"/>
          <w:szCs w:val="22"/>
          <w:lang w:val="fr-CA"/>
        </w:rPr>
      </w:pPr>
      <w:r w:rsidRPr="001F51EF">
        <w:rPr>
          <w:snapToGrid w:val="0"/>
          <w:kern w:val="22"/>
          <w:szCs w:val="22"/>
          <w:lang w:val="fr-CA"/>
        </w:rPr>
        <w:t>g)</w:t>
      </w:r>
      <w:r w:rsidRPr="001F51EF">
        <w:rPr>
          <w:snapToGrid w:val="0"/>
          <w:kern w:val="22"/>
          <w:szCs w:val="22"/>
          <w:lang w:val="fr-CA"/>
        </w:rPr>
        <w:tab/>
        <w:t xml:space="preserve">Assurer la participation pleine et effective des peuples autochtones et des communautés locales aux discussions et aux travaux sur l'évaluation des risques dans le </w:t>
      </w:r>
      <w:r w:rsidR="00227A2A">
        <w:rPr>
          <w:snapToGrid w:val="0"/>
          <w:kern w:val="22"/>
          <w:szCs w:val="22"/>
          <w:lang w:val="fr-CA"/>
        </w:rPr>
        <w:t>cadre du Protocole de Cartagena</w:t>
      </w:r>
      <w:r w:rsidRPr="001F51EF">
        <w:rPr>
          <w:snapToGrid w:val="0"/>
          <w:kern w:val="22"/>
          <w:szCs w:val="22"/>
          <w:lang w:val="fr-CA"/>
        </w:rPr>
        <w:t>;</w:t>
      </w:r>
    </w:p>
    <w:p w14:paraId="32230C1E" w14:textId="06FF8CEC" w:rsidR="000308BF" w:rsidRPr="001F51EF" w:rsidRDefault="00886CF1" w:rsidP="000308BF">
      <w:pPr>
        <w:pStyle w:val="Para1"/>
        <w:numPr>
          <w:ilvl w:val="0"/>
          <w:numId w:val="0"/>
        </w:numPr>
        <w:suppressLineNumbers/>
        <w:suppressAutoHyphens/>
        <w:ind w:firstLine="720"/>
        <w:rPr>
          <w:kern w:val="22"/>
          <w:szCs w:val="22"/>
          <w:lang w:val="fr-CA"/>
        </w:rPr>
      </w:pPr>
      <w:r>
        <w:rPr>
          <w:kern w:val="22"/>
          <w:szCs w:val="22"/>
          <w:lang w:val="fr-CA"/>
        </w:rPr>
        <w:t>h)</w:t>
      </w:r>
      <w:r>
        <w:rPr>
          <w:kern w:val="22"/>
          <w:szCs w:val="22"/>
          <w:lang w:val="fr-CA"/>
        </w:rPr>
        <w:tab/>
        <w:t>Étudie</w:t>
      </w:r>
      <w:r w:rsidR="000308BF" w:rsidRPr="001F51EF">
        <w:rPr>
          <w:kern w:val="22"/>
          <w:szCs w:val="22"/>
          <w:lang w:val="fr-CA"/>
        </w:rPr>
        <w:t>r les moyens de faciliter et de soutenir le renforcement des capacités, le partage des connaissances et le transfert de technologies concernant l'évaluation</w:t>
      </w:r>
      <w:r>
        <w:rPr>
          <w:kern w:val="22"/>
          <w:szCs w:val="22"/>
          <w:lang w:val="fr-CA"/>
        </w:rPr>
        <w:t xml:space="preserve"> des risques</w:t>
      </w:r>
      <w:r w:rsidR="000308BF" w:rsidRPr="001F51EF">
        <w:rPr>
          <w:kern w:val="22"/>
          <w:szCs w:val="22"/>
          <w:lang w:val="fr-CA"/>
        </w:rPr>
        <w:t xml:space="preserve"> et la gestion des risques liés </w:t>
      </w:r>
      <w:r>
        <w:rPr>
          <w:kern w:val="22"/>
          <w:szCs w:val="22"/>
          <w:lang w:val="fr-CA"/>
        </w:rPr>
        <w:t>aux organismes vivants modifiés</w:t>
      </w:r>
      <w:r w:rsidR="000308BF" w:rsidRPr="001F51EF">
        <w:rPr>
          <w:kern w:val="22"/>
          <w:szCs w:val="22"/>
          <w:lang w:val="fr-CA"/>
        </w:rPr>
        <w:t>;</w:t>
      </w:r>
    </w:p>
    <w:p w14:paraId="0594AF1F" w14:textId="39B4B6D1" w:rsidR="000308BF" w:rsidRPr="001F51EF" w:rsidRDefault="00227A2A" w:rsidP="000308BF">
      <w:pPr>
        <w:pStyle w:val="Para1"/>
        <w:numPr>
          <w:ilvl w:val="0"/>
          <w:numId w:val="0"/>
        </w:numPr>
        <w:suppressLineNumbers/>
        <w:suppressAutoHyphens/>
        <w:ind w:firstLine="720"/>
        <w:rPr>
          <w:kern w:val="22"/>
          <w:szCs w:val="22"/>
          <w:lang w:val="fr-CA"/>
        </w:rPr>
      </w:pPr>
      <w:r>
        <w:rPr>
          <w:kern w:val="22"/>
          <w:szCs w:val="22"/>
          <w:lang w:val="fr-CA"/>
        </w:rPr>
        <w:t>i)</w:t>
      </w:r>
      <w:r>
        <w:rPr>
          <w:kern w:val="22"/>
          <w:szCs w:val="22"/>
          <w:lang w:val="fr-CA"/>
        </w:rPr>
        <w:tab/>
        <w:t>Créer</w:t>
      </w:r>
      <w:r w:rsidR="000308BF" w:rsidRPr="001F51EF">
        <w:rPr>
          <w:kern w:val="22"/>
          <w:szCs w:val="22"/>
          <w:lang w:val="fr-CA"/>
        </w:rPr>
        <w:t xml:space="preserve"> des pages Web dédiées dans le Centre d'échange pour la prévention des risques biotechnologiques afin de faciliter l'accès et de sensibiliser aux informations disponibles qui sont pertinentes p</w:t>
      </w:r>
      <w:r w:rsidR="00886CF1">
        <w:rPr>
          <w:kern w:val="22"/>
          <w:szCs w:val="22"/>
          <w:lang w:val="fr-CA"/>
        </w:rPr>
        <w:t>our l'évaluation des risques liés aux</w:t>
      </w:r>
      <w:r w:rsidR="000308BF" w:rsidRPr="001F51EF">
        <w:rPr>
          <w:kern w:val="22"/>
          <w:szCs w:val="22"/>
          <w:lang w:val="fr-CA"/>
        </w:rPr>
        <w:t xml:space="preserve"> organismes vivants modifiés, y compris les poissons</w:t>
      </w:r>
      <w:r>
        <w:rPr>
          <w:kern w:val="22"/>
          <w:szCs w:val="22"/>
          <w:lang w:val="fr-CA"/>
        </w:rPr>
        <w:t xml:space="preserve"> vivants modifiés</w:t>
      </w:r>
      <w:r w:rsidR="000308BF" w:rsidRPr="001F51EF">
        <w:rPr>
          <w:kern w:val="22"/>
          <w:szCs w:val="22"/>
          <w:lang w:val="fr-CA"/>
        </w:rPr>
        <w:t xml:space="preserve"> </w:t>
      </w:r>
      <w:r w:rsidR="00886CF1">
        <w:rPr>
          <w:kern w:val="22"/>
          <w:szCs w:val="22"/>
          <w:lang w:val="fr-CA"/>
        </w:rPr>
        <w:t xml:space="preserve">et </w:t>
      </w:r>
      <w:r>
        <w:rPr>
          <w:kern w:val="22"/>
          <w:szCs w:val="22"/>
          <w:lang w:val="fr-CA"/>
        </w:rPr>
        <w:t xml:space="preserve">les </w:t>
      </w:r>
      <w:r w:rsidR="000308BF" w:rsidRPr="001F51EF">
        <w:rPr>
          <w:kern w:val="22"/>
          <w:szCs w:val="22"/>
          <w:lang w:val="fr-CA"/>
        </w:rPr>
        <w:t>organismes</w:t>
      </w:r>
      <w:r w:rsidR="00886CF1">
        <w:rPr>
          <w:kern w:val="22"/>
          <w:szCs w:val="22"/>
          <w:lang w:val="fr-CA"/>
        </w:rPr>
        <w:t xml:space="preserve"> </w:t>
      </w:r>
      <w:r w:rsidR="000308BF" w:rsidRPr="001F51EF">
        <w:rPr>
          <w:kern w:val="22"/>
          <w:szCs w:val="22"/>
          <w:lang w:val="fr-CA"/>
        </w:rPr>
        <w:t>issus du forçag</w:t>
      </w:r>
      <w:r w:rsidR="001B0DFB">
        <w:rPr>
          <w:kern w:val="22"/>
          <w:szCs w:val="22"/>
          <w:lang w:val="fr-CA"/>
        </w:rPr>
        <w:t>e génétique</w:t>
      </w:r>
      <w:r w:rsidR="000308BF" w:rsidRPr="001F51EF">
        <w:rPr>
          <w:kern w:val="22"/>
          <w:szCs w:val="22"/>
          <w:lang w:val="fr-CA"/>
        </w:rPr>
        <w:t>;</w:t>
      </w:r>
    </w:p>
    <w:p w14:paraId="340EF208" w14:textId="64D648B7" w:rsidR="000308BF" w:rsidRPr="001F51EF" w:rsidRDefault="000308BF" w:rsidP="000308BF">
      <w:pPr>
        <w:pStyle w:val="Para1"/>
        <w:numPr>
          <w:ilvl w:val="0"/>
          <w:numId w:val="0"/>
        </w:numPr>
        <w:suppressLineNumbers/>
        <w:suppressAutoHyphens/>
        <w:ind w:firstLine="720"/>
        <w:rPr>
          <w:kern w:val="22"/>
          <w:szCs w:val="22"/>
          <w:lang w:val="fr-CA"/>
        </w:rPr>
      </w:pPr>
      <w:r w:rsidRPr="001F51EF">
        <w:rPr>
          <w:kern w:val="22"/>
          <w:szCs w:val="22"/>
          <w:lang w:val="fr-CA"/>
        </w:rPr>
        <w:t>11.</w:t>
      </w:r>
      <w:r w:rsidRPr="001F51EF">
        <w:rPr>
          <w:kern w:val="22"/>
          <w:szCs w:val="22"/>
          <w:lang w:val="fr-CA"/>
        </w:rPr>
        <w:tab/>
      </w:r>
      <w:r w:rsidRPr="001F51EF">
        <w:rPr>
          <w:i/>
          <w:iCs/>
          <w:kern w:val="22"/>
          <w:szCs w:val="22"/>
          <w:lang w:val="fr-CA"/>
        </w:rPr>
        <w:t>Prie</w:t>
      </w:r>
      <w:r w:rsidRPr="001F51EF">
        <w:rPr>
          <w:kern w:val="22"/>
          <w:szCs w:val="22"/>
          <w:lang w:val="fr-CA"/>
        </w:rPr>
        <w:t xml:space="preserve"> l'Organe subsidiaire chargé de fournir des avis scientifiques, techni</w:t>
      </w:r>
      <w:r w:rsidR="001B0DFB">
        <w:rPr>
          <w:kern w:val="22"/>
          <w:szCs w:val="22"/>
          <w:lang w:val="fr-CA"/>
        </w:rPr>
        <w:t xml:space="preserve">ques et technologiques </w:t>
      </w:r>
      <w:r w:rsidRPr="001F51EF">
        <w:rPr>
          <w:kern w:val="22"/>
          <w:szCs w:val="22"/>
          <w:lang w:val="fr-CA"/>
        </w:rPr>
        <w:t>d'examiner les résultats du Groupe spécial d'experts techniques sur l'évaluation des risques</w:t>
      </w:r>
      <w:r w:rsidR="001B0DFB" w:rsidRPr="001B0DFB">
        <w:rPr>
          <w:kern w:val="22"/>
          <w:szCs w:val="22"/>
          <w:lang w:val="fr-CA"/>
        </w:rPr>
        <w:t xml:space="preserve"> </w:t>
      </w:r>
      <w:r w:rsidR="001B0DFB">
        <w:rPr>
          <w:kern w:val="22"/>
          <w:szCs w:val="22"/>
          <w:lang w:val="fr-CA"/>
        </w:rPr>
        <w:t xml:space="preserve">à </w:t>
      </w:r>
      <w:r w:rsidR="001B0DFB">
        <w:rPr>
          <w:kern w:val="22"/>
          <w:szCs w:val="22"/>
          <w:lang w:val="fr-CA"/>
        </w:rPr>
        <w:t>sa vingt-sixième réunion</w:t>
      </w:r>
      <w:r w:rsidR="00227A2A">
        <w:rPr>
          <w:kern w:val="22"/>
          <w:szCs w:val="22"/>
          <w:lang w:val="fr-CA"/>
        </w:rPr>
        <w:t>,</w:t>
      </w:r>
      <w:r w:rsidRPr="001F51EF">
        <w:rPr>
          <w:kern w:val="22"/>
          <w:szCs w:val="22"/>
          <w:lang w:val="fr-CA"/>
        </w:rPr>
        <w:t xml:space="preserve"> et de formuler une recommandation pour examen par la Conférence des Parties siégeant en tant que réunion des Parties au</w:t>
      </w:r>
      <w:r w:rsidR="001B0DFB">
        <w:rPr>
          <w:kern w:val="22"/>
          <w:szCs w:val="22"/>
          <w:lang w:val="fr-CA"/>
        </w:rPr>
        <w:t xml:space="preserve"> Protocole de Cartagena à sa onzième réunion</w:t>
      </w:r>
      <w:r w:rsidRPr="001F51EF">
        <w:rPr>
          <w:kern w:val="22"/>
          <w:szCs w:val="22"/>
          <w:lang w:val="fr-CA"/>
        </w:rPr>
        <w:t>;</w:t>
      </w:r>
    </w:p>
    <w:p w14:paraId="3C67F878" w14:textId="46227E0F" w:rsidR="000308BF" w:rsidRPr="001F51EF" w:rsidRDefault="000308BF" w:rsidP="000308BF">
      <w:pPr>
        <w:keepNext/>
        <w:suppressLineNumbers/>
        <w:suppressAutoHyphens/>
        <w:ind w:firstLine="720"/>
        <w:outlineLvl w:val="0"/>
        <w:rPr>
          <w:snapToGrid w:val="0"/>
          <w:kern w:val="22"/>
          <w:szCs w:val="22"/>
          <w:lang w:val="fr-CA"/>
        </w:rPr>
      </w:pPr>
      <w:r w:rsidRPr="001F51EF">
        <w:rPr>
          <w:snapToGrid w:val="0"/>
          <w:kern w:val="22"/>
          <w:szCs w:val="22"/>
          <w:lang w:val="fr-CA"/>
        </w:rPr>
        <w:t>12.</w:t>
      </w:r>
      <w:r w:rsidRPr="001F51EF">
        <w:rPr>
          <w:snapToGrid w:val="0"/>
          <w:kern w:val="22"/>
          <w:szCs w:val="22"/>
          <w:lang w:val="fr-CA"/>
        </w:rPr>
        <w:tab/>
      </w:r>
      <w:r w:rsidRPr="001F51EF">
        <w:rPr>
          <w:i/>
          <w:iCs/>
          <w:snapToGrid w:val="0"/>
          <w:kern w:val="22"/>
          <w:szCs w:val="22"/>
          <w:lang w:val="fr-CA"/>
        </w:rPr>
        <w:t>Décide</w:t>
      </w:r>
      <w:r w:rsidRPr="001F51EF">
        <w:rPr>
          <w:snapToGrid w:val="0"/>
          <w:kern w:val="22"/>
          <w:szCs w:val="22"/>
          <w:lang w:val="fr-CA"/>
        </w:rPr>
        <w:t xml:space="preserve"> d'exam</w:t>
      </w:r>
      <w:r w:rsidR="00227A2A">
        <w:rPr>
          <w:snapToGrid w:val="0"/>
          <w:kern w:val="22"/>
          <w:szCs w:val="22"/>
          <w:lang w:val="fr-CA"/>
        </w:rPr>
        <w:t xml:space="preserve">iner, à sa onzième réunion, d’autres questions </w:t>
      </w:r>
      <w:r w:rsidRPr="001F51EF">
        <w:rPr>
          <w:snapToGrid w:val="0"/>
          <w:kern w:val="22"/>
          <w:szCs w:val="22"/>
          <w:lang w:val="fr-CA"/>
        </w:rPr>
        <w:t>pour lesquelles des documents d'orientation sur l'évaluation des risques pourraient être nécessaires, conformément au processus d'identification et de hiérarchisa</w:t>
      </w:r>
      <w:r w:rsidR="00227A2A">
        <w:rPr>
          <w:snapToGrid w:val="0"/>
          <w:kern w:val="22"/>
          <w:szCs w:val="22"/>
          <w:lang w:val="fr-CA"/>
        </w:rPr>
        <w:t>tion des</w:t>
      </w:r>
      <w:r w:rsidR="001B0DFB">
        <w:rPr>
          <w:snapToGrid w:val="0"/>
          <w:kern w:val="22"/>
          <w:szCs w:val="22"/>
          <w:lang w:val="fr-CA"/>
        </w:rPr>
        <w:t xml:space="preserve"> questions spécifiques de</w:t>
      </w:r>
      <w:r w:rsidRPr="001F51EF">
        <w:rPr>
          <w:snapToGrid w:val="0"/>
          <w:kern w:val="22"/>
          <w:szCs w:val="22"/>
          <w:lang w:val="fr-CA"/>
        </w:rPr>
        <w:t xml:space="preserve"> l'évaluation des risques liés aux or</w:t>
      </w:r>
      <w:r w:rsidR="001B0DFB">
        <w:rPr>
          <w:snapToGrid w:val="0"/>
          <w:kern w:val="22"/>
          <w:szCs w:val="22"/>
          <w:lang w:val="fr-CA"/>
        </w:rPr>
        <w:t>ganismes vivants modifiés</w:t>
      </w:r>
      <w:r w:rsidR="00227A2A">
        <w:rPr>
          <w:snapToGrid w:val="0"/>
          <w:kern w:val="22"/>
          <w:szCs w:val="22"/>
          <w:lang w:val="fr-CA"/>
        </w:rPr>
        <w:t xml:space="preserve"> établi</w:t>
      </w:r>
      <w:r w:rsidRPr="001F51EF">
        <w:rPr>
          <w:snapToGrid w:val="0"/>
          <w:kern w:val="22"/>
          <w:szCs w:val="22"/>
          <w:lang w:val="fr-CA"/>
        </w:rPr>
        <w:t xml:space="preserve"> dans la décision CP-9/13, en tenant compte des priorités identifiées par les Parties</w:t>
      </w:r>
      <w:r w:rsidR="00227A2A">
        <w:rPr>
          <w:snapToGrid w:val="0"/>
          <w:kern w:val="22"/>
          <w:szCs w:val="22"/>
          <w:lang w:val="fr-CA"/>
        </w:rPr>
        <w:t xml:space="preserve"> conformément au</w:t>
      </w:r>
      <w:r w:rsidRPr="001F51EF">
        <w:rPr>
          <w:snapToGrid w:val="0"/>
          <w:kern w:val="22"/>
          <w:szCs w:val="22"/>
          <w:lang w:val="fr-CA"/>
        </w:rPr>
        <w:t xml:space="preserve"> paragraphe 8 ci-dessus et du rapport du Groupe spécial d'experts technique</w:t>
      </w:r>
      <w:r w:rsidR="00227A2A">
        <w:rPr>
          <w:snapToGrid w:val="0"/>
          <w:kern w:val="22"/>
          <w:szCs w:val="22"/>
          <w:lang w:val="fr-CA"/>
        </w:rPr>
        <w:t>s prévu</w:t>
      </w:r>
      <w:r>
        <w:rPr>
          <w:snapToGrid w:val="0"/>
          <w:kern w:val="22"/>
          <w:szCs w:val="22"/>
          <w:lang w:val="fr-CA"/>
        </w:rPr>
        <w:t xml:space="preserve"> au paragraphe 1 e</w:t>
      </w:r>
      <w:r w:rsidRPr="001F51EF">
        <w:rPr>
          <w:snapToGrid w:val="0"/>
          <w:kern w:val="22"/>
          <w:szCs w:val="22"/>
          <w:lang w:val="fr-CA"/>
        </w:rPr>
        <w:t>) de son mandat.</w:t>
      </w:r>
    </w:p>
    <w:p w14:paraId="6736C05A" w14:textId="77777777" w:rsidR="001B0DFB" w:rsidRPr="00227A2A" w:rsidRDefault="001B0DFB">
      <w:pPr>
        <w:jc w:val="left"/>
        <w:rPr>
          <w:iCs/>
          <w:snapToGrid w:val="0"/>
          <w:kern w:val="22"/>
          <w:szCs w:val="22"/>
          <w:lang w:val="fr-CA"/>
        </w:rPr>
      </w:pPr>
      <w:r>
        <w:rPr>
          <w:i/>
          <w:iCs/>
          <w:snapToGrid w:val="0"/>
          <w:kern w:val="22"/>
          <w:szCs w:val="22"/>
          <w:lang w:val="fr-CA"/>
        </w:rPr>
        <w:br w:type="page"/>
      </w:r>
    </w:p>
    <w:p w14:paraId="7BB3EC15" w14:textId="2D13AF3F" w:rsidR="000308BF" w:rsidRPr="001F51EF" w:rsidRDefault="000308BF" w:rsidP="000308BF">
      <w:pPr>
        <w:pStyle w:val="ListParagraph"/>
        <w:keepNext/>
        <w:suppressLineNumbers/>
        <w:suppressAutoHyphens/>
        <w:spacing w:before="240"/>
        <w:ind w:left="0"/>
        <w:jc w:val="center"/>
        <w:outlineLvl w:val="0"/>
        <w:rPr>
          <w:i/>
          <w:iCs/>
          <w:snapToGrid w:val="0"/>
          <w:kern w:val="22"/>
          <w:szCs w:val="22"/>
          <w:lang w:val="fr-CA"/>
        </w:rPr>
      </w:pPr>
      <w:r w:rsidRPr="001F51EF">
        <w:rPr>
          <w:i/>
          <w:iCs/>
          <w:snapToGrid w:val="0"/>
          <w:kern w:val="22"/>
          <w:szCs w:val="22"/>
          <w:lang w:val="fr-CA"/>
        </w:rPr>
        <w:lastRenderedPageBreak/>
        <w:t>Annexe</w:t>
      </w:r>
    </w:p>
    <w:p w14:paraId="4074CF53" w14:textId="77777777" w:rsidR="000308BF" w:rsidRPr="001F51EF" w:rsidRDefault="000308BF" w:rsidP="001B0DFB">
      <w:pPr>
        <w:pStyle w:val="Heading1"/>
        <w:suppressLineNumbers/>
        <w:tabs>
          <w:tab w:val="clear" w:pos="720"/>
        </w:tabs>
        <w:suppressAutoHyphens/>
        <w:spacing w:before="120" w:after="240"/>
        <w:rPr>
          <w:kern w:val="22"/>
          <w:szCs w:val="22"/>
          <w:lang w:val="fr-CA"/>
        </w:rPr>
      </w:pPr>
      <w:r w:rsidRPr="001F51EF">
        <w:rPr>
          <w:kern w:val="22"/>
          <w:szCs w:val="22"/>
          <w:lang w:val="fr-CA"/>
        </w:rPr>
        <w:t>Mandat du Groupe spécial d'experts techniques sur l'évaluation des risques</w:t>
      </w:r>
    </w:p>
    <w:p w14:paraId="5C4279FE" w14:textId="77777777" w:rsidR="000308BF" w:rsidRPr="001F51EF" w:rsidRDefault="000308BF" w:rsidP="000308BF">
      <w:pPr>
        <w:pStyle w:val="Para1"/>
        <w:keepNext/>
        <w:numPr>
          <w:ilvl w:val="0"/>
          <w:numId w:val="0"/>
        </w:numPr>
        <w:suppressLineNumbers/>
        <w:suppressAutoHyphens/>
        <w:rPr>
          <w:kern w:val="22"/>
          <w:szCs w:val="22"/>
          <w:lang w:val="fr-CA"/>
        </w:rPr>
      </w:pPr>
      <w:r w:rsidRPr="001F51EF">
        <w:rPr>
          <w:kern w:val="22"/>
          <w:szCs w:val="22"/>
          <w:lang w:val="fr-CA"/>
        </w:rPr>
        <w:t>1.</w:t>
      </w:r>
      <w:r w:rsidRPr="001F51EF">
        <w:rPr>
          <w:kern w:val="22"/>
          <w:szCs w:val="22"/>
          <w:lang w:val="fr-CA"/>
        </w:rPr>
        <w:tab/>
        <w:t>Le Groupe spécial d'experts techniques (Groupe) sur l'évaluation des risques, doit :</w:t>
      </w:r>
    </w:p>
    <w:p w14:paraId="7D4EF31D" w14:textId="752BAA0B" w:rsidR="000308BF" w:rsidRPr="001F51EF" w:rsidRDefault="000308BF" w:rsidP="000308BF">
      <w:pPr>
        <w:pStyle w:val="ListParagraph"/>
        <w:keepNext/>
        <w:numPr>
          <w:ilvl w:val="0"/>
          <w:numId w:val="20"/>
        </w:numPr>
        <w:suppressLineNumbers/>
        <w:suppressAutoHyphens/>
        <w:spacing w:before="120" w:after="120"/>
        <w:ind w:left="0" w:firstLine="720"/>
        <w:rPr>
          <w:kern w:val="22"/>
          <w:szCs w:val="22"/>
          <w:lang w:val="fr-CA"/>
        </w:rPr>
      </w:pPr>
      <w:r w:rsidRPr="001F51EF">
        <w:rPr>
          <w:kern w:val="22"/>
          <w:szCs w:val="22"/>
          <w:lang w:val="fr-CA"/>
        </w:rPr>
        <w:t>Être composé d'experts sélect</w:t>
      </w:r>
      <w:r w:rsidR="001B0DFB">
        <w:rPr>
          <w:kern w:val="22"/>
          <w:szCs w:val="22"/>
          <w:lang w:val="fr-CA"/>
        </w:rPr>
        <w:t>ionnés conformément à la partie</w:t>
      </w:r>
      <w:r w:rsidRPr="001F51EF">
        <w:rPr>
          <w:kern w:val="22"/>
          <w:szCs w:val="22"/>
          <w:lang w:val="fr-CA"/>
        </w:rPr>
        <w:t xml:space="preserve"> H du mode de fonctionnement consolidé de l'Organe subsidiaire chargé de fournir des avis scientifiques, techniques et technologiques, en veillant à ce que des compétences scientifiques et techniques spécifiques soient disponibles en ce qui concerne les organismes issus du forçage génétique et leurs impacts potentiels sur la biodiversité, ainsi que les questions relevant du mandat du Groupe, en incluant des experts des organisations internationales </w:t>
      </w:r>
      <w:r w:rsidR="001B0DFB">
        <w:rPr>
          <w:kern w:val="22"/>
          <w:szCs w:val="22"/>
          <w:lang w:val="fr-CA"/>
        </w:rPr>
        <w:t>compétentes</w:t>
      </w:r>
      <w:r w:rsidRPr="0050190F">
        <w:rPr>
          <w:vertAlign w:val="superscript"/>
        </w:rPr>
        <w:footnoteReference w:id="4"/>
      </w:r>
      <w:r w:rsidRPr="001F51EF">
        <w:rPr>
          <w:kern w:val="22"/>
          <w:szCs w:val="22"/>
          <w:lang w:val="fr-CA"/>
        </w:rPr>
        <w:t>, ainsi que des peuples autochtones et des communautés locales, et en appliquant la décision 14/33 sur la procédure permettant d'éviter ou de gé</w:t>
      </w:r>
      <w:r w:rsidR="001B0DFB">
        <w:rPr>
          <w:kern w:val="22"/>
          <w:szCs w:val="22"/>
          <w:lang w:val="fr-CA"/>
        </w:rPr>
        <w:t>rer les conflits d'intérêts au sein des groupes d'experts</w:t>
      </w:r>
      <w:r w:rsidRPr="001F51EF">
        <w:rPr>
          <w:kern w:val="22"/>
          <w:szCs w:val="22"/>
          <w:lang w:val="fr-CA"/>
        </w:rPr>
        <w:t>;</w:t>
      </w:r>
    </w:p>
    <w:p w14:paraId="58D1AAAD" w14:textId="5B7E03F3" w:rsidR="000308BF" w:rsidRPr="00E70A17" w:rsidRDefault="000308BF" w:rsidP="000308BF">
      <w:pPr>
        <w:suppressLineNumbers/>
        <w:suppressAutoHyphens/>
        <w:spacing w:before="120" w:after="120"/>
        <w:ind w:firstLine="720"/>
        <w:rPr>
          <w:szCs w:val="22"/>
          <w:lang w:val="fr-CA"/>
        </w:rPr>
      </w:pPr>
      <w:r>
        <w:rPr>
          <w:szCs w:val="22"/>
          <w:lang w:val="fr-CA"/>
        </w:rPr>
        <w:t>b)</w:t>
      </w:r>
      <w:r>
        <w:rPr>
          <w:szCs w:val="22"/>
          <w:lang w:val="fr-CA"/>
        </w:rPr>
        <w:tab/>
      </w:r>
      <w:r w:rsidR="001B0DFB">
        <w:rPr>
          <w:szCs w:val="22"/>
          <w:lang w:val="fr-CA"/>
        </w:rPr>
        <w:t>Se réunir deux fois, dans la limite des ressources disponibles</w:t>
      </w:r>
      <w:r w:rsidRPr="00E70A17">
        <w:rPr>
          <w:szCs w:val="22"/>
          <w:lang w:val="fr-CA"/>
        </w:rPr>
        <w:t xml:space="preserve"> et avant la</w:t>
      </w:r>
      <w:r w:rsidR="001B0DFB">
        <w:rPr>
          <w:szCs w:val="22"/>
          <w:lang w:val="fr-CA"/>
        </w:rPr>
        <w:t xml:space="preserve"> tenue de la</w:t>
      </w:r>
      <w:r w:rsidRPr="00E70A17">
        <w:rPr>
          <w:szCs w:val="22"/>
          <w:lang w:val="fr-CA"/>
        </w:rPr>
        <w:t xml:space="preserve"> onzième réunion de la Conférence des Parties siégeant en tant que réunion des Parties au Protocole de Cartagena sur la prévention des risques b</w:t>
      </w:r>
      <w:r w:rsidR="001B0DFB">
        <w:rPr>
          <w:szCs w:val="22"/>
          <w:lang w:val="fr-CA"/>
        </w:rPr>
        <w:t>io</w:t>
      </w:r>
      <w:r w:rsidR="00CD7384">
        <w:rPr>
          <w:szCs w:val="22"/>
          <w:lang w:val="fr-CA"/>
        </w:rPr>
        <w:t>technologiques, en faisant en sorte</w:t>
      </w:r>
      <w:r w:rsidR="001B0DFB">
        <w:rPr>
          <w:szCs w:val="22"/>
          <w:lang w:val="fr-CA"/>
        </w:rPr>
        <w:t xml:space="preserve"> qu’une de ces deux réunions au moins soit une </w:t>
      </w:r>
      <w:r w:rsidRPr="00E70A17">
        <w:rPr>
          <w:szCs w:val="22"/>
          <w:lang w:val="fr-CA"/>
        </w:rPr>
        <w:t>réun</w:t>
      </w:r>
      <w:r w:rsidR="001B0DFB">
        <w:rPr>
          <w:szCs w:val="22"/>
          <w:lang w:val="fr-CA"/>
        </w:rPr>
        <w:t>ion en personne</w:t>
      </w:r>
      <w:r w:rsidRPr="00E70A17">
        <w:rPr>
          <w:szCs w:val="22"/>
          <w:lang w:val="fr-CA"/>
        </w:rPr>
        <w:t xml:space="preserve">, et effectuer les tâches nécessaires entre ses deux réunions en s'appuyant sur des moyens </w:t>
      </w:r>
      <w:r w:rsidR="001B0DFB">
        <w:rPr>
          <w:szCs w:val="22"/>
          <w:lang w:val="fr-CA"/>
        </w:rPr>
        <w:t>de communication et de participation</w:t>
      </w:r>
      <w:r w:rsidRPr="00E70A17">
        <w:rPr>
          <w:szCs w:val="22"/>
          <w:lang w:val="fr-CA"/>
        </w:rPr>
        <w:t xml:space="preserve"> en lign</w:t>
      </w:r>
      <w:r w:rsidR="001B0DFB">
        <w:rPr>
          <w:szCs w:val="22"/>
          <w:lang w:val="fr-CA"/>
        </w:rPr>
        <w:t>e</w:t>
      </w:r>
      <w:r w:rsidRPr="00E70A17">
        <w:rPr>
          <w:szCs w:val="22"/>
          <w:lang w:val="fr-CA"/>
        </w:rPr>
        <w:t>;</w:t>
      </w:r>
    </w:p>
    <w:p w14:paraId="7078055E" w14:textId="63634A06" w:rsidR="004B33AA" w:rsidRPr="004B33AA" w:rsidRDefault="000308BF" w:rsidP="00D9362C">
      <w:pPr>
        <w:pStyle w:val="ListParagraph"/>
        <w:numPr>
          <w:ilvl w:val="0"/>
          <w:numId w:val="21"/>
        </w:numPr>
        <w:suppressLineNumbers/>
        <w:suppressAutoHyphens/>
        <w:spacing w:before="120" w:after="120"/>
        <w:ind w:left="0" w:firstLine="709"/>
        <w:rPr>
          <w:kern w:val="22"/>
          <w:szCs w:val="22"/>
          <w:lang w:val="fr-CA"/>
        </w:rPr>
      </w:pPr>
      <w:r w:rsidRPr="001F51EF">
        <w:rPr>
          <w:szCs w:val="22"/>
          <w:lang w:val="fr-CA"/>
        </w:rPr>
        <w:t>Élaborer des do</w:t>
      </w:r>
      <w:r w:rsidR="004B33AA">
        <w:rPr>
          <w:szCs w:val="22"/>
          <w:lang w:val="fr-CA"/>
        </w:rPr>
        <w:t>cuments d'orientations facultative</w:t>
      </w:r>
      <w:r w:rsidRPr="001F51EF">
        <w:rPr>
          <w:szCs w:val="22"/>
          <w:lang w:val="fr-CA"/>
        </w:rPr>
        <w:t>s supplémentaires pour la réalisation d'évaluations des risques au cas par cas des organismes vivants modif</w:t>
      </w:r>
      <w:r w:rsidR="004B33AA">
        <w:rPr>
          <w:szCs w:val="22"/>
          <w:lang w:val="fr-CA"/>
        </w:rPr>
        <w:t>iés issus du forçage génétique</w:t>
      </w:r>
      <w:r w:rsidRPr="001F51EF">
        <w:rPr>
          <w:szCs w:val="22"/>
          <w:lang w:val="fr-CA"/>
        </w:rPr>
        <w:t xml:space="preserve">, conformément à l'annexe III du Protocole. Ce matériel devrait être axé sur les </w:t>
      </w:r>
      <w:r w:rsidR="004B33AA">
        <w:rPr>
          <w:szCs w:val="22"/>
          <w:lang w:val="fr-CA"/>
        </w:rPr>
        <w:t>moustiques issus du forçage</w:t>
      </w:r>
      <w:r w:rsidRPr="001F51EF">
        <w:rPr>
          <w:szCs w:val="22"/>
          <w:lang w:val="fr-CA"/>
        </w:rPr>
        <w:t xml:space="preserve"> génétique</w:t>
      </w:r>
      <w:r w:rsidR="00CD7384">
        <w:rPr>
          <w:szCs w:val="22"/>
          <w:lang w:val="fr-CA"/>
        </w:rPr>
        <w:t>,</w:t>
      </w:r>
      <w:r w:rsidRPr="001F51EF">
        <w:rPr>
          <w:szCs w:val="22"/>
          <w:lang w:val="fr-CA"/>
        </w:rPr>
        <w:t xml:space="preserve"> en tenant compte </w:t>
      </w:r>
      <w:r w:rsidR="00CD7384">
        <w:rPr>
          <w:szCs w:val="22"/>
          <w:lang w:val="fr-CA"/>
        </w:rPr>
        <w:t>de l'expérience acquise sur</w:t>
      </w:r>
      <w:r w:rsidR="004B33AA">
        <w:rPr>
          <w:szCs w:val="22"/>
          <w:lang w:val="fr-CA"/>
        </w:rPr>
        <w:t xml:space="preserve"> cet organisme, du type de forçage génétique et de</w:t>
      </w:r>
      <w:r w:rsidRPr="001F51EF">
        <w:rPr>
          <w:szCs w:val="22"/>
          <w:lang w:val="fr-CA"/>
        </w:rPr>
        <w:t xml:space="preserve"> questions spécifiques de l'évalu</w:t>
      </w:r>
      <w:r w:rsidR="00CD7384">
        <w:rPr>
          <w:szCs w:val="22"/>
          <w:lang w:val="fr-CA"/>
        </w:rPr>
        <w:t>ation des risques, tel qu’indiqué</w:t>
      </w:r>
      <w:r w:rsidR="004B33AA">
        <w:rPr>
          <w:szCs w:val="22"/>
          <w:lang w:val="fr-CA"/>
        </w:rPr>
        <w:t xml:space="preserve"> dans l'annexe I à</w:t>
      </w:r>
      <w:r w:rsidRPr="001F51EF">
        <w:rPr>
          <w:szCs w:val="22"/>
          <w:lang w:val="fr-CA"/>
        </w:rPr>
        <w:t xml:space="preserve"> la décision CP-9/13, y compris les rapports existants</w:t>
      </w:r>
      <w:r w:rsidRPr="0050190F">
        <w:rPr>
          <w:rStyle w:val="FootnoteReference"/>
          <w:szCs w:val="22"/>
        </w:rPr>
        <w:footnoteReference w:id="5"/>
      </w:r>
      <w:r w:rsidRPr="001F51EF">
        <w:rPr>
          <w:szCs w:val="22"/>
          <w:lang w:val="fr-CA"/>
        </w:rPr>
        <w:t xml:space="preserve">, </w:t>
      </w:r>
      <w:r w:rsidR="004B33AA">
        <w:rPr>
          <w:szCs w:val="22"/>
          <w:lang w:val="fr-CA"/>
        </w:rPr>
        <w:t>les con</w:t>
      </w:r>
      <w:r w:rsidR="00CD7384">
        <w:rPr>
          <w:szCs w:val="22"/>
          <w:lang w:val="fr-CA"/>
        </w:rPr>
        <w:t>sidérations générales sur</w:t>
      </w:r>
      <w:r w:rsidRPr="001F51EF">
        <w:rPr>
          <w:szCs w:val="22"/>
          <w:lang w:val="fr-CA"/>
        </w:rPr>
        <w:t xml:space="preserve"> les organismes viva</w:t>
      </w:r>
      <w:r w:rsidR="004B33AA">
        <w:rPr>
          <w:szCs w:val="22"/>
          <w:lang w:val="fr-CA"/>
        </w:rPr>
        <w:t>nts modifiés issus du forçage génétique</w:t>
      </w:r>
      <w:r w:rsidRPr="001F51EF">
        <w:rPr>
          <w:szCs w:val="22"/>
          <w:lang w:val="fr-CA"/>
        </w:rPr>
        <w:t xml:space="preserve"> et les expériences nationales et régionales existantes en m</w:t>
      </w:r>
      <w:r w:rsidR="004B33AA">
        <w:rPr>
          <w:szCs w:val="22"/>
          <w:lang w:val="fr-CA"/>
        </w:rPr>
        <w:t>atière d'évaluation des risques;</w:t>
      </w:r>
    </w:p>
    <w:p w14:paraId="770F0B46" w14:textId="77777777" w:rsidR="004B33AA" w:rsidRDefault="004B33AA" w:rsidP="004B33AA">
      <w:pPr>
        <w:pStyle w:val="ListParagraph"/>
        <w:suppressLineNumbers/>
        <w:suppressAutoHyphens/>
        <w:spacing w:before="120" w:after="120"/>
        <w:ind w:left="851"/>
        <w:rPr>
          <w:kern w:val="22"/>
          <w:szCs w:val="22"/>
          <w:lang w:val="fr-CA"/>
        </w:rPr>
      </w:pPr>
    </w:p>
    <w:p w14:paraId="1887C52E" w14:textId="109BF086" w:rsidR="000308BF" w:rsidRPr="001F51EF" w:rsidRDefault="000308BF" w:rsidP="00D9362C">
      <w:pPr>
        <w:pStyle w:val="ListParagraph"/>
        <w:numPr>
          <w:ilvl w:val="0"/>
          <w:numId w:val="21"/>
        </w:numPr>
        <w:suppressLineNumbers/>
        <w:suppressAutoHyphens/>
        <w:spacing w:before="120" w:after="120"/>
        <w:ind w:left="0" w:firstLine="709"/>
        <w:rPr>
          <w:kern w:val="22"/>
          <w:szCs w:val="22"/>
          <w:lang w:val="fr-CA"/>
        </w:rPr>
      </w:pPr>
      <w:r w:rsidRPr="001F51EF">
        <w:rPr>
          <w:kern w:val="22"/>
          <w:szCs w:val="22"/>
          <w:lang w:val="fr-CA"/>
        </w:rPr>
        <w:t>Analyser les</w:t>
      </w:r>
      <w:r w:rsidR="004B33AA">
        <w:rPr>
          <w:kern w:val="22"/>
          <w:szCs w:val="22"/>
          <w:lang w:val="fr-CA"/>
        </w:rPr>
        <w:t xml:space="preserve"> informations communiquées</w:t>
      </w:r>
      <w:r w:rsidRPr="001F51EF">
        <w:rPr>
          <w:kern w:val="22"/>
          <w:szCs w:val="22"/>
          <w:lang w:val="fr-CA"/>
        </w:rPr>
        <w:t xml:space="preserve"> par les Parties conformément au paragraphe 8 </w:t>
      </w:r>
      <w:r w:rsidR="004B33AA">
        <w:rPr>
          <w:kern w:val="22"/>
          <w:szCs w:val="22"/>
          <w:lang w:val="fr-CA"/>
        </w:rPr>
        <w:t xml:space="preserve">de la décision CP-10/10 </w:t>
      </w:r>
      <w:r w:rsidRPr="001F51EF">
        <w:rPr>
          <w:kern w:val="22"/>
          <w:szCs w:val="22"/>
          <w:lang w:val="fr-CA"/>
        </w:rPr>
        <w:t xml:space="preserve">et, sur cette base, préparer une </w:t>
      </w:r>
      <w:r w:rsidR="004B33AA">
        <w:rPr>
          <w:kern w:val="22"/>
          <w:szCs w:val="22"/>
          <w:lang w:val="fr-CA"/>
        </w:rPr>
        <w:t>liste de sujets prioritaires pour</w:t>
      </w:r>
      <w:r w:rsidRPr="001F51EF">
        <w:rPr>
          <w:kern w:val="22"/>
          <w:szCs w:val="22"/>
          <w:lang w:val="fr-CA"/>
        </w:rPr>
        <w:t xml:space="preserve"> lesquels des documents d'</w:t>
      </w:r>
      <w:r w:rsidR="00EE0F9B">
        <w:rPr>
          <w:kern w:val="22"/>
          <w:szCs w:val="22"/>
          <w:lang w:val="fr-CA"/>
        </w:rPr>
        <w:t>orientation supplémentaires</w:t>
      </w:r>
      <w:r w:rsidRPr="001F51EF">
        <w:rPr>
          <w:kern w:val="22"/>
          <w:szCs w:val="22"/>
          <w:lang w:val="fr-CA"/>
        </w:rPr>
        <w:t xml:space="preserve"> sur l'évaluation des risques pourraient être nécessaires, conformémen</w:t>
      </w:r>
      <w:r w:rsidR="004B33AA">
        <w:rPr>
          <w:kern w:val="22"/>
          <w:szCs w:val="22"/>
          <w:lang w:val="fr-CA"/>
        </w:rPr>
        <w:t>t aux critères énoncés dans l'annexe I à la décision CP-9/13</w:t>
      </w:r>
      <w:r w:rsidRPr="001F51EF">
        <w:rPr>
          <w:kern w:val="22"/>
          <w:szCs w:val="22"/>
          <w:lang w:val="fr-CA"/>
        </w:rPr>
        <w:t>;</w:t>
      </w:r>
    </w:p>
    <w:p w14:paraId="659C3564" w14:textId="77777777" w:rsidR="004B33AA" w:rsidRDefault="004B33AA" w:rsidP="004B33AA">
      <w:pPr>
        <w:pStyle w:val="ListParagraph"/>
        <w:suppressLineNumbers/>
        <w:suppressAutoHyphens/>
        <w:spacing w:before="120" w:after="120"/>
        <w:ind w:left="851"/>
        <w:rPr>
          <w:kern w:val="22"/>
          <w:szCs w:val="22"/>
          <w:lang w:val="fr-CA"/>
        </w:rPr>
      </w:pPr>
    </w:p>
    <w:p w14:paraId="2BA429CA" w14:textId="0E36C91D" w:rsidR="000308BF" w:rsidRPr="001F51EF" w:rsidRDefault="004B33AA" w:rsidP="00D9362C">
      <w:pPr>
        <w:pStyle w:val="ListParagraph"/>
        <w:numPr>
          <w:ilvl w:val="0"/>
          <w:numId w:val="21"/>
        </w:numPr>
        <w:suppressLineNumbers/>
        <w:suppressAutoHyphens/>
        <w:spacing w:before="120" w:after="240"/>
        <w:ind w:left="0" w:firstLine="709"/>
        <w:rPr>
          <w:kern w:val="22"/>
          <w:szCs w:val="22"/>
          <w:lang w:val="fr-CA"/>
        </w:rPr>
      </w:pPr>
      <w:r>
        <w:rPr>
          <w:kern w:val="22"/>
          <w:szCs w:val="22"/>
          <w:lang w:val="fr-CA"/>
        </w:rPr>
        <w:t>Établi</w:t>
      </w:r>
      <w:r w:rsidR="000308BF" w:rsidRPr="001F51EF">
        <w:rPr>
          <w:kern w:val="22"/>
          <w:szCs w:val="22"/>
          <w:lang w:val="fr-CA"/>
        </w:rPr>
        <w:t>r un rapport, y compris un projet de documents d'orientations facultatives supplémentaires sur les organismes vivants modifiés issus du forçage génétique et une liste de sujets prioritaires, conf</w:t>
      </w:r>
      <w:r>
        <w:rPr>
          <w:kern w:val="22"/>
          <w:szCs w:val="22"/>
          <w:lang w:val="fr-CA"/>
        </w:rPr>
        <w:t>ormément au paragraphe d) ci-dessus, pour</w:t>
      </w:r>
      <w:r w:rsidR="000308BF" w:rsidRPr="001F51EF">
        <w:rPr>
          <w:kern w:val="22"/>
          <w:szCs w:val="22"/>
          <w:lang w:val="fr-CA"/>
        </w:rPr>
        <w:t xml:space="preserve"> lesquels des documents d'</w:t>
      </w:r>
      <w:r w:rsidR="00EE0F9B">
        <w:rPr>
          <w:kern w:val="22"/>
          <w:szCs w:val="22"/>
          <w:lang w:val="fr-CA"/>
        </w:rPr>
        <w:t>orientation supplémentaires</w:t>
      </w:r>
      <w:r w:rsidR="000308BF" w:rsidRPr="001F51EF">
        <w:rPr>
          <w:kern w:val="22"/>
          <w:szCs w:val="22"/>
          <w:lang w:val="fr-CA"/>
        </w:rPr>
        <w:t xml:space="preserve"> sur l'évaluation des risques po</w:t>
      </w:r>
      <w:r>
        <w:rPr>
          <w:kern w:val="22"/>
          <w:szCs w:val="22"/>
          <w:lang w:val="fr-CA"/>
        </w:rPr>
        <w:t>urraient être nécessaires, aux fins d’</w:t>
      </w:r>
      <w:r w:rsidR="000308BF" w:rsidRPr="001F51EF">
        <w:rPr>
          <w:kern w:val="22"/>
          <w:szCs w:val="22"/>
          <w:lang w:val="fr-CA"/>
        </w:rPr>
        <w:t>examen par l'Organe subsidiaire chargé de fournir des avis scientifiques, techniques et technologiq</w:t>
      </w:r>
      <w:r>
        <w:rPr>
          <w:kern w:val="22"/>
          <w:szCs w:val="22"/>
          <w:lang w:val="fr-CA"/>
        </w:rPr>
        <w:t>ues</w:t>
      </w:r>
      <w:r w:rsidR="000308BF" w:rsidRPr="001F51EF">
        <w:rPr>
          <w:kern w:val="22"/>
          <w:szCs w:val="22"/>
          <w:lang w:val="fr-CA"/>
        </w:rPr>
        <w:t>;</w:t>
      </w:r>
    </w:p>
    <w:p w14:paraId="3617A935" w14:textId="7A2BC358" w:rsidR="0079707D" w:rsidRDefault="000308BF" w:rsidP="0079707D">
      <w:pPr>
        <w:pStyle w:val="Para1"/>
        <w:numPr>
          <w:ilvl w:val="0"/>
          <w:numId w:val="0"/>
        </w:numPr>
        <w:rPr>
          <w:kern w:val="22"/>
          <w:szCs w:val="22"/>
          <w:lang w:val="fr-CA"/>
        </w:rPr>
      </w:pPr>
      <w:r w:rsidRPr="001F51EF">
        <w:rPr>
          <w:kern w:val="22"/>
          <w:szCs w:val="22"/>
          <w:lang w:val="fr-CA"/>
        </w:rPr>
        <w:t>2.</w:t>
      </w:r>
      <w:r w:rsidRPr="001F51EF">
        <w:rPr>
          <w:kern w:val="22"/>
          <w:szCs w:val="22"/>
          <w:lang w:val="fr-CA"/>
        </w:rPr>
        <w:tab/>
        <w:t>Dans le cadre de ses travaux, le Groupe tiendra compte de la synthèse des</w:t>
      </w:r>
      <w:r w:rsidR="003E2494">
        <w:rPr>
          <w:kern w:val="22"/>
          <w:szCs w:val="22"/>
          <w:lang w:val="fr-CA"/>
        </w:rPr>
        <w:t xml:space="preserve"> points de vue exprimés dans les</w:t>
      </w:r>
      <w:r w:rsidRPr="001F51EF">
        <w:rPr>
          <w:kern w:val="22"/>
          <w:szCs w:val="22"/>
          <w:lang w:val="fr-CA"/>
        </w:rPr>
        <w:t xml:space="preserve"> communic</w:t>
      </w:r>
      <w:r w:rsidR="003E2494">
        <w:rPr>
          <w:kern w:val="22"/>
          <w:szCs w:val="22"/>
          <w:lang w:val="fr-CA"/>
        </w:rPr>
        <w:t>ations et les discussions du</w:t>
      </w:r>
      <w:r w:rsidRPr="001F51EF">
        <w:rPr>
          <w:kern w:val="22"/>
          <w:szCs w:val="22"/>
          <w:lang w:val="fr-CA"/>
        </w:rPr>
        <w:t xml:space="preserve"> forum en ligne,</w:t>
      </w:r>
      <w:r w:rsidR="00626EA4" w:rsidRPr="00626EA4">
        <w:rPr>
          <w:kern w:val="22"/>
          <w:szCs w:val="22"/>
          <w:lang w:val="fr-CA"/>
        </w:rPr>
        <w:t xml:space="preserve"> </w:t>
      </w:r>
      <w:r w:rsidR="00626EA4">
        <w:rPr>
          <w:kern w:val="22"/>
          <w:szCs w:val="22"/>
          <w:lang w:val="fr-CA"/>
        </w:rPr>
        <w:t>préparée</w:t>
      </w:r>
      <w:r w:rsidR="00626EA4" w:rsidRPr="001F51EF">
        <w:rPr>
          <w:kern w:val="22"/>
          <w:szCs w:val="22"/>
          <w:lang w:val="fr-CA"/>
        </w:rPr>
        <w:t xml:space="preserve"> par la Secrétaire exécutive</w:t>
      </w:r>
      <w:r w:rsidR="00626EA4">
        <w:rPr>
          <w:kern w:val="22"/>
          <w:szCs w:val="22"/>
          <w:lang w:val="fr-CA"/>
        </w:rPr>
        <w:t>,</w:t>
      </w:r>
      <w:r w:rsidRPr="001F51EF">
        <w:rPr>
          <w:kern w:val="22"/>
          <w:szCs w:val="22"/>
          <w:lang w:val="fr-CA"/>
        </w:rPr>
        <w:t xml:space="preserve"> </w:t>
      </w:r>
      <w:r w:rsidR="00CD7384">
        <w:rPr>
          <w:kern w:val="22"/>
          <w:szCs w:val="22"/>
          <w:lang w:val="fr-CA"/>
        </w:rPr>
        <w:t xml:space="preserve">ainsi que </w:t>
      </w:r>
      <w:r w:rsidRPr="001F51EF">
        <w:rPr>
          <w:kern w:val="22"/>
          <w:szCs w:val="22"/>
          <w:lang w:val="fr-CA"/>
        </w:rPr>
        <w:t>des ressources e</w:t>
      </w:r>
      <w:r w:rsidR="00CD7384">
        <w:rPr>
          <w:kern w:val="22"/>
          <w:szCs w:val="22"/>
          <w:lang w:val="fr-CA"/>
        </w:rPr>
        <w:t>xistantes, y compris celles recensée</w:t>
      </w:r>
      <w:r w:rsidRPr="001F51EF">
        <w:rPr>
          <w:kern w:val="22"/>
          <w:szCs w:val="22"/>
          <w:lang w:val="fr-CA"/>
        </w:rPr>
        <w:t>s dans l'exercice d'inventaire de « l'étude sur l'évaluation des risque</w:t>
      </w:r>
      <w:r w:rsidR="00626EA4">
        <w:rPr>
          <w:kern w:val="22"/>
          <w:szCs w:val="22"/>
          <w:lang w:val="fr-CA"/>
        </w:rPr>
        <w:t>s : application de l'annexe I de</w:t>
      </w:r>
      <w:r w:rsidRPr="001F51EF">
        <w:rPr>
          <w:kern w:val="22"/>
          <w:szCs w:val="22"/>
          <w:lang w:val="fr-CA"/>
        </w:rPr>
        <w:t xml:space="preserve"> la décision CP-9/13 aux organismes vivants modifiés issus du forçage génétique</w:t>
      </w:r>
      <w:r w:rsidRPr="0050190F">
        <w:rPr>
          <w:rStyle w:val="FootnoteReference"/>
          <w:kern w:val="22"/>
          <w:szCs w:val="22"/>
        </w:rPr>
        <w:footnoteReference w:id="6"/>
      </w:r>
      <w:r w:rsidRPr="001F51EF">
        <w:rPr>
          <w:kern w:val="22"/>
          <w:szCs w:val="22"/>
          <w:lang w:val="fr-CA"/>
        </w:rPr>
        <w:t> », des documents d'orientation déjà disponibles, des décisions pertinentes sur l'évaluation</w:t>
      </w:r>
      <w:r w:rsidR="004B33AA">
        <w:rPr>
          <w:kern w:val="22"/>
          <w:szCs w:val="22"/>
          <w:lang w:val="fr-CA"/>
        </w:rPr>
        <w:t xml:space="preserve"> des risques</w:t>
      </w:r>
      <w:r w:rsidRPr="001F51EF">
        <w:rPr>
          <w:kern w:val="22"/>
          <w:szCs w:val="22"/>
          <w:lang w:val="fr-CA"/>
        </w:rPr>
        <w:t xml:space="preserve"> et la gestion </w:t>
      </w:r>
      <w:r w:rsidR="004B33AA">
        <w:rPr>
          <w:kern w:val="22"/>
          <w:szCs w:val="22"/>
          <w:lang w:val="fr-CA"/>
        </w:rPr>
        <w:t>des risques prises en vertu</w:t>
      </w:r>
      <w:r w:rsidRPr="001F51EF">
        <w:rPr>
          <w:kern w:val="22"/>
          <w:szCs w:val="22"/>
          <w:lang w:val="fr-CA"/>
        </w:rPr>
        <w:t xml:space="preserve"> du Protocole de Cartagena sur la prévention </w:t>
      </w:r>
      <w:r w:rsidRPr="001F51EF">
        <w:rPr>
          <w:kern w:val="22"/>
          <w:szCs w:val="22"/>
          <w:lang w:val="fr-CA"/>
        </w:rPr>
        <w:lastRenderedPageBreak/>
        <w:t>des risques biotechnologiques</w:t>
      </w:r>
      <w:r w:rsidR="004B33AA">
        <w:rPr>
          <w:kern w:val="22"/>
          <w:szCs w:val="22"/>
          <w:lang w:val="fr-CA"/>
        </w:rPr>
        <w:t>,</w:t>
      </w:r>
      <w:r w:rsidRPr="001F51EF">
        <w:rPr>
          <w:kern w:val="22"/>
          <w:szCs w:val="22"/>
          <w:lang w:val="fr-CA"/>
        </w:rPr>
        <w:t xml:space="preserve"> et de toute autre information pertinente recueillie par la Secrétaire exécuti</w:t>
      </w:r>
      <w:r w:rsidR="00CD7384">
        <w:rPr>
          <w:kern w:val="22"/>
          <w:szCs w:val="22"/>
          <w:lang w:val="fr-CA"/>
        </w:rPr>
        <w:t>ve en application du</w:t>
      </w:r>
      <w:r w:rsidR="004B33AA">
        <w:rPr>
          <w:kern w:val="22"/>
          <w:szCs w:val="22"/>
          <w:lang w:val="fr-CA"/>
        </w:rPr>
        <w:t xml:space="preserve"> paragraphe 10 c) de la décision CP-10/10</w:t>
      </w:r>
      <w:r w:rsidRPr="001F51EF">
        <w:rPr>
          <w:kern w:val="22"/>
          <w:szCs w:val="22"/>
          <w:lang w:val="fr-CA"/>
        </w:rPr>
        <w:t>.</w:t>
      </w:r>
    </w:p>
    <w:p w14:paraId="7BF1F7F5" w14:textId="77777777" w:rsidR="0079707D" w:rsidRDefault="0079707D" w:rsidP="0079707D">
      <w:pPr>
        <w:pStyle w:val="Para1"/>
        <w:numPr>
          <w:ilvl w:val="0"/>
          <w:numId w:val="0"/>
        </w:numPr>
        <w:rPr>
          <w:kern w:val="22"/>
          <w:szCs w:val="22"/>
          <w:lang w:val="fr-CA"/>
        </w:rPr>
      </w:pPr>
    </w:p>
    <w:p w14:paraId="0CC26EEA" w14:textId="1C8A6382" w:rsidR="0079707D" w:rsidRPr="000C1BDC" w:rsidRDefault="000C1BDC" w:rsidP="000C1BDC">
      <w:pPr>
        <w:pStyle w:val="Para1"/>
        <w:numPr>
          <w:ilvl w:val="0"/>
          <w:numId w:val="0"/>
        </w:numPr>
        <w:jc w:val="center"/>
        <w:rPr>
          <w:kern w:val="22"/>
          <w:szCs w:val="22"/>
          <w:lang w:val="en-US"/>
        </w:rPr>
      </w:pPr>
      <w:r>
        <w:rPr>
          <w:kern w:val="22"/>
          <w:szCs w:val="22"/>
          <w:lang w:val="en-US"/>
        </w:rPr>
        <w:t>___________</w:t>
      </w:r>
    </w:p>
    <w:sectPr w:rsidR="0079707D" w:rsidRPr="000C1BDC" w:rsidSect="00183069">
      <w:headerReference w:type="even" r:id="rId15"/>
      <w:headerReference w:type="default" r:id="rId16"/>
      <w:pgSz w:w="12240" w:h="15840" w:code="1"/>
      <w:pgMar w:top="562" w:right="1440" w:bottom="113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4E80A" w14:textId="77777777" w:rsidR="0067117B" w:rsidRDefault="0067117B" w:rsidP="00CF1848">
      <w:r>
        <w:separator/>
      </w:r>
    </w:p>
  </w:endnote>
  <w:endnote w:type="continuationSeparator" w:id="0">
    <w:p w14:paraId="126CE3B3" w14:textId="77777777" w:rsidR="0067117B" w:rsidRDefault="0067117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73959" w14:textId="77777777" w:rsidR="0067117B" w:rsidRDefault="0067117B" w:rsidP="00CF1848">
      <w:r>
        <w:separator/>
      </w:r>
    </w:p>
  </w:footnote>
  <w:footnote w:type="continuationSeparator" w:id="0">
    <w:p w14:paraId="2BF3B7A0" w14:textId="77777777" w:rsidR="0067117B" w:rsidRDefault="0067117B" w:rsidP="00CF1848">
      <w:r>
        <w:continuationSeparator/>
      </w:r>
    </w:p>
  </w:footnote>
  <w:footnote w:id="1">
    <w:p w14:paraId="4EE80F2B" w14:textId="77777777" w:rsidR="000308BF" w:rsidRPr="000A566B" w:rsidRDefault="000308BF" w:rsidP="000308BF">
      <w:pPr>
        <w:pStyle w:val="FootnoteText"/>
        <w:suppressLineNumbers/>
        <w:suppressAutoHyphens/>
        <w:ind w:firstLine="0"/>
        <w:jc w:val="left"/>
        <w:rPr>
          <w:kern w:val="18"/>
          <w:szCs w:val="18"/>
          <w:lang w:val="fr-CA"/>
        </w:rPr>
      </w:pPr>
      <w:r w:rsidRPr="00003A70">
        <w:rPr>
          <w:rStyle w:val="FootnoteReference"/>
          <w:kern w:val="18"/>
          <w:szCs w:val="18"/>
        </w:rPr>
        <w:footnoteRef/>
      </w:r>
      <w:r w:rsidRPr="000A566B">
        <w:rPr>
          <w:kern w:val="18"/>
          <w:szCs w:val="18"/>
          <w:lang w:val="fr-CA"/>
        </w:rPr>
        <w:t xml:space="preserve"> CBD/CP/RA/AHTEG/2020/1/5.</w:t>
      </w:r>
    </w:p>
  </w:footnote>
  <w:footnote w:id="2">
    <w:p w14:paraId="379AC5BB" w14:textId="77777777" w:rsidR="000308BF" w:rsidRPr="00003A70" w:rsidRDefault="000308BF" w:rsidP="000308BF">
      <w:pPr>
        <w:pStyle w:val="FootnoteText"/>
        <w:suppressLineNumbers/>
        <w:suppressAutoHyphens/>
        <w:ind w:firstLine="0"/>
        <w:jc w:val="left"/>
        <w:rPr>
          <w:kern w:val="18"/>
          <w:szCs w:val="18"/>
          <w:lang w:val="fr-CA"/>
        </w:rPr>
      </w:pPr>
      <w:r w:rsidRPr="00003A70">
        <w:rPr>
          <w:rStyle w:val="FootnoteReference"/>
          <w:kern w:val="18"/>
          <w:szCs w:val="18"/>
        </w:rPr>
        <w:footnoteRef/>
      </w:r>
      <w:r w:rsidRPr="000A566B">
        <w:rPr>
          <w:kern w:val="18"/>
          <w:szCs w:val="18"/>
          <w:vertAlign w:val="superscript"/>
          <w:lang w:val="fr-CA"/>
        </w:rPr>
        <w:t xml:space="preserve"> </w:t>
      </w:r>
      <w:r w:rsidRPr="000A566B">
        <w:rPr>
          <w:kern w:val="18"/>
          <w:szCs w:val="18"/>
          <w:lang w:val="fr-CA"/>
        </w:rPr>
        <w:t xml:space="preserve">Voir la partie III de l’annexe I au document </w:t>
      </w:r>
      <w:r>
        <w:rPr>
          <w:kern w:val="18"/>
          <w:szCs w:val="18"/>
          <w:lang w:val="fr-CA"/>
        </w:rPr>
        <w:t>CBD/CP/RA/AHTEG/2020/1/5</w:t>
      </w:r>
      <w:r w:rsidRPr="00003A70">
        <w:rPr>
          <w:kern w:val="18"/>
          <w:szCs w:val="18"/>
          <w:lang w:val="fr-CA"/>
        </w:rPr>
        <w:t>.</w:t>
      </w:r>
    </w:p>
  </w:footnote>
  <w:footnote w:id="3">
    <w:p w14:paraId="47A059FF" w14:textId="120082BC" w:rsidR="000308BF" w:rsidRPr="00003A70" w:rsidRDefault="000308BF" w:rsidP="000308BF">
      <w:pPr>
        <w:pStyle w:val="FootnoteText"/>
        <w:suppressLineNumbers/>
        <w:suppressAutoHyphens/>
        <w:ind w:firstLine="0"/>
        <w:jc w:val="left"/>
        <w:rPr>
          <w:kern w:val="18"/>
          <w:szCs w:val="18"/>
          <w:lang w:val="fr-CA"/>
        </w:rPr>
      </w:pPr>
      <w:r w:rsidRPr="007B0EEC">
        <w:rPr>
          <w:rStyle w:val="FootnoteReference"/>
          <w:kern w:val="18"/>
          <w:szCs w:val="18"/>
        </w:rPr>
        <w:footnoteRef/>
      </w:r>
      <w:r w:rsidRPr="00003A70">
        <w:rPr>
          <w:kern w:val="18"/>
          <w:szCs w:val="18"/>
          <w:lang w:val="fr-CA"/>
        </w:rPr>
        <w:t xml:space="preserve"> En fonction des restri</w:t>
      </w:r>
      <w:r w:rsidR="00227A2A">
        <w:rPr>
          <w:kern w:val="18"/>
          <w:szCs w:val="18"/>
          <w:lang w:val="fr-CA"/>
        </w:rPr>
        <w:t>ctions liées à la crise sanitaire</w:t>
      </w:r>
      <w:r w:rsidRPr="00003A70">
        <w:rPr>
          <w:kern w:val="18"/>
          <w:szCs w:val="18"/>
          <w:lang w:val="fr-CA"/>
        </w:rPr>
        <w:t>.</w:t>
      </w:r>
    </w:p>
  </w:footnote>
  <w:footnote w:id="4">
    <w:p w14:paraId="6DA954EA" w14:textId="44D495E4" w:rsidR="000308BF" w:rsidRPr="00003A70" w:rsidRDefault="000308BF" w:rsidP="000308BF">
      <w:pPr>
        <w:pStyle w:val="FootnoteText"/>
        <w:suppressLineNumbers/>
        <w:suppressAutoHyphens/>
        <w:ind w:firstLine="0"/>
        <w:jc w:val="left"/>
        <w:rPr>
          <w:kern w:val="18"/>
          <w:szCs w:val="18"/>
          <w:lang w:val="fr-CA"/>
        </w:rPr>
      </w:pPr>
      <w:r w:rsidRPr="007B0EEC">
        <w:rPr>
          <w:rStyle w:val="FootnoteReference"/>
          <w:kern w:val="18"/>
          <w:szCs w:val="18"/>
        </w:rPr>
        <w:footnoteRef/>
      </w:r>
      <w:r w:rsidRPr="00003A70">
        <w:rPr>
          <w:kern w:val="18"/>
          <w:szCs w:val="18"/>
          <w:lang w:val="fr-CA"/>
        </w:rPr>
        <w:t xml:space="preserve"> Comme l'Organisation mondiale du commerce, la Plateforme intergouvernementale scientifique et politique sur la biodiversité et les services écosystémiques</w:t>
      </w:r>
      <w:r w:rsidR="00626EA4">
        <w:rPr>
          <w:kern w:val="18"/>
          <w:szCs w:val="18"/>
          <w:lang w:val="fr-CA"/>
        </w:rPr>
        <w:t>,</w:t>
      </w:r>
      <w:r w:rsidRPr="00003A70">
        <w:rPr>
          <w:kern w:val="18"/>
          <w:szCs w:val="18"/>
          <w:lang w:val="fr-CA"/>
        </w:rPr>
        <w:t xml:space="preserve"> et l'Organisation des Nations Unies pour l'alimentation et l'agriculture.</w:t>
      </w:r>
    </w:p>
  </w:footnote>
  <w:footnote w:id="5">
    <w:p w14:paraId="142B8794" w14:textId="2A872EF6" w:rsidR="000308BF" w:rsidRPr="001F51EF" w:rsidRDefault="000308BF" w:rsidP="000308BF">
      <w:pPr>
        <w:pStyle w:val="FootnoteText"/>
        <w:ind w:firstLine="0"/>
        <w:rPr>
          <w:lang w:val="fr-CA"/>
        </w:rPr>
      </w:pPr>
      <w:r w:rsidRPr="0050190F">
        <w:rPr>
          <w:rStyle w:val="FootnoteReference"/>
        </w:rPr>
        <w:footnoteRef/>
      </w:r>
      <w:r w:rsidRPr="001F51EF">
        <w:rPr>
          <w:lang w:val="fr-CA"/>
        </w:rPr>
        <w:t xml:space="preserve"> Entre autres</w:t>
      </w:r>
      <w:r w:rsidR="00626EA4">
        <w:rPr>
          <w:lang w:val="fr-CA"/>
        </w:rPr>
        <w:t>,</w:t>
      </w:r>
      <w:r w:rsidRPr="001F51EF">
        <w:rPr>
          <w:lang w:val="fr-CA"/>
        </w:rPr>
        <w:t xml:space="preserve"> le rapport Perseus commandé par le Secrétariat de la Convention sur la diversité biologique</w:t>
      </w:r>
    </w:p>
  </w:footnote>
  <w:footnote w:id="6">
    <w:p w14:paraId="64FCE1E6" w14:textId="77777777" w:rsidR="000308BF" w:rsidRPr="00003A70" w:rsidRDefault="000308BF" w:rsidP="000308BF">
      <w:pPr>
        <w:pStyle w:val="FootnoteText"/>
        <w:suppressLineNumbers/>
        <w:suppressAutoHyphens/>
        <w:ind w:firstLine="0"/>
        <w:jc w:val="left"/>
        <w:rPr>
          <w:kern w:val="18"/>
          <w:szCs w:val="18"/>
          <w:lang w:val="fr-CA"/>
        </w:rPr>
      </w:pPr>
      <w:r w:rsidRPr="007B0EEC">
        <w:rPr>
          <w:rStyle w:val="FootnoteReference"/>
          <w:kern w:val="18"/>
          <w:szCs w:val="18"/>
        </w:rPr>
        <w:footnoteRef/>
      </w:r>
      <w:r w:rsidRPr="007B0EEC">
        <w:rPr>
          <w:kern w:val="18"/>
          <w:szCs w:val="18"/>
          <w:vertAlign w:val="superscript"/>
          <w:lang w:val="fr-CA"/>
        </w:rPr>
        <w:t xml:space="preserve"> </w:t>
      </w:r>
      <w:r w:rsidRPr="00003A70">
        <w:rPr>
          <w:kern w:val="18"/>
          <w:szCs w:val="18"/>
          <w:lang w:val="fr-CA"/>
        </w:rPr>
        <w:t>CBD/CP/RA/AHTEG/2020/1/4.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DCBB1AC" w:rsidR="00534681" w:rsidRPr="00134846" w:rsidRDefault="00A37FBF" w:rsidP="00534681">
        <w:pPr>
          <w:pStyle w:val="Header"/>
          <w:rPr>
            <w:lang w:val="fr-FR"/>
          </w:rPr>
        </w:pPr>
        <w:r>
          <w:rPr>
            <w:lang w:val="fr-FR"/>
          </w:rPr>
          <w:t>CBD/CP/MOP/DEC/10/10</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E10C9">
      <w:rPr>
        <w:noProof/>
        <w:lang w:val="fr-FR"/>
      </w:rPr>
      <w:t>4</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0E2F6EB0" w:rsidR="009505C9" w:rsidRPr="00134846" w:rsidRDefault="00A37FBF" w:rsidP="009505C9">
        <w:pPr>
          <w:pStyle w:val="Header"/>
          <w:jc w:val="right"/>
          <w:rPr>
            <w:lang w:val="fr-FR"/>
          </w:rPr>
        </w:pPr>
        <w:r>
          <w:rPr>
            <w:lang w:val="fr-FR"/>
          </w:rPr>
          <w:t>CBD/CP/MOP/DEC/10/10</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E10C9">
      <w:rPr>
        <w:noProof/>
        <w:lang w:val="fr-FR"/>
      </w:rPr>
      <w:t>5</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4F46A4B"/>
    <w:multiLevelType w:val="hybridMultilevel"/>
    <w:tmpl w:val="3A7C012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47530"/>
    <w:multiLevelType w:val="hybridMultilevel"/>
    <w:tmpl w:val="5BD0AFFE"/>
    <w:lvl w:ilvl="0" w:tplc="8198339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5FB2346"/>
    <w:multiLevelType w:val="hybridMultilevel"/>
    <w:tmpl w:val="210C3B92"/>
    <w:lvl w:ilvl="0" w:tplc="2924C3EE">
      <w:start w:val="3"/>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2"/>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3"/>
  </w:num>
  <w:num w:numId="18">
    <w:abstractNumId w:val="14"/>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2331"/>
    <w:rsid w:val="00020A25"/>
    <w:rsid w:val="000308BF"/>
    <w:rsid w:val="00042542"/>
    <w:rsid w:val="00056691"/>
    <w:rsid w:val="0007171B"/>
    <w:rsid w:val="00072076"/>
    <w:rsid w:val="00076D0B"/>
    <w:rsid w:val="00082BEB"/>
    <w:rsid w:val="000A3B2A"/>
    <w:rsid w:val="000C1BDC"/>
    <w:rsid w:val="000C5A64"/>
    <w:rsid w:val="000C64C2"/>
    <w:rsid w:val="000D4DE4"/>
    <w:rsid w:val="000E5F7F"/>
    <w:rsid w:val="000E673A"/>
    <w:rsid w:val="000F4574"/>
    <w:rsid w:val="000F74F5"/>
    <w:rsid w:val="00105372"/>
    <w:rsid w:val="00113ABD"/>
    <w:rsid w:val="00116908"/>
    <w:rsid w:val="00124E9D"/>
    <w:rsid w:val="001312AD"/>
    <w:rsid w:val="00131E7A"/>
    <w:rsid w:val="00134846"/>
    <w:rsid w:val="00135EB7"/>
    <w:rsid w:val="001368AF"/>
    <w:rsid w:val="0014649F"/>
    <w:rsid w:val="0015062A"/>
    <w:rsid w:val="00172AF6"/>
    <w:rsid w:val="00176CEE"/>
    <w:rsid w:val="00183069"/>
    <w:rsid w:val="00186DD8"/>
    <w:rsid w:val="001A7912"/>
    <w:rsid w:val="001B0DFB"/>
    <w:rsid w:val="001B13FE"/>
    <w:rsid w:val="001B1EB9"/>
    <w:rsid w:val="001C6266"/>
    <w:rsid w:val="001F186F"/>
    <w:rsid w:val="00201591"/>
    <w:rsid w:val="00203FBD"/>
    <w:rsid w:val="00227A2A"/>
    <w:rsid w:val="002317AF"/>
    <w:rsid w:val="002573E6"/>
    <w:rsid w:val="0026188D"/>
    <w:rsid w:val="00286102"/>
    <w:rsid w:val="002C650F"/>
    <w:rsid w:val="002E0572"/>
    <w:rsid w:val="002F6C4C"/>
    <w:rsid w:val="0030169D"/>
    <w:rsid w:val="003060EB"/>
    <w:rsid w:val="00306ECF"/>
    <w:rsid w:val="00313EAB"/>
    <w:rsid w:val="003153EB"/>
    <w:rsid w:val="00321985"/>
    <w:rsid w:val="00341293"/>
    <w:rsid w:val="003457F0"/>
    <w:rsid w:val="00346902"/>
    <w:rsid w:val="003502C5"/>
    <w:rsid w:val="00351205"/>
    <w:rsid w:val="0036752E"/>
    <w:rsid w:val="00372F74"/>
    <w:rsid w:val="0039298A"/>
    <w:rsid w:val="00393363"/>
    <w:rsid w:val="003B2047"/>
    <w:rsid w:val="003B7BB2"/>
    <w:rsid w:val="003D1851"/>
    <w:rsid w:val="003E2494"/>
    <w:rsid w:val="003F7224"/>
    <w:rsid w:val="00401431"/>
    <w:rsid w:val="004233CD"/>
    <w:rsid w:val="00427D21"/>
    <w:rsid w:val="00432EEB"/>
    <w:rsid w:val="00451805"/>
    <w:rsid w:val="004539AD"/>
    <w:rsid w:val="004617C5"/>
    <w:rsid w:val="004644C2"/>
    <w:rsid w:val="00467F9C"/>
    <w:rsid w:val="004909A4"/>
    <w:rsid w:val="004B33AA"/>
    <w:rsid w:val="004C18F2"/>
    <w:rsid w:val="0050082B"/>
    <w:rsid w:val="00507265"/>
    <w:rsid w:val="00513A21"/>
    <w:rsid w:val="005179C4"/>
    <w:rsid w:val="005335F4"/>
    <w:rsid w:val="00534681"/>
    <w:rsid w:val="0053500C"/>
    <w:rsid w:val="005378F1"/>
    <w:rsid w:val="00540A93"/>
    <w:rsid w:val="00545F76"/>
    <w:rsid w:val="00550B0D"/>
    <w:rsid w:val="005570C1"/>
    <w:rsid w:val="00557B3E"/>
    <w:rsid w:val="00563442"/>
    <w:rsid w:val="00565B42"/>
    <w:rsid w:val="005B2660"/>
    <w:rsid w:val="005B2ABF"/>
    <w:rsid w:val="005B38F6"/>
    <w:rsid w:val="005B4ADC"/>
    <w:rsid w:val="005C4CE6"/>
    <w:rsid w:val="005D665F"/>
    <w:rsid w:val="005E0ED3"/>
    <w:rsid w:val="005E273A"/>
    <w:rsid w:val="005F325D"/>
    <w:rsid w:val="006122BA"/>
    <w:rsid w:val="0061793F"/>
    <w:rsid w:val="00623711"/>
    <w:rsid w:val="00626EA4"/>
    <w:rsid w:val="00635138"/>
    <w:rsid w:val="0063588C"/>
    <w:rsid w:val="00643C69"/>
    <w:rsid w:val="0066265F"/>
    <w:rsid w:val="00666476"/>
    <w:rsid w:val="0067117B"/>
    <w:rsid w:val="0067182B"/>
    <w:rsid w:val="00677773"/>
    <w:rsid w:val="00685270"/>
    <w:rsid w:val="006928BB"/>
    <w:rsid w:val="006957C0"/>
    <w:rsid w:val="006A0F3C"/>
    <w:rsid w:val="006A662D"/>
    <w:rsid w:val="006B2290"/>
    <w:rsid w:val="006B4272"/>
    <w:rsid w:val="006E6B02"/>
    <w:rsid w:val="00715757"/>
    <w:rsid w:val="00717D88"/>
    <w:rsid w:val="007275C8"/>
    <w:rsid w:val="00735E22"/>
    <w:rsid w:val="007458A1"/>
    <w:rsid w:val="00760E2B"/>
    <w:rsid w:val="00772D89"/>
    <w:rsid w:val="00786056"/>
    <w:rsid w:val="007926AA"/>
    <w:rsid w:val="007942D3"/>
    <w:rsid w:val="00796CEB"/>
    <w:rsid w:val="0079707D"/>
    <w:rsid w:val="007B2099"/>
    <w:rsid w:val="007B6C09"/>
    <w:rsid w:val="007B7741"/>
    <w:rsid w:val="007C5BD5"/>
    <w:rsid w:val="007E09DA"/>
    <w:rsid w:val="007E31B7"/>
    <w:rsid w:val="007E620B"/>
    <w:rsid w:val="007E712A"/>
    <w:rsid w:val="00802A6B"/>
    <w:rsid w:val="008043B9"/>
    <w:rsid w:val="008178B6"/>
    <w:rsid w:val="00827F14"/>
    <w:rsid w:val="00827F9B"/>
    <w:rsid w:val="00855143"/>
    <w:rsid w:val="00857781"/>
    <w:rsid w:val="00865B74"/>
    <w:rsid w:val="00886CF1"/>
    <w:rsid w:val="008974F0"/>
    <w:rsid w:val="008B012A"/>
    <w:rsid w:val="008C18A2"/>
    <w:rsid w:val="008D7F1E"/>
    <w:rsid w:val="00906E17"/>
    <w:rsid w:val="00913EE2"/>
    <w:rsid w:val="0091758B"/>
    <w:rsid w:val="00930BA1"/>
    <w:rsid w:val="0093169E"/>
    <w:rsid w:val="0093235C"/>
    <w:rsid w:val="00937130"/>
    <w:rsid w:val="009505C9"/>
    <w:rsid w:val="00950752"/>
    <w:rsid w:val="00966424"/>
    <w:rsid w:val="009675A4"/>
    <w:rsid w:val="00981E8A"/>
    <w:rsid w:val="009845E4"/>
    <w:rsid w:val="009A2378"/>
    <w:rsid w:val="009A6589"/>
    <w:rsid w:val="009C2DE6"/>
    <w:rsid w:val="009C5C86"/>
    <w:rsid w:val="009D3CBF"/>
    <w:rsid w:val="009D665D"/>
    <w:rsid w:val="00A01DC3"/>
    <w:rsid w:val="00A03BA0"/>
    <w:rsid w:val="00A07733"/>
    <w:rsid w:val="00A11A26"/>
    <w:rsid w:val="00A1252A"/>
    <w:rsid w:val="00A37E3D"/>
    <w:rsid w:val="00A37FBF"/>
    <w:rsid w:val="00A47156"/>
    <w:rsid w:val="00A64456"/>
    <w:rsid w:val="00AA6F92"/>
    <w:rsid w:val="00AB6934"/>
    <w:rsid w:val="00AB7794"/>
    <w:rsid w:val="00AC4445"/>
    <w:rsid w:val="00AC6277"/>
    <w:rsid w:val="00AD2CA0"/>
    <w:rsid w:val="00AD7FFC"/>
    <w:rsid w:val="00AF42DE"/>
    <w:rsid w:val="00B03B4E"/>
    <w:rsid w:val="00B041D6"/>
    <w:rsid w:val="00B163F5"/>
    <w:rsid w:val="00B26ACD"/>
    <w:rsid w:val="00B31307"/>
    <w:rsid w:val="00B3369F"/>
    <w:rsid w:val="00B353A3"/>
    <w:rsid w:val="00B55749"/>
    <w:rsid w:val="00B57E85"/>
    <w:rsid w:val="00B6623B"/>
    <w:rsid w:val="00B82723"/>
    <w:rsid w:val="00B94E6C"/>
    <w:rsid w:val="00BB4606"/>
    <w:rsid w:val="00BB7FEE"/>
    <w:rsid w:val="00BE37F8"/>
    <w:rsid w:val="00BE3A34"/>
    <w:rsid w:val="00BE601E"/>
    <w:rsid w:val="00BF0486"/>
    <w:rsid w:val="00BF11F9"/>
    <w:rsid w:val="00C23D2F"/>
    <w:rsid w:val="00C443BD"/>
    <w:rsid w:val="00C451C5"/>
    <w:rsid w:val="00C520BB"/>
    <w:rsid w:val="00C54473"/>
    <w:rsid w:val="00C9161D"/>
    <w:rsid w:val="00C97A41"/>
    <w:rsid w:val="00CA0C1D"/>
    <w:rsid w:val="00CA2CD9"/>
    <w:rsid w:val="00CD7384"/>
    <w:rsid w:val="00CE5C7A"/>
    <w:rsid w:val="00CF1848"/>
    <w:rsid w:val="00D12044"/>
    <w:rsid w:val="00D30264"/>
    <w:rsid w:val="00D33EFC"/>
    <w:rsid w:val="00D40835"/>
    <w:rsid w:val="00D40DBC"/>
    <w:rsid w:val="00D623D5"/>
    <w:rsid w:val="00D67904"/>
    <w:rsid w:val="00D76A18"/>
    <w:rsid w:val="00D80849"/>
    <w:rsid w:val="00D81B26"/>
    <w:rsid w:val="00D82E8F"/>
    <w:rsid w:val="00D90C54"/>
    <w:rsid w:val="00D9362C"/>
    <w:rsid w:val="00DB37E9"/>
    <w:rsid w:val="00DB5A9B"/>
    <w:rsid w:val="00DD118C"/>
    <w:rsid w:val="00DE0097"/>
    <w:rsid w:val="00DE6D01"/>
    <w:rsid w:val="00E058FD"/>
    <w:rsid w:val="00E120C2"/>
    <w:rsid w:val="00E14D8D"/>
    <w:rsid w:val="00E25C75"/>
    <w:rsid w:val="00E43F39"/>
    <w:rsid w:val="00E45D11"/>
    <w:rsid w:val="00E66235"/>
    <w:rsid w:val="00E739E2"/>
    <w:rsid w:val="00E81BAA"/>
    <w:rsid w:val="00E83C24"/>
    <w:rsid w:val="00E9318D"/>
    <w:rsid w:val="00EA0FF5"/>
    <w:rsid w:val="00EA2D7C"/>
    <w:rsid w:val="00EA38AB"/>
    <w:rsid w:val="00EB03C6"/>
    <w:rsid w:val="00EC1F46"/>
    <w:rsid w:val="00EE0F9B"/>
    <w:rsid w:val="00EE5F65"/>
    <w:rsid w:val="00EF35E4"/>
    <w:rsid w:val="00F0075A"/>
    <w:rsid w:val="00F07A42"/>
    <w:rsid w:val="00F20685"/>
    <w:rsid w:val="00F24ACC"/>
    <w:rsid w:val="00F42653"/>
    <w:rsid w:val="00F46F5B"/>
    <w:rsid w:val="00F476E4"/>
    <w:rsid w:val="00F50099"/>
    <w:rsid w:val="00F52E01"/>
    <w:rsid w:val="00F53193"/>
    <w:rsid w:val="00F5357E"/>
    <w:rsid w:val="00F6586C"/>
    <w:rsid w:val="00F74D8D"/>
    <w:rsid w:val="00F94774"/>
    <w:rsid w:val="00FA0E9A"/>
    <w:rsid w:val="00FA663B"/>
    <w:rsid w:val="00FC0963"/>
    <w:rsid w:val="00FC25F8"/>
    <w:rsid w:val="00FC53DB"/>
    <w:rsid w:val="00FE10C9"/>
    <w:rsid w:val="00FE2131"/>
    <w:rsid w:val="00FE50F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DE6D01"/>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735E22"/>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203FB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03FBD"/>
    <w:rPr>
      <w:rFonts w:ascii="Times New Roman" w:eastAsia="Times New Roman" w:hAnsi="Times New Roman" w:cs="Times New Roman"/>
      <w:b/>
      <w:bCs/>
      <w:sz w:val="20"/>
      <w:szCs w:val="20"/>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0308B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98D4F9426224FECB1C66D5C030A616B"/>
        <w:category>
          <w:name w:val="General"/>
          <w:gallery w:val="placeholder"/>
        </w:category>
        <w:types>
          <w:type w:val="bbPlcHdr"/>
        </w:types>
        <w:behaviors>
          <w:behavior w:val="content"/>
        </w:behaviors>
        <w:guid w:val="{FCA301A2-2970-484F-A9C3-659FBD82ACB7}"/>
      </w:docPartPr>
      <w:docPartBody>
        <w:p w:rsidR="00F2685F" w:rsidRDefault="00B64E9F">
          <w:r w:rsidRPr="00FD0FB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35A9C"/>
    <w:rsid w:val="0004191B"/>
    <w:rsid w:val="00045FC5"/>
    <w:rsid w:val="0016789F"/>
    <w:rsid w:val="00170996"/>
    <w:rsid w:val="001C30B0"/>
    <w:rsid w:val="003625B3"/>
    <w:rsid w:val="0038320A"/>
    <w:rsid w:val="003A2D0F"/>
    <w:rsid w:val="003C4935"/>
    <w:rsid w:val="0046422C"/>
    <w:rsid w:val="004760CF"/>
    <w:rsid w:val="004E092F"/>
    <w:rsid w:val="004E5FDF"/>
    <w:rsid w:val="004E77A9"/>
    <w:rsid w:val="00500A2B"/>
    <w:rsid w:val="0058288D"/>
    <w:rsid w:val="005B11ED"/>
    <w:rsid w:val="00632420"/>
    <w:rsid w:val="00665C6B"/>
    <w:rsid w:val="006801B3"/>
    <w:rsid w:val="006C3E10"/>
    <w:rsid w:val="006C6436"/>
    <w:rsid w:val="007428B4"/>
    <w:rsid w:val="007E6353"/>
    <w:rsid w:val="00810A55"/>
    <w:rsid w:val="008C6619"/>
    <w:rsid w:val="008D420E"/>
    <w:rsid w:val="0090197F"/>
    <w:rsid w:val="0098642F"/>
    <w:rsid w:val="00B27D2C"/>
    <w:rsid w:val="00B64E9F"/>
    <w:rsid w:val="00B677E5"/>
    <w:rsid w:val="00C37C59"/>
    <w:rsid w:val="00C8104B"/>
    <w:rsid w:val="00D31D12"/>
    <w:rsid w:val="00D936D7"/>
    <w:rsid w:val="00DF0289"/>
    <w:rsid w:val="00EA178C"/>
    <w:rsid w:val="00F268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4E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4C0A2205-148E-462D-B705-353766F47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55641C-3A12-421A-97C1-C0BC26D7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1911</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CP-10/10.	Risk assessment and risk management (Articles 15 and 16)</vt:lpstr>
    </vt:vector>
  </TitlesOfParts>
  <Company>SCBD</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CP-10/10.	Évaluation des risques et gestion des risques (articles 15 et 16)</dc:title>
  <dc:subject>CBD/CP/MOP/DEC/10/10</dc:subject>
  <dc:creator>SCBD</dc:creator>
  <cp:keywords>Decision adopted by the Parties to the Cartagena Protocol on Biosafety</cp:keywords>
  <cp:lastModifiedBy>Finn Kinley</cp:lastModifiedBy>
  <cp:revision>13</cp:revision>
  <cp:lastPrinted>2023-02-21T16:00:00Z</cp:lastPrinted>
  <dcterms:created xsi:type="dcterms:W3CDTF">2023-02-22T19:10:00Z</dcterms:created>
  <dcterms:modified xsi:type="dcterms:W3CDTF">2023-02-23T01:26:00Z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