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170"/>
      </w:tblGrid>
      <w:tr w:rsidR="00AA6A62" w:rsidRPr="000B080F" w14:paraId="598DF47B" w14:textId="77777777" w:rsidTr="00A36B05">
        <w:trPr>
          <w:trHeight w:val="709"/>
        </w:trPr>
        <w:tc>
          <w:tcPr>
            <w:tcW w:w="977" w:type="dxa"/>
            <w:tcBorders>
              <w:bottom w:val="single" w:sz="12" w:space="0" w:color="auto"/>
            </w:tcBorders>
          </w:tcPr>
          <w:p w14:paraId="7F59F1B8" w14:textId="77777777" w:rsidR="00AA6A62" w:rsidRPr="000B080F" w:rsidRDefault="00AA6A62" w:rsidP="00AA6A62">
            <w:pPr>
              <w:spacing w:before="120" w:after="120" w:line="276" w:lineRule="auto"/>
              <w:rPr>
                <w:rFonts w:asciiTheme="majorBidi" w:hAnsiTheme="majorBidi" w:cstheme="majorBidi"/>
                <w:lang w:val="es-UY"/>
              </w:rPr>
            </w:pPr>
            <w:r w:rsidRPr="000B080F">
              <w:rPr>
                <w:rFonts w:asciiTheme="majorBidi" w:hAnsiTheme="majorBidi" w:cstheme="majorBidi"/>
                <w:noProof/>
                <w:lang w:val="en-US"/>
              </w:rPr>
              <w:drawing>
                <wp:inline distT="0" distB="0" distL="0" distR="0" wp14:anchorId="7346E21A" wp14:editId="015CF696">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389B23F1" w14:textId="77777777" w:rsidR="00AA6A62" w:rsidRPr="000B080F" w:rsidRDefault="00AA6A62" w:rsidP="00AA6A62">
            <w:pPr>
              <w:spacing w:before="120" w:after="120" w:line="276" w:lineRule="auto"/>
              <w:rPr>
                <w:rFonts w:asciiTheme="majorBidi" w:hAnsiTheme="majorBidi" w:cstheme="majorBidi"/>
                <w:lang w:val="es-UY"/>
              </w:rPr>
            </w:pPr>
            <w:r w:rsidRPr="000B080F">
              <w:rPr>
                <w:rFonts w:asciiTheme="majorBidi" w:hAnsiTheme="majorBidi" w:cstheme="majorBidi"/>
                <w:noProof/>
                <w:lang w:val="en-US"/>
              </w:rPr>
              <w:drawing>
                <wp:anchor distT="0" distB="0" distL="114300" distR="114300" simplePos="0" relativeHeight="251659264" behindDoc="1" locked="0" layoutInCell="1" allowOverlap="1" wp14:anchorId="666C84C6" wp14:editId="6C2E872E">
                  <wp:simplePos x="0" y="0"/>
                  <wp:positionH relativeFrom="column">
                    <wp:posOffset>-21590</wp:posOffset>
                  </wp:positionH>
                  <wp:positionV relativeFrom="paragraph">
                    <wp:posOffset>81915</wp:posOffset>
                  </wp:positionV>
                  <wp:extent cx="672465" cy="398145"/>
                  <wp:effectExtent l="19050" t="0" r="0" b="0"/>
                  <wp:wrapTight wrapText="bothSides">
                    <wp:wrapPolygon edited="0">
                      <wp:start x="-612" y="0"/>
                      <wp:lineTo x="-612" y="20670"/>
                      <wp:lineTo x="21416" y="20670"/>
                      <wp:lineTo x="21416" y="18603"/>
                      <wp:lineTo x="18357" y="16536"/>
                      <wp:lineTo x="20805" y="16536"/>
                      <wp:lineTo x="21416" y="14469"/>
                      <wp:lineTo x="21416" y="0"/>
                      <wp:lineTo x="-612" y="0"/>
                    </wp:wrapPolygon>
                  </wp:wrapTight>
                  <wp:docPr id="109"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n 2" descr="Forma&#10;&#10;Descripción generada automáticamente con confianza media"/>
                          <pic:cNvPicPr>
                            <a:picLocks noChangeAspect="1" noChangeArrowheads="1"/>
                          </pic:cNvPicPr>
                        </pic:nvPicPr>
                        <pic:blipFill>
                          <a:blip r:embed="rId13"/>
                          <a:srcRect/>
                          <a:stretch>
                            <a:fillRect/>
                          </a:stretch>
                        </pic:blipFill>
                        <pic:spPr bwMode="auto">
                          <a:xfrm>
                            <a:off x="0" y="0"/>
                            <a:ext cx="672465" cy="398145"/>
                          </a:xfrm>
                          <a:prstGeom prst="rect">
                            <a:avLst/>
                          </a:prstGeom>
                          <a:noFill/>
                        </pic:spPr>
                      </pic:pic>
                    </a:graphicData>
                  </a:graphic>
                </wp:anchor>
              </w:drawing>
            </w:r>
          </w:p>
        </w:tc>
        <w:tc>
          <w:tcPr>
            <w:tcW w:w="4164" w:type="dxa"/>
            <w:tcBorders>
              <w:bottom w:val="single" w:sz="12" w:space="0" w:color="auto"/>
            </w:tcBorders>
          </w:tcPr>
          <w:p w14:paraId="32BEB762" w14:textId="77777777" w:rsidR="00AA6A62" w:rsidRPr="000B080F" w:rsidRDefault="00AA6A62" w:rsidP="00AA6A62">
            <w:pPr>
              <w:suppressLineNumbers/>
              <w:suppressAutoHyphens/>
              <w:kinsoku w:val="0"/>
              <w:overflowPunct w:val="0"/>
              <w:autoSpaceDE w:val="0"/>
              <w:autoSpaceDN w:val="0"/>
              <w:spacing w:before="120" w:after="120"/>
              <w:jc w:val="right"/>
              <w:rPr>
                <w:rFonts w:asciiTheme="minorBidi" w:hAnsiTheme="minorBidi" w:cstheme="minorBidi"/>
                <w:b/>
                <w:sz w:val="32"/>
                <w:szCs w:val="32"/>
                <w:lang w:val="es-UY"/>
              </w:rPr>
            </w:pPr>
            <w:proofErr w:type="spellStart"/>
            <w:r w:rsidRPr="000B080F">
              <w:rPr>
                <w:rFonts w:asciiTheme="minorBidi" w:eastAsiaTheme="minorEastAsia" w:hAnsiTheme="minorBidi" w:cstheme="minorBidi"/>
                <w:b/>
                <w:snapToGrid w:val="0"/>
                <w:kern w:val="22"/>
                <w:sz w:val="32"/>
                <w:szCs w:val="32"/>
                <w:lang w:val="es-UY"/>
              </w:rPr>
              <w:t>CBD</w:t>
            </w:r>
            <w:proofErr w:type="spellEnd"/>
          </w:p>
        </w:tc>
      </w:tr>
      <w:tr w:rsidR="00AA6A62" w:rsidRPr="0081328E" w14:paraId="327951E1" w14:textId="77777777" w:rsidTr="00A36B05">
        <w:tc>
          <w:tcPr>
            <w:tcW w:w="6118" w:type="dxa"/>
            <w:gridSpan w:val="2"/>
            <w:tcBorders>
              <w:top w:val="single" w:sz="12" w:space="0" w:color="auto"/>
              <w:bottom w:val="single" w:sz="36" w:space="0" w:color="auto"/>
            </w:tcBorders>
            <w:vAlign w:val="center"/>
          </w:tcPr>
          <w:p w14:paraId="35E8F045" w14:textId="77777777" w:rsidR="00AA6A62" w:rsidRPr="000B080F" w:rsidRDefault="00AA6A62" w:rsidP="00AA6A62">
            <w:pPr>
              <w:spacing w:before="120" w:after="120" w:line="276" w:lineRule="auto"/>
              <w:rPr>
                <w:rFonts w:asciiTheme="majorBidi" w:hAnsiTheme="majorBidi" w:cstheme="majorBidi"/>
                <w:lang w:val="es-UY"/>
              </w:rPr>
            </w:pPr>
            <w:r w:rsidRPr="000B080F">
              <w:rPr>
                <w:rFonts w:asciiTheme="majorBidi" w:hAnsiTheme="majorBidi" w:cstheme="majorBidi"/>
                <w:noProof/>
                <w:lang w:val="en-US"/>
              </w:rPr>
              <w:drawing>
                <wp:inline distT="0" distB="0" distL="0" distR="0" wp14:anchorId="5004E08D" wp14:editId="66277057">
                  <wp:extent cx="2908300" cy="1047750"/>
                  <wp:effectExtent l="19050" t="0" r="6350" b="0"/>
                  <wp:docPr id="3"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Interfaz de usuario gráfica, Texto, Aplicación&#10;&#10;Descripción generada automáticamente"/>
                          <pic:cNvPicPr>
                            <a:picLocks noChangeAspect="1" noChangeArrowheads="1"/>
                          </pic:cNvPicPr>
                        </pic:nvPicPr>
                        <pic:blipFill>
                          <a:blip r:embed="rId14"/>
                          <a:srcRect/>
                          <a:stretch>
                            <a:fillRect/>
                          </a:stretch>
                        </pic:blipFill>
                        <pic:spPr bwMode="auto">
                          <a:xfrm>
                            <a:off x="0" y="0"/>
                            <a:ext cx="2908300" cy="1047750"/>
                          </a:xfrm>
                          <a:prstGeom prst="rect">
                            <a:avLst/>
                          </a:prstGeom>
                          <a:noFill/>
                          <a:ln w="9525">
                            <a:noFill/>
                            <a:miter lim="800000"/>
                            <a:headEnd/>
                            <a:tailEnd/>
                          </a:ln>
                        </pic:spPr>
                      </pic:pic>
                    </a:graphicData>
                  </a:graphic>
                </wp:inline>
              </w:drawing>
            </w:r>
          </w:p>
        </w:tc>
        <w:tc>
          <w:tcPr>
            <w:tcW w:w="4164" w:type="dxa"/>
            <w:tcBorders>
              <w:top w:val="single" w:sz="12" w:space="0" w:color="auto"/>
              <w:bottom w:val="single" w:sz="36" w:space="0" w:color="auto"/>
            </w:tcBorders>
          </w:tcPr>
          <w:p w14:paraId="44565BE3" w14:textId="77777777" w:rsidR="00AA6A62" w:rsidRPr="00567C9F" w:rsidRDefault="00AA6A62" w:rsidP="00AA6A62">
            <w:pPr>
              <w:spacing w:line="276" w:lineRule="auto"/>
              <w:ind w:left="1575"/>
              <w:rPr>
                <w:rFonts w:asciiTheme="majorBidi" w:hAnsiTheme="majorBidi" w:cstheme="majorBidi"/>
                <w:szCs w:val="22"/>
                <w:lang w:val="en-US"/>
              </w:rPr>
            </w:pPr>
            <w:r w:rsidRPr="00567C9F">
              <w:rPr>
                <w:rFonts w:asciiTheme="majorBidi" w:hAnsiTheme="majorBidi" w:cstheme="majorBidi"/>
                <w:szCs w:val="22"/>
                <w:lang w:val="en-US"/>
              </w:rPr>
              <w:t>Distr.</w:t>
            </w:r>
          </w:p>
          <w:p w14:paraId="400FDE9E" w14:textId="3989670B" w:rsidR="00AA6A62" w:rsidRPr="00567C9F" w:rsidRDefault="00315059" w:rsidP="00AA6A62">
            <w:pPr>
              <w:spacing w:line="276" w:lineRule="auto"/>
              <w:ind w:left="1575"/>
              <w:rPr>
                <w:rFonts w:asciiTheme="majorBidi" w:hAnsiTheme="majorBidi" w:cstheme="majorBidi"/>
                <w:szCs w:val="22"/>
                <w:lang w:val="en-US"/>
              </w:rPr>
            </w:pPr>
            <w:r w:rsidRPr="00567C9F">
              <w:rPr>
                <w:rFonts w:asciiTheme="majorBidi" w:hAnsiTheme="majorBidi" w:cstheme="majorBidi"/>
                <w:caps/>
                <w:szCs w:val="22"/>
                <w:lang w:val="en-US"/>
              </w:rPr>
              <w:t>GENERAL</w:t>
            </w:r>
          </w:p>
          <w:p w14:paraId="3BDC345B" w14:textId="77777777" w:rsidR="00AA6A62" w:rsidRPr="00567C9F" w:rsidRDefault="00AA6A62" w:rsidP="00AA6A62">
            <w:pPr>
              <w:spacing w:line="276" w:lineRule="auto"/>
              <w:ind w:left="1575"/>
              <w:rPr>
                <w:rFonts w:asciiTheme="majorBidi" w:hAnsiTheme="majorBidi" w:cstheme="majorBidi"/>
                <w:szCs w:val="22"/>
                <w:lang w:val="en-US"/>
              </w:rPr>
            </w:pPr>
          </w:p>
          <w:p w14:paraId="09D1628D" w14:textId="24662034" w:rsidR="00AA6A62" w:rsidRPr="00567C9F" w:rsidRDefault="000231D8" w:rsidP="00AA6A62">
            <w:pPr>
              <w:ind w:left="1570"/>
              <w:rPr>
                <w:rFonts w:asciiTheme="majorBidi" w:hAnsiTheme="majorBidi" w:cstheme="majorBidi"/>
                <w:lang w:val="en-US"/>
              </w:rPr>
            </w:pPr>
            <w:sdt>
              <w:sdtPr>
                <w:rPr>
                  <w:rFonts w:asciiTheme="majorBidi" w:hAnsiTheme="majorBidi" w:cstheme="majorBidi"/>
                  <w:lang w:val="en-US"/>
                </w:rPr>
                <w:alias w:val="Subject"/>
                <w:tag w:val=""/>
                <w:id w:val="2137136483"/>
                <w:placeholder>
                  <w:docPart w:val="7D2AFC0E24CA4791B378822D29E3757E"/>
                </w:placeholder>
                <w:dataBinding w:prefixMappings="xmlns:ns0='http://purl.org/dc/elements/1.1/' xmlns:ns1='http://schemas.openxmlformats.org/package/2006/metadata/core-properties' " w:xpath="/ns1:coreProperties[1]/ns0:subject[1]" w:storeItemID="{6C3C8BC8-F283-45AE-878A-BAB7291924A1}"/>
                <w:text/>
              </w:sdtPr>
              <w:sdtEndPr/>
              <w:sdtContent>
                <w:r w:rsidR="00AA6A62" w:rsidRPr="00567C9F">
                  <w:rPr>
                    <w:rFonts w:asciiTheme="majorBidi" w:hAnsiTheme="majorBidi" w:cstheme="majorBidi"/>
                    <w:lang w:val="en-US"/>
                  </w:rPr>
                  <w:t>CBD/CP/MOP/</w:t>
                </w:r>
                <w:r w:rsidR="00315059" w:rsidRPr="00567C9F">
                  <w:rPr>
                    <w:rFonts w:asciiTheme="majorBidi" w:hAnsiTheme="majorBidi" w:cstheme="majorBidi"/>
                    <w:lang w:val="en-US"/>
                  </w:rPr>
                  <w:t>DEC/</w:t>
                </w:r>
                <w:r w:rsidR="00AA6A62" w:rsidRPr="00567C9F">
                  <w:rPr>
                    <w:rFonts w:asciiTheme="majorBidi" w:hAnsiTheme="majorBidi" w:cstheme="majorBidi"/>
                    <w:lang w:val="en-US"/>
                  </w:rPr>
                  <w:t>10/</w:t>
                </w:r>
                <w:r w:rsidR="00315059" w:rsidRPr="00567C9F">
                  <w:rPr>
                    <w:rFonts w:asciiTheme="majorBidi" w:hAnsiTheme="majorBidi" w:cstheme="majorBidi"/>
                    <w:lang w:val="en-US"/>
                  </w:rPr>
                  <w:t>10</w:t>
                </w:r>
              </w:sdtContent>
            </w:sdt>
          </w:p>
          <w:p w14:paraId="40BE6662" w14:textId="47C077AE" w:rsidR="00AA6A62" w:rsidRPr="000B080F" w:rsidRDefault="00315059" w:rsidP="00AA6A62">
            <w:pPr>
              <w:ind w:left="1570"/>
              <w:rPr>
                <w:rFonts w:asciiTheme="majorBidi" w:hAnsiTheme="majorBidi" w:cstheme="majorBidi"/>
                <w:lang w:val="es-UY"/>
              </w:rPr>
            </w:pPr>
            <w:r w:rsidRPr="000B080F">
              <w:rPr>
                <w:rFonts w:asciiTheme="majorBidi" w:hAnsiTheme="majorBidi" w:cstheme="majorBidi"/>
                <w:lang w:val="es-UY"/>
              </w:rPr>
              <w:t>1</w:t>
            </w:r>
            <w:r w:rsidR="00AA6A62" w:rsidRPr="000B080F">
              <w:rPr>
                <w:rFonts w:asciiTheme="majorBidi" w:hAnsiTheme="majorBidi" w:cstheme="majorBidi"/>
                <w:lang w:val="es-UY"/>
              </w:rPr>
              <w:t>9 de diciembre de 2022</w:t>
            </w:r>
          </w:p>
          <w:p w14:paraId="636A890D" w14:textId="77777777" w:rsidR="00AA6A62" w:rsidRPr="000B080F" w:rsidRDefault="00AA6A62" w:rsidP="00AA6A62">
            <w:pPr>
              <w:spacing w:line="276" w:lineRule="auto"/>
              <w:ind w:left="1575"/>
              <w:rPr>
                <w:rFonts w:asciiTheme="majorBidi" w:hAnsiTheme="majorBidi" w:cstheme="majorBidi"/>
                <w:szCs w:val="22"/>
                <w:lang w:val="es-UY"/>
              </w:rPr>
            </w:pPr>
          </w:p>
          <w:p w14:paraId="0918B48F" w14:textId="77777777" w:rsidR="00AA6A62" w:rsidRPr="000B080F" w:rsidRDefault="00AA6A62" w:rsidP="00AA6A62">
            <w:pPr>
              <w:ind w:left="1570"/>
              <w:rPr>
                <w:rFonts w:asciiTheme="majorBidi" w:hAnsiTheme="majorBidi" w:cstheme="majorBidi"/>
                <w:szCs w:val="22"/>
                <w:lang w:val="es-UY"/>
              </w:rPr>
            </w:pPr>
            <w:r w:rsidRPr="000B080F">
              <w:rPr>
                <w:rFonts w:asciiTheme="majorBidi" w:hAnsiTheme="majorBidi" w:cstheme="majorBidi"/>
                <w:szCs w:val="22"/>
                <w:lang w:val="es-UY"/>
              </w:rPr>
              <w:t>ESPAÑOL</w:t>
            </w:r>
          </w:p>
          <w:p w14:paraId="13D37698" w14:textId="77777777" w:rsidR="00AA6A62" w:rsidRPr="000B080F" w:rsidRDefault="00AA6A62" w:rsidP="00AA6A62">
            <w:pPr>
              <w:ind w:left="1570"/>
              <w:rPr>
                <w:rFonts w:asciiTheme="majorBidi" w:hAnsiTheme="majorBidi" w:cstheme="majorBidi"/>
                <w:lang w:val="es-UY"/>
              </w:rPr>
            </w:pPr>
            <w:r w:rsidRPr="000B080F">
              <w:rPr>
                <w:rFonts w:asciiTheme="majorBidi" w:hAnsiTheme="majorBidi" w:cstheme="majorBidi"/>
                <w:szCs w:val="22"/>
                <w:lang w:val="es-UY"/>
              </w:rPr>
              <w:t>ORIGINAL: INGLÉS</w:t>
            </w:r>
          </w:p>
        </w:tc>
      </w:tr>
    </w:tbl>
    <w:p w14:paraId="4A631D61" w14:textId="77777777" w:rsidR="00785205" w:rsidRPr="000B080F" w:rsidRDefault="00785205" w:rsidP="00785205">
      <w:pPr>
        <w:pStyle w:val="Cornernotation"/>
        <w:kinsoku w:val="0"/>
        <w:overflowPunct w:val="0"/>
        <w:autoSpaceDE w:val="0"/>
        <w:autoSpaceDN w:val="0"/>
        <w:spacing w:before="60"/>
        <w:ind w:left="227" w:right="4115" w:hanging="227"/>
        <w:rPr>
          <w:snapToGrid w:val="0"/>
          <w:kern w:val="22"/>
          <w:lang w:val="es-UY"/>
        </w:rPr>
      </w:pPr>
      <w:r w:rsidRPr="000B080F">
        <w:rPr>
          <w:snapToGrid w:val="0"/>
          <w:lang w:val="es-UY"/>
        </w:rPr>
        <w:t>CONFERENCIA DE LAS PARTES EN EL CONVENIO SOBRE LA DIVERSIDAD BIOLÓGICA QUE ACTÚA COMO REUNIÓN DE LAS PARTES EN EL PROTOCOLO DE CARTAGENA SOBRE SEGURIDAD DE LA BIOTECNOLOGÍA</w:t>
      </w:r>
    </w:p>
    <w:p w14:paraId="576AEE66" w14:textId="77777777" w:rsidR="00785205" w:rsidRPr="000B080F" w:rsidRDefault="00785205" w:rsidP="00785205">
      <w:pPr>
        <w:pStyle w:val="Cornernotation"/>
        <w:ind w:right="4115"/>
        <w:rPr>
          <w:lang w:val="es-UY"/>
        </w:rPr>
      </w:pPr>
      <w:r w:rsidRPr="000B080F">
        <w:rPr>
          <w:rFonts w:asciiTheme="majorBidi" w:hAnsiTheme="majorBidi" w:cstheme="majorBidi"/>
          <w:snapToGrid w:val="0"/>
          <w:kern w:val="22"/>
          <w:lang w:val="es-UY"/>
        </w:rPr>
        <w:t>Décima reunión - Parte II</w:t>
      </w:r>
    </w:p>
    <w:p w14:paraId="3C48A8EE" w14:textId="632D71CE" w:rsidR="00785205" w:rsidRPr="000B080F" w:rsidRDefault="00785205" w:rsidP="00785205">
      <w:pPr>
        <w:pStyle w:val="Cornernotation"/>
        <w:kinsoku w:val="0"/>
        <w:overflowPunct w:val="0"/>
        <w:autoSpaceDE w:val="0"/>
        <w:autoSpaceDN w:val="0"/>
        <w:ind w:left="227" w:right="4075" w:hanging="227"/>
        <w:rPr>
          <w:snapToGrid w:val="0"/>
          <w:kern w:val="22"/>
          <w:szCs w:val="22"/>
          <w:lang w:val="es-UY" w:eastAsia="nb-NO"/>
        </w:rPr>
      </w:pPr>
      <w:r w:rsidRPr="000B080F">
        <w:rPr>
          <w:rFonts w:asciiTheme="majorBidi" w:hAnsiTheme="majorBidi" w:cstheme="majorBidi"/>
          <w:snapToGrid w:val="0"/>
          <w:kern w:val="22"/>
          <w:lang w:val="es-UY" w:eastAsia="nb-NO"/>
        </w:rPr>
        <w:t>Montreal (Canadá), 7</w:t>
      </w:r>
      <w:r w:rsidR="009877D4" w:rsidRPr="000B080F">
        <w:rPr>
          <w:rFonts w:asciiTheme="majorBidi" w:hAnsiTheme="majorBidi" w:cstheme="majorBidi"/>
          <w:snapToGrid w:val="0"/>
          <w:kern w:val="22"/>
          <w:lang w:val="es-UY" w:eastAsia="nb-NO"/>
        </w:rPr>
        <w:t xml:space="preserve"> a </w:t>
      </w:r>
      <w:r w:rsidRPr="000B080F">
        <w:rPr>
          <w:rFonts w:asciiTheme="majorBidi" w:hAnsiTheme="majorBidi" w:cstheme="majorBidi"/>
          <w:snapToGrid w:val="0"/>
          <w:kern w:val="22"/>
          <w:lang w:val="es-UY" w:eastAsia="nb-NO"/>
        </w:rPr>
        <w:t>19 de diciembre de 2022</w:t>
      </w:r>
    </w:p>
    <w:p w14:paraId="7E6D2E46" w14:textId="433528FA" w:rsidR="00785205" w:rsidRPr="000B080F" w:rsidRDefault="00785205" w:rsidP="009877D4">
      <w:pPr>
        <w:pStyle w:val="Cornernotation"/>
        <w:ind w:right="-78"/>
        <w:rPr>
          <w:lang w:val="es-UY"/>
        </w:rPr>
      </w:pPr>
      <w:r w:rsidRPr="000B080F">
        <w:rPr>
          <w:lang w:val="es-UY"/>
        </w:rPr>
        <w:t>Tema 14 del programa</w:t>
      </w:r>
    </w:p>
    <w:p w14:paraId="69C7BB08" w14:textId="4FBD690B" w:rsidR="009877D4" w:rsidRPr="000B080F" w:rsidRDefault="009877D4" w:rsidP="00567C9F">
      <w:pPr>
        <w:pStyle w:val="Cornernotation"/>
        <w:spacing w:before="240" w:after="240"/>
        <w:ind w:right="-78"/>
        <w:jc w:val="center"/>
        <w:rPr>
          <w:b/>
          <w:lang w:val="es-UY"/>
        </w:rPr>
      </w:pPr>
      <w:r w:rsidRPr="000B080F">
        <w:rPr>
          <w:b/>
          <w:lang w:val="es-UY"/>
        </w:rPr>
        <w:t>DECISIÓN ADOPTADA POR LAS PARTES EN EL PROTOCOLO DE CARTAGENA SOBRE SEGURIDAD DE LA BIOTECNOLOGÍA</w:t>
      </w:r>
    </w:p>
    <w:p w14:paraId="03BC1CC7" w14:textId="14763096" w:rsidR="00C9161D" w:rsidRPr="000B080F" w:rsidRDefault="000231D8" w:rsidP="00172AF6">
      <w:pPr>
        <w:spacing w:before="120" w:after="240"/>
        <w:jc w:val="center"/>
        <w:rPr>
          <w:b/>
          <w:caps/>
          <w:lang w:val="es-UY"/>
        </w:rPr>
      </w:pPr>
      <w:sdt>
        <w:sdtPr>
          <w:rPr>
            <w:rFonts w:asciiTheme="majorBidi" w:hAnsiTheme="majorBidi" w:cstheme="majorBidi"/>
            <w:b/>
            <w:bCs/>
            <w:snapToGrid w:val="0"/>
            <w:kern w:val="22"/>
            <w:lang w:val="es-UY"/>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FF258A" w:rsidRPr="000B080F">
            <w:rPr>
              <w:rFonts w:asciiTheme="majorBidi" w:hAnsiTheme="majorBidi" w:cstheme="majorBidi"/>
              <w:b/>
              <w:bCs/>
              <w:snapToGrid w:val="0"/>
              <w:kern w:val="22"/>
              <w:lang w:val="es-UY"/>
            </w:rPr>
            <w:t xml:space="preserve">CP-10/10.   </w:t>
          </w:r>
          <w:r w:rsidR="0001765E" w:rsidRPr="000B080F">
            <w:rPr>
              <w:rFonts w:asciiTheme="majorBidi" w:hAnsiTheme="majorBidi" w:cstheme="majorBidi"/>
              <w:b/>
              <w:bCs/>
              <w:snapToGrid w:val="0"/>
              <w:kern w:val="22"/>
              <w:lang w:val="es-UY"/>
            </w:rPr>
            <w:t>Evaluación del riesgo y gestión del riesgo (artículos 15 y 16)</w:t>
          </w:r>
        </w:sdtContent>
      </w:sdt>
      <w:r w:rsidR="00105372" w:rsidRPr="000B080F">
        <w:rPr>
          <w:b/>
          <w:caps/>
          <w:lang w:val="es-UY"/>
        </w:rPr>
        <w:t xml:space="preserve"> </w:t>
      </w:r>
    </w:p>
    <w:p w14:paraId="1516F0A9" w14:textId="7BEF8418" w:rsidR="00F44200" w:rsidRPr="000B080F" w:rsidRDefault="0001765E" w:rsidP="00F44200">
      <w:pPr>
        <w:suppressLineNumbers/>
        <w:suppressAutoHyphens/>
        <w:spacing w:before="240" w:after="120"/>
        <w:ind w:firstLine="720"/>
        <w:rPr>
          <w:i/>
          <w:iCs/>
          <w:snapToGrid w:val="0"/>
          <w:kern w:val="22"/>
          <w:szCs w:val="22"/>
          <w:lang w:val="es-UY"/>
        </w:rPr>
      </w:pPr>
      <w:r w:rsidRPr="000B080F">
        <w:rPr>
          <w:i/>
          <w:lang w:val="es-UY"/>
        </w:rPr>
        <w:t>La Conferencia de las Partes que actúa como reunión de las Partes en el Protocolo de Cartagena sobre Seguridad de la Biotecnología</w:t>
      </w:r>
      <w:r w:rsidR="0081328E">
        <w:rPr>
          <w:i/>
          <w:lang w:val="es-UY"/>
        </w:rPr>
        <w:t>,</w:t>
      </w:r>
      <w:bookmarkStart w:id="0" w:name="_GoBack"/>
      <w:bookmarkEnd w:id="0"/>
    </w:p>
    <w:p w14:paraId="2C1B48DB" w14:textId="47B8C7A2" w:rsidR="00F44200" w:rsidRPr="000B080F" w:rsidRDefault="0001765E" w:rsidP="00F44200">
      <w:pPr>
        <w:suppressLineNumbers/>
        <w:suppressAutoHyphens/>
        <w:spacing w:before="120" w:after="120"/>
        <w:ind w:firstLine="720"/>
        <w:rPr>
          <w:snapToGrid w:val="0"/>
          <w:kern w:val="22"/>
          <w:szCs w:val="22"/>
          <w:lang w:val="es-UY"/>
        </w:rPr>
      </w:pPr>
      <w:r w:rsidRPr="000B080F">
        <w:rPr>
          <w:i/>
          <w:lang w:val="es-UY"/>
        </w:rPr>
        <w:t>Recordando</w:t>
      </w:r>
      <w:r w:rsidRPr="000B080F">
        <w:rPr>
          <w:lang w:val="es-UY"/>
        </w:rPr>
        <w:t xml:space="preserve"> la decisión CP-9/13, párrafo</w:t>
      </w:r>
      <w:r w:rsidR="00967CA9" w:rsidRPr="000B080F">
        <w:rPr>
          <w:lang w:val="es-UY"/>
        </w:rPr>
        <w:t> </w:t>
      </w:r>
      <w:r w:rsidRPr="000B080F">
        <w:rPr>
          <w:lang w:val="es-UY"/>
        </w:rPr>
        <w:t>7, en la que decidió considerar, en su décima reunión, si se requieren materiales de orientación adicionales sobre la evaluación del riesgo para a) organismos vivos modificados que contengan impulsores genéticos modificados, y b) peces vivos modificados</w:t>
      </w:r>
      <w:r w:rsidR="00F44200" w:rsidRPr="000B080F">
        <w:rPr>
          <w:snapToGrid w:val="0"/>
          <w:kern w:val="22"/>
          <w:szCs w:val="22"/>
          <w:lang w:val="es-UY"/>
        </w:rPr>
        <w:t>,</w:t>
      </w:r>
    </w:p>
    <w:p w14:paraId="2DC6BBA6" w14:textId="2F54B6C7" w:rsidR="00F44200" w:rsidRPr="000B080F" w:rsidRDefault="0001765E" w:rsidP="00F44200">
      <w:pPr>
        <w:spacing w:before="120" w:after="120"/>
        <w:ind w:firstLine="720"/>
        <w:rPr>
          <w:snapToGrid w:val="0"/>
          <w:kern w:val="22"/>
          <w:szCs w:val="22"/>
          <w:lang w:val="es-UY"/>
        </w:rPr>
      </w:pPr>
      <w:r w:rsidRPr="000B080F">
        <w:rPr>
          <w:i/>
          <w:lang w:val="es-UY"/>
        </w:rPr>
        <w:t>Recordando también</w:t>
      </w:r>
      <w:r w:rsidRPr="000B080F">
        <w:rPr>
          <w:lang w:val="es-UY"/>
        </w:rPr>
        <w:t xml:space="preserve"> la decisión BS-VII/12, párrafo 17, en la que recomendó a la Conferencia de las Partes en el Convenio sobre la Diversidad Biológica un enfoque coordinado con la Conferencia de las Partes que actúa como reunión de las Partes en el Protocolo de Cartagena sobre Seguridad de la Biotecnología con respecto a la cuestión de la biología sintética, teniendo en cuenta que las disposiciones del Protocolo también podrían aplicarse a organismos vivos modificados resultantes de la biología sintética</w:t>
      </w:r>
      <w:r w:rsidR="00F44200" w:rsidRPr="000B080F">
        <w:rPr>
          <w:snapToGrid w:val="0"/>
          <w:kern w:val="22"/>
          <w:szCs w:val="22"/>
          <w:lang w:val="es-UY"/>
        </w:rPr>
        <w:t>,</w:t>
      </w:r>
    </w:p>
    <w:p w14:paraId="3C198AB9" w14:textId="5CE3091A" w:rsidR="00F44200" w:rsidRPr="000B080F" w:rsidRDefault="0001765E" w:rsidP="00F44200">
      <w:pPr>
        <w:spacing w:before="120" w:after="120"/>
        <w:ind w:firstLine="720"/>
        <w:rPr>
          <w:snapToGrid w:val="0"/>
          <w:kern w:val="22"/>
          <w:szCs w:val="22"/>
          <w:lang w:val="es-UY"/>
        </w:rPr>
      </w:pPr>
      <w:r w:rsidRPr="000B080F">
        <w:rPr>
          <w:i/>
          <w:iCs/>
          <w:lang w:val="es-UY"/>
        </w:rPr>
        <w:t>Recordando</w:t>
      </w:r>
      <w:r w:rsidR="007859B3" w:rsidRPr="000B080F">
        <w:rPr>
          <w:i/>
          <w:iCs/>
          <w:lang w:val="es-UY"/>
        </w:rPr>
        <w:t xml:space="preserve"> asimismo</w:t>
      </w:r>
      <w:r w:rsidRPr="000B080F">
        <w:rPr>
          <w:lang w:val="es-UY"/>
        </w:rPr>
        <w:t xml:space="preserve"> la importancia del enfoque de precaución, de conformidad con el Protocolo de Cartagena sobre Seguridad de la Biotecnología</w:t>
      </w:r>
      <w:r w:rsidR="00F44200" w:rsidRPr="000B080F">
        <w:rPr>
          <w:snapToGrid w:val="0"/>
          <w:kern w:val="22"/>
          <w:szCs w:val="22"/>
          <w:lang w:val="es-UY"/>
        </w:rPr>
        <w:t>,</w:t>
      </w:r>
    </w:p>
    <w:p w14:paraId="3AEBB69F" w14:textId="5C997638" w:rsidR="00F44200" w:rsidRPr="000B080F" w:rsidRDefault="0001765E" w:rsidP="00F44200">
      <w:pPr>
        <w:spacing w:before="120" w:after="120"/>
        <w:ind w:firstLine="720"/>
        <w:rPr>
          <w:snapToGrid w:val="0"/>
          <w:kern w:val="22"/>
          <w:szCs w:val="22"/>
          <w:lang w:val="es-UY"/>
        </w:rPr>
      </w:pPr>
      <w:r w:rsidRPr="000B080F">
        <w:rPr>
          <w:i/>
          <w:lang w:val="es-UY"/>
        </w:rPr>
        <w:t>Señalando</w:t>
      </w:r>
      <w:r w:rsidRPr="000B080F">
        <w:rPr>
          <w:lang w:val="es-UY"/>
        </w:rPr>
        <w:t xml:space="preserve"> la orientación voluntaria existente sobre la evaluación de las consideraciones socioeconómicas en el contexto del artículo 26 del Protocolo de Cartagena sobre Seguridad de la Biotecnología</w:t>
      </w:r>
      <w:r w:rsidR="00F44200" w:rsidRPr="000B080F">
        <w:rPr>
          <w:snapToGrid w:val="0"/>
          <w:kern w:val="22"/>
          <w:szCs w:val="22"/>
          <w:lang w:val="es-UY"/>
        </w:rPr>
        <w:t>,</w:t>
      </w:r>
    </w:p>
    <w:p w14:paraId="7FC9BC50" w14:textId="30517443" w:rsidR="00F44200" w:rsidRPr="000B080F" w:rsidRDefault="00F44200" w:rsidP="00F44200">
      <w:pPr>
        <w:suppressLineNumbers/>
        <w:suppressAutoHyphens/>
        <w:spacing w:before="120" w:after="120"/>
        <w:ind w:firstLine="720"/>
        <w:rPr>
          <w:snapToGrid w:val="0"/>
          <w:kern w:val="22"/>
          <w:szCs w:val="22"/>
          <w:lang w:val="es-UY"/>
        </w:rPr>
      </w:pPr>
      <w:r w:rsidRPr="000B080F">
        <w:rPr>
          <w:snapToGrid w:val="0"/>
          <w:kern w:val="22"/>
          <w:szCs w:val="22"/>
          <w:lang w:val="es-UY"/>
        </w:rPr>
        <w:t>1.</w:t>
      </w:r>
      <w:r w:rsidRPr="000B080F">
        <w:rPr>
          <w:snapToGrid w:val="0"/>
          <w:kern w:val="22"/>
          <w:szCs w:val="22"/>
          <w:lang w:val="es-UY"/>
        </w:rPr>
        <w:tab/>
      </w:r>
      <w:r w:rsidR="0001765E" w:rsidRPr="000B080F">
        <w:rPr>
          <w:i/>
          <w:lang w:val="es-UY"/>
        </w:rPr>
        <w:t>Acoge con satisfacción</w:t>
      </w:r>
      <w:r w:rsidR="0001765E" w:rsidRPr="000B080F">
        <w:rPr>
          <w:lang w:val="es-UY"/>
        </w:rPr>
        <w:t xml:space="preserve"> los resultados de los debates del Grupo Especial de Expertos Técnicos sobre Evaluación del Riesgo</w:t>
      </w:r>
      <w:r w:rsidR="0001765E" w:rsidRPr="000B080F">
        <w:rPr>
          <w:rStyle w:val="FootnoteReference"/>
          <w:kern w:val="22"/>
          <w:szCs w:val="22"/>
          <w:lang w:val="es-UY"/>
        </w:rPr>
        <w:footnoteReference w:id="1"/>
      </w:r>
      <w:r w:rsidR="0001765E" w:rsidRPr="000B080F">
        <w:rPr>
          <w:kern w:val="22"/>
          <w:szCs w:val="22"/>
          <w:lang w:val="es-UY"/>
        </w:rPr>
        <w:t>;</w:t>
      </w:r>
    </w:p>
    <w:p w14:paraId="794A3EFF" w14:textId="4C770F6B" w:rsidR="00F44200" w:rsidRPr="000B080F" w:rsidRDefault="00F44200" w:rsidP="00F44200">
      <w:pPr>
        <w:suppressLineNumbers/>
        <w:suppressAutoHyphens/>
        <w:spacing w:before="120" w:after="120"/>
        <w:ind w:firstLine="720"/>
        <w:rPr>
          <w:snapToGrid w:val="0"/>
          <w:kern w:val="22"/>
          <w:szCs w:val="22"/>
          <w:lang w:val="es-UY"/>
        </w:rPr>
      </w:pPr>
      <w:r w:rsidRPr="000B080F">
        <w:rPr>
          <w:snapToGrid w:val="0"/>
          <w:kern w:val="22"/>
          <w:szCs w:val="22"/>
          <w:lang w:val="es-UY"/>
        </w:rPr>
        <w:t>2.</w:t>
      </w:r>
      <w:r w:rsidRPr="000B080F">
        <w:rPr>
          <w:snapToGrid w:val="0"/>
          <w:kern w:val="22"/>
          <w:szCs w:val="22"/>
          <w:lang w:val="es-UY"/>
        </w:rPr>
        <w:tab/>
      </w:r>
      <w:r w:rsidR="0001765E" w:rsidRPr="000B080F">
        <w:rPr>
          <w:i/>
          <w:lang w:val="es-UY"/>
        </w:rPr>
        <w:t>Toma nota</w:t>
      </w:r>
      <w:r w:rsidR="0001765E" w:rsidRPr="000B080F">
        <w:rPr>
          <w:lang w:val="es-UY"/>
        </w:rPr>
        <w:t xml:space="preserve"> de las aclaraciones realizadas por el Grupo Especial de Expertos Técnicos sobre el anexo I de la decisión CP-9/13 con respecto al proceso </w:t>
      </w:r>
      <w:r w:rsidR="00746F80" w:rsidRPr="000B080F">
        <w:rPr>
          <w:lang w:val="es-UY"/>
        </w:rPr>
        <w:t xml:space="preserve">de </w:t>
      </w:r>
      <w:r w:rsidR="0001765E" w:rsidRPr="000B080F">
        <w:rPr>
          <w:lang w:val="es-UY"/>
        </w:rPr>
        <w:t>determinación y priorización de cuestiones específicas de la evaluación del riesgo de los organismos vivos modificados que podrían ameritar consideració</w:t>
      </w:r>
      <w:r w:rsidR="0001765E" w:rsidRPr="000B080F">
        <w:rPr>
          <w:kern w:val="22"/>
          <w:szCs w:val="22"/>
          <w:lang w:val="es-UY"/>
        </w:rPr>
        <w:t>n</w:t>
      </w:r>
      <w:r w:rsidR="0001765E" w:rsidRPr="000B080F">
        <w:rPr>
          <w:rStyle w:val="FootnoteReference"/>
          <w:kern w:val="22"/>
          <w:szCs w:val="22"/>
          <w:lang w:val="es-UY"/>
        </w:rPr>
        <w:footnoteReference w:id="2"/>
      </w:r>
      <w:r w:rsidR="0001765E" w:rsidRPr="000B080F">
        <w:rPr>
          <w:kern w:val="22"/>
          <w:szCs w:val="22"/>
          <w:lang w:val="es-UY"/>
        </w:rPr>
        <w:t>;</w:t>
      </w:r>
    </w:p>
    <w:p w14:paraId="305FB93E" w14:textId="7B1CC203" w:rsidR="00F44200" w:rsidRPr="000B080F" w:rsidRDefault="00F44200" w:rsidP="00F44200">
      <w:pPr>
        <w:suppressLineNumbers/>
        <w:suppressAutoHyphens/>
        <w:spacing w:before="120" w:after="120"/>
        <w:ind w:firstLine="720"/>
        <w:rPr>
          <w:snapToGrid w:val="0"/>
          <w:kern w:val="22"/>
          <w:szCs w:val="22"/>
          <w:lang w:val="es-UY"/>
        </w:rPr>
      </w:pPr>
      <w:r w:rsidRPr="000B080F">
        <w:rPr>
          <w:snapToGrid w:val="0"/>
          <w:kern w:val="22"/>
          <w:szCs w:val="22"/>
          <w:lang w:val="es-UY"/>
        </w:rPr>
        <w:lastRenderedPageBreak/>
        <w:t>3.</w:t>
      </w:r>
      <w:r w:rsidRPr="000B080F">
        <w:rPr>
          <w:snapToGrid w:val="0"/>
          <w:kern w:val="22"/>
          <w:szCs w:val="22"/>
          <w:lang w:val="es-UY"/>
        </w:rPr>
        <w:tab/>
      </w:r>
      <w:r w:rsidR="0001765E" w:rsidRPr="000B080F">
        <w:rPr>
          <w:i/>
          <w:lang w:val="es-UY"/>
        </w:rPr>
        <w:t>Acoge con satisfacción</w:t>
      </w:r>
      <w:r w:rsidR="0001765E" w:rsidRPr="000B080F">
        <w:rPr>
          <w:lang w:val="es-UY"/>
        </w:rPr>
        <w:t xml:space="preserve"> el análisis realizado por el Grupo Especial de Expertos Técnicos sobre los temas a) organismos vivos modificados que contengan impulsores genéticos modificados y b) peces vivos modificados de conformidad con la decisión CP-9/13, anexo </w:t>
      </w:r>
      <w:r w:rsidR="0001765E" w:rsidRPr="000B080F">
        <w:rPr>
          <w:kern w:val="22"/>
          <w:szCs w:val="22"/>
          <w:lang w:val="es-UY"/>
        </w:rPr>
        <w:t>I</w:t>
      </w:r>
      <w:r w:rsidRPr="000B080F">
        <w:rPr>
          <w:snapToGrid w:val="0"/>
          <w:kern w:val="22"/>
          <w:szCs w:val="22"/>
          <w:lang w:val="es-UY"/>
        </w:rPr>
        <w:t>;</w:t>
      </w:r>
    </w:p>
    <w:p w14:paraId="63525C0F" w14:textId="6E98EE27" w:rsidR="00F44200" w:rsidRPr="000B080F" w:rsidRDefault="00F44200" w:rsidP="00F44200">
      <w:pPr>
        <w:suppressLineNumbers/>
        <w:suppressAutoHyphens/>
        <w:spacing w:before="120" w:after="120"/>
        <w:ind w:firstLine="720"/>
        <w:rPr>
          <w:snapToGrid w:val="0"/>
          <w:kern w:val="22"/>
          <w:szCs w:val="22"/>
          <w:lang w:val="es-UY"/>
        </w:rPr>
      </w:pPr>
      <w:r w:rsidRPr="000B080F">
        <w:rPr>
          <w:snapToGrid w:val="0"/>
          <w:kern w:val="22"/>
          <w:szCs w:val="22"/>
          <w:lang w:val="es-UY"/>
        </w:rPr>
        <w:t>4.</w:t>
      </w:r>
      <w:r w:rsidRPr="000B080F">
        <w:rPr>
          <w:snapToGrid w:val="0"/>
          <w:kern w:val="22"/>
          <w:szCs w:val="22"/>
          <w:lang w:val="es-UY"/>
        </w:rPr>
        <w:tab/>
      </w:r>
      <w:r w:rsidR="0001765E" w:rsidRPr="000B080F">
        <w:rPr>
          <w:i/>
          <w:iCs/>
          <w:lang w:val="es-UY"/>
        </w:rPr>
        <w:t>Toma nota</w:t>
      </w:r>
      <w:r w:rsidR="0001765E" w:rsidRPr="000B080F">
        <w:rPr>
          <w:lang w:val="es-UY"/>
        </w:rPr>
        <w:t xml:space="preserve"> de las diversas perspectivas relativas a la necesidad de elaborar orientaciones sobre la evaluación del riesgo de los peces vivos modificados</w:t>
      </w:r>
      <w:r w:rsidR="00F22E4B">
        <w:rPr>
          <w:lang w:val="es-UY"/>
        </w:rPr>
        <w:t>,</w:t>
      </w:r>
      <w:r w:rsidR="0001765E" w:rsidRPr="000B080F">
        <w:rPr>
          <w:lang w:val="es-UY"/>
        </w:rPr>
        <w:t xml:space="preserve"> </w:t>
      </w:r>
      <w:r w:rsidR="0001765E" w:rsidRPr="00F22E4B">
        <w:rPr>
          <w:i/>
          <w:lang w:val="es-UY"/>
        </w:rPr>
        <w:t>decide</w:t>
      </w:r>
      <w:r w:rsidR="0001765E" w:rsidRPr="000B080F">
        <w:rPr>
          <w:lang w:val="es-UY"/>
        </w:rPr>
        <w:t xml:space="preserve"> no proceder, en esta etapa, a la elaboración de materiales de orientación voluntaria adicionales sobre la evaluación del riesgo en relación con los peces vivos modificados, y </w:t>
      </w:r>
      <w:r w:rsidR="0001765E" w:rsidRPr="000B080F">
        <w:rPr>
          <w:i/>
          <w:lang w:val="es-UY"/>
        </w:rPr>
        <w:t>alienta</w:t>
      </w:r>
      <w:r w:rsidR="0001765E" w:rsidRPr="000B080F">
        <w:rPr>
          <w:lang w:val="es-UY"/>
        </w:rPr>
        <w:t xml:space="preserve"> a las Partes e </w:t>
      </w:r>
      <w:r w:rsidR="0001765E" w:rsidRPr="000B080F">
        <w:rPr>
          <w:i/>
          <w:lang w:val="es-UY"/>
        </w:rPr>
        <w:t>invita</w:t>
      </w:r>
      <w:r w:rsidR="0001765E" w:rsidRPr="000B080F">
        <w:rPr>
          <w:lang w:val="es-UY"/>
        </w:rPr>
        <w:t xml:space="preserve"> a otros Gobiernos y organizaciones pertinentes a promover la cooperación internacional, el intercambio de información y la creación de capacidad sobre la evaluación del riesgo de los peces vivos modificados, y a utilizar los materiales de orientación existentes, con miras a examinar nuevas orientaciones sobre los peces vivos modificados en su 11ª reunión, con sujeción a las disposiciones del anexo I de la decisión </w:t>
      </w:r>
      <w:r w:rsidR="0001765E" w:rsidRPr="000B080F">
        <w:rPr>
          <w:snapToGrid w:val="0"/>
          <w:kern w:val="22"/>
          <w:szCs w:val="22"/>
          <w:lang w:val="es-UY"/>
        </w:rPr>
        <w:t>CP-9/13</w:t>
      </w:r>
      <w:r w:rsidRPr="000B080F">
        <w:rPr>
          <w:snapToGrid w:val="0"/>
          <w:kern w:val="22"/>
          <w:szCs w:val="22"/>
          <w:lang w:val="es-UY"/>
        </w:rPr>
        <w:t>;</w:t>
      </w:r>
    </w:p>
    <w:p w14:paraId="69A291CD" w14:textId="4E1A0556" w:rsidR="00F44200" w:rsidRPr="000B080F" w:rsidRDefault="00F44200" w:rsidP="00F44200">
      <w:pPr>
        <w:suppressLineNumbers/>
        <w:suppressAutoHyphens/>
        <w:spacing w:before="120" w:after="120"/>
        <w:ind w:firstLine="720"/>
        <w:rPr>
          <w:snapToGrid w:val="0"/>
          <w:kern w:val="22"/>
          <w:szCs w:val="22"/>
          <w:lang w:val="es-UY"/>
        </w:rPr>
      </w:pPr>
      <w:r w:rsidRPr="000B080F">
        <w:rPr>
          <w:snapToGrid w:val="0"/>
          <w:kern w:val="22"/>
          <w:szCs w:val="22"/>
          <w:lang w:val="es-UY"/>
        </w:rPr>
        <w:t>5.</w:t>
      </w:r>
      <w:r w:rsidRPr="000B080F">
        <w:rPr>
          <w:snapToGrid w:val="0"/>
          <w:kern w:val="22"/>
          <w:szCs w:val="22"/>
          <w:lang w:val="es-UY"/>
        </w:rPr>
        <w:tab/>
      </w:r>
      <w:r w:rsidR="0001765E" w:rsidRPr="000B080F">
        <w:rPr>
          <w:i/>
          <w:iCs/>
          <w:lang w:val="es-UY"/>
        </w:rPr>
        <w:t>Hace suya</w:t>
      </w:r>
      <w:r w:rsidR="0001765E" w:rsidRPr="000B080F">
        <w:rPr>
          <w:lang w:val="es-UY"/>
        </w:rPr>
        <w:t xml:space="preserve"> la recomendación del Grupo Especial de Expertos Técnicos de que se deberían elaborar materiales de orientación voluntaria adicionales para apoyar la evaluación del riesgo caso por caso en relación con los organismos vivos modificados que contengan impulsores genéticos modificados, y </w:t>
      </w:r>
      <w:r w:rsidR="0001765E" w:rsidRPr="000B080F">
        <w:rPr>
          <w:i/>
          <w:lang w:val="es-UY"/>
        </w:rPr>
        <w:t>acuerda</w:t>
      </w:r>
      <w:r w:rsidR="0001765E" w:rsidRPr="000B080F">
        <w:rPr>
          <w:lang w:val="es-UY"/>
        </w:rPr>
        <w:t xml:space="preserve"> elaborar esos materiales adicionales de orientación voluntaria de conformidad con el anexo</w:t>
      </w:r>
      <w:r w:rsidR="0001765E" w:rsidRPr="000B080F">
        <w:rPr>
          <w:kern w:val="22"/>
          <w:szCs w:val="22"/>
          <w:lang w:val="es-UY"/>
        </w:rPr>
        <w:t xml:space="preserve"> </w:t>
      </w:r>
      <w:r w:rsidR="00963FB7" w:rsidRPr="000B080F">
        <w:rPr>
          <w:kern w:val="22"/>
          <w:szCs w:val="22"/>
          <w:lang w:val="es-UY"/>
        </w:rPr>
        <w:t>que figura debajo</w:t>
      </w:r>
      <w:r w:rsidRPr="000B080F">
        <w:rPr>
          <w:snapToGrid w:val="0"/>
          <w:kern w:val="22"/>
          <w:szCs w:val="22"/>
          <w:lang w:val="es-UY"/>
        </w:rPr>
        <w:t>;</w:t>
      </w:r>
    </w:p>
    <w:p w14:paraId="16FBE9B8" w14:textId="73697C65" w:rsidR="00F44200" w:rsidRPr="000B080F" w:rsidRDefault="00DB0429" w:rsidP="00F44200">
      <w:pPr>
        <w:spacing w:before="120" w:after="120"/>
        <w:ind w:firstLine="720"/>
        <w:rPr>
          <w:snapToGrid w:val="0"/>
          <w:kern w:val="22"/>
          <w:szCs w:val="22"/>
          <w:lang w:val="es-UY"/>
        </w:rPr>
      </w:pPr>
      <w:r w:rsidRPr="000B080F">
        <w:rPr>
          <w:snapToGrid w:val="0"/>
          <w:kern w:val="22"/>
          <w:szCs w:val="22"/>
          <w:lang w:val="es-UY"/>
        </w:rPr>
        <w:t>6</w:t>
      </w:r>
      <w:r w:rsidR="00F44200" w:rsidRPr="000B080F">
        <w:rPr>
          <w:snapToGrid w:val="0"/>
          <w:kern w:val="22"/>
          <w:szCs w:val="22"/>
          <w:lang w:val="es-UY"/>
        </w:rPr>
        <w:t>.</w:t>
      </w:r>
      <w:r w:rsidR="00F44200" w:rsidRPr="000B080F">
        <w:rPr>
          <w:snapToGrid w:val="0"/>
          <w:kern w:val="22"/>
          <w:szCs w:val="22"/>
          <w:lang w:val="es-UY"/>
        </w:rPr>
        <w:tab/>
      </w:r>
      <w:r w:rsidR="0001765E" w:rsidRPr="000B080F">
        <w:rPr>
          <w:i/>
          <w:snapToGrid w:val="0"/>
          <w:lang w:val="es-UY"/>
        </w:rPr>
        <w:t>Decide</w:t>
      </w:r>
      <w:r w:rsidR="0001765E" w:rsidRPr="000B080F">
        <w:rPr>
          <w:snapToGrid w:val="0"/>
          <w:lang w:val="es-UY"/>
        </w:rPr>
        <w:t xml:space="preserve"> establecer un Grupo Especial de Expertos Técnicos sobre Evaluación del Riesgo que trabajará de conformidad con el mandato que se adjunta en el anexo de la presente recomendación</w:t>
      </w:r>
      <w:r w:rsidR="00F44200" w:rsidRPr="000B080F">
        <w:rPr>
          <w:snapToGrid w:val="0"/>
          <w:kern w:val="22"/>
          <w:szCs w:val="22"/>
          <w:lang w:val="es-UY"/>
        </w:rPr>
        <w:t>;</w:t>
      </w:r>
    </w:p>
    <w:p w14:paraId="5941F7E8" w14:textId="110C5F75" w:rsidR="00F44200" w:rsidRPr="000B080F" w:rsidRDefault="00DB0429" w:rsidP="00F44200">
      <w:pPr>
        <w:suppressLineNumbers/>
        <w:suppressAutoHyphens/>
        <w:spacing w:before="120" w:after="120"/>
        <w:ind w:firstLine="720"/>
        <w:rPr>
          <w:snapToGrid w:val="0"/>
          <w:kern w:val="22"/>
          <w:szCs w:val="22"/>
          <w:lang w:val="es-UY"/>
        </w:rPr>
      </w:pPr>
      <w:r w:rsidRPr="000B080F">
        <w:rPr>
          <w:snapToGrid w:val="0"/>
          <w:kern w:val="22"/>
          <w:szCs w:val="22"/>
          <w:lang w:val="es-UY"/>
        </w:rPr>
        <w:t>7</w:t>
      </w:r>
      <w:r w:rsidR="00F44200" w:rsidRPr="000B080F">
        <w:rPr>
          <w:snapToGrid w:val="0"/>
          <w:kern w:val="22"/>
          <w:szCs w:val="22"/>
          <w:lang w:val="es-UY"/>
        </w:rPr>
        <w:t>.</w:t>
      </w:r>
      <w:r w:rsidR="00F44200" w:rsidRPr="000B080F">
        <w:rPr>
          <w:snapToGrid w:val="0"/>
          <w:kern w:val="22"/>
          <w:szCs w:val="22"/>
          <w:lang w:val="es-UY"/>
        </w:rPr>
        <w:tab/>
      </w:r>
      <w:r w:rsidR="0001765E" w:rsidRPr="000B080F">
        <w:rPr>
          <w:i/>
          <w:lang w:val="es-UY"/>
        </w:rPr>
        <w:t>Invita</w:t>
      </w:r>
      <w:r w:rsidR="0001765E" w:rsidRPr="000B080F">
        <w:rPr>
          <w:lang w:val="es-UY"/>
        </w:rPr>
        <w:t xml:space="preserve"> a las Partes, otros Gobiernos, los pueblos indígenas y las comunidades locales, y organizaciones pertinentes, a que presenten a la Secretaria Ejecutiva información pertinente para la labor del Grupo Especial de Expertos Técnicos</w:t>
      </w:r>
      <w:r w:rsidR="00FA3D6F" w:rsidRPr="000B080F">
        <w:rPr>
          <w:snapToGrid w:val="0"/>
          <w:lang w:val="es-UY"/>
        </w:rPr>
        <w:t xml:space="preserve"> sobre Evaluación del Riesgo establecido en el párrafo 6 anterior</w:t>
      </w:r>
      <w:r w:rsidR="00F44200" w:rsidRPr="000B080F">
        <w:rPr>
          <w:snapToGrid w:val="0"/>
          <w:kern w:val="22"/>
          <w:szCs w:val="22"/>
          <w:lang w:val="es-UY"/>
        </w:rPr>
        <w:t>;</w:t>
      </w:r>
    </w:p>
    <w:p w14:paraId="52D064BC" w14:textId="71BB2C91" w:rsidR="00F44200" w:rsidRPr="000B080F" w:rsidRDefault="00DB0429" w:rsidP="00F44200">
      <w:pPr>
        <w:suppressLineNumbers/>
        <w:suppressAutoHyphens/>
        <w:spacing w:before="120" w:after="120"/>
        <w:ind w:firstLine="720"/>
        <w:rPr>
          <w:snapToGrid w:val="0"/>
          <w:kern w:val="22"/>
          <w:szCs w:val="22"/>
          <w:lang w:val="es-UY"/>
        </w:rPr>
      </w:pPr>
      <w:r w:rsidRPr="000B080F">
        <w:rPr>
          <w:snapToGrid w:val="0"/>
          <w:kern w:val="22"/>
          <w:szCs w:val="22"/>
          <w:lang w:val="es-UY"/>
        </w:rPr>
        <w:t>8</w:t>
      </w:r>
      <w:r w:rsidR="00F44200" w:rsidRPr="000B080F">
        <w:rPr>
          <w:snapToGrid w:val="0"/>
          <w:kern w:val="22"/>
          <w:szCs w:val="22"/>
          <w:lang w:val="es-UY"/>
        </w:rPr>
        <w:t>.</w:t>
      </w:r>
      <w:r w:rsidR="00F44200" w:rsidRPr="000B080F">
        <w:rPr>
          <w:snapToGrid w:val="0"/>
          <w:kern w:val="22"/>
          <w:szCs w:val="22"/>
          <w:lang w:val="es-UY"/>
        </w:rPr>
        <w:tab/>
      </w:r>
      <w:r w:rsidR="0001765E" w:rsidRPr="000B080F">
        <w:rPr>
          <w:i/>
          <w:lang w:val="es-UY"/>
        </w:rPr>
        <w:t>Invita</w:t>
      </w:r>
      <w:r w:rsidR="0001765E" w:rsidRPr="000B080F">
        <w:rPr>
          <w:lang w:val="es-UY"/>
        </w:rPr>
        <w:t xml:space="preserve"> a las Partes a que también presenten información sobre sus necesidades y prioridades con respecto a nuevos materiales de orientación sobre temas específicos de la evaluación del riesgo de los organismos vivos modificados, incluida una justificación que siga los criterios establecidos en la decisión CP-9/13, anexo</w:t>
      </w:r>
      <w:r w:rsidR="00F44200" w:rsidRPr="000B080F">
        <w:rPr>
          <w:snapToGrid w:val="0"/>
          <w:kern w:val="22"/>
          <w:szCs w:val="22"/>
          <w:lang w:val="es-UY"/>
        </w:rPr>
        <w:t> I;</w:t>
      </w:r>
    </w:p>
    <w:p w14:paraId="1FB557E4" w14:textId="570BCCDF" w:rsidR="00F44200" w:rsidRPr="000B080F" w:rsidRDefault="00DB0429" w:rsidP="00F44200">
      <w:pPr>
        <w:suppressLineNumbers/>
        <w:suppressAutoHyphens/>
        <w:spacing w:before="120" w:after="120"/>
        <w:ind w:firstLine="720"/>
        <w:rPr>
          <w:snapToGrid w:val="0"/>
          <w:kern w:val="22"/>
          <w:szCs w:val="22"/>
          <w:lang w:val="es-UY"/>
        </w:rPr>
      </w:pPr>
      <w:r w:rsidRPr="000B080F">
        <w:rPr>
          <w:snapToGrid w:val="0"/>
          <w:kern w:val="22"/>
          <w:szCs w:val="22"/>
          <w:lang w:val="es-UY"/>
        </w:rPr>
        <w:t>9</w:t>
      </w:r>
      <w:r w:rsidR="00F44200" w:rsidRPr="000B080F">
        <w:rPr>
          <w:snapToGrid w:val="0"/>
          <w:kern w:val="22"/>
          <w:szCs w:val="22"/>
          <w:lang w:val="es-UY"/>
        </w:rPr>
        <w:t>.</w:t>
      </w:r>
      <w:r w:rsidR="00F44200" w:rsidRPr="000B080F">
        <w:rPr>
          <w:snapToGrid w:val="0"/>
          <w:kern w:val="22"/>
          <w:szCs w:val="22"/>
          <w:lang w:val="es-UY"/>
        </w:rPr>
        <w:tab/>
      </w:r>
      <w:r w:rsidR="0001765E" w:rsidRPr="000B080F">
        <w:rPr>
          <w:i/>
          <w:lang w:val="es-UY"/>
        </w:rPr>
        <w:t>Exhorta</w:t>
      </w:r>
      <w:r w:rsidR="0001765E" w:rsidRPr="000B080F">
        <w:rPr>
          <w:lang w:val="es-UY"/>
        </w:rPr>
        <w:t xml:space="preserve"> a las Partes, otros Gobiernos y organizaciones pertinentes a que continúen difundiendo información y compartiendo experiencias, especialmente a través del Centro de Intercambio de Información sobre Seguridad de la Biotecnología, que sean útiles para las evaluaciones del riesgo de los organismos vivos modificados, incluidos los peces vivos modificados y los organismos que contengan impulsores genéticos modificados</w:t>
      </w:r>
      <w:r w:rsidR="00F44200" w:rsidRPr="000B080F">
        <w:rPr>
          <w:snapToGrid w:val="0"/>
          <w:kern w:val="22"/>
          <w:szCs w:val="22"/>
          <w:lang w:val="es-UY"/>
        </w:rPr>
        <w:t>;</w:t>
      </w:r>
    </w:p>
    <w:p w14:paraId="0AF98645" w14:textId="684BF47E" w:rsidR="00F44200" w:rsidRPr="000B080F" w:rsidRDefault="00F44200" w:rsidP="00F44200">
      <w:pPr>
        <w:suppressLineNumbers/>
        <w:suppressAutoHyphens/>
        <w:spacing w:before="120" w:after="120"/>
        <w:ind w:firstLine="720"/>
        <w:rPr>
          <w:snapToGrid w:val="0"/>
          <w:kern w:val="22"/>
          <w:szCs w:val="22"/>
          <w:lang w:val="es-UY"/>
        </w:rPr>
      </w:pPr>
      <w:r w:rsidRPr="000B080F">
        <w:rPr>
          <w:snapToGrid w:val="0"/>
          <w:kern w:val="22"/>
          <w:szCs w:val="22"/>
          <w:lang w:val="es-UY"/>
        </w:rPr>
        <w:t>1</w:t>
      </w:r>
      <w:r w:rsidR="00DB0429" w:rsidRPr="000B080F">
        <w:rPr>
          <w:snapToGrid w:val="0"/>
          <w:kern w:val="22"/>
          <w:szCs w:val="22"/>
          <w:lang w:val="es-UY"/>
        </w:rPr>
        <w:t>0</w:t>
      </w:r>
      <w:r w:rsidRPr="000B080F">
        <w:rPr>
          <w:snapToGrid w:val="0"/>
          <w:kern w:val="22"/>
          <w:szCs w:val="22"/>
          <w:lang w:val="es-UY"/>
        </w:rPr>
        <w:t>.</w:t>
      </w:r>
      <w:r w:rsidRPr="000B080F">
        <w:rPr>
          <w:snapToGrid w:val="0"/>
          <w:kern w:val="22"/>
          <w:szCs w:val="22"/>
          <w:lang w:val="es-UY"/>
        </w:rPr>
        <w:tab/>
      </w:r>
      <w:r w:rsidR="0001765E" w:rsidRPr="000B080F">
        <w:rPr>
          <w:i/>
          <w:lang w:val="es-UY"/>
        </w:rPr>
        <w:t>Pide</w:t>
      </w:r>
      <w:r w:rsidR="0001765E" w:rsidRPr="000B080F">
        <w:rPr>
          <w:lang w:val="es-UY"/>
        </w:rPr>
        <w:t xml:space="preserve"> a la Secretaria Ejecutiva que</w:t>
      </w:r>
      <w:r w:rsidRPr="000B080F">
        <w:rPr>
          <w:snapToGrid w:val="0"/>
          <w:kern w:val="22"/>
          <w:szCs w:val="22"/>
          <w:lang w:val="es-UY"/>
        </w:rPr>
        <w:t>:</w:t>
      </w:r>
    </w:p>
    <w:p w14:paraId="32262682" w14:textId="16B78F76" w:rsidR="009A2481" w:rsidRPr="000B080F" w:rsidRDefault="009A2481" w:rsidP="00F44200">
      <w:pPr>
        <w:suppressLineNumbers/>
        <w:suppressAutoHyphens/>
        <w:spacing w:before="120" w:after="120"/>
        <w:ind w:firstLine="720"/>
        <w:rPr>
          <w:snapToGrid w:val="0"/>
          <w:kern w:val="22"/>
          <w:szCs w:val="22"/>
          <w:lang w:val="es-UY"/>
        </w:rPr>
      </w:pPr>
      <w:r w:rsidRPr="000B080F">
        <w:rPr>
          <w:snapToGrid w:val="0"/>
          <w:kern w:val="22"/>
          <w:szCs w:val="22"/>
          <w:lang w:val="es-UY"/>
        </w:rPr>
        <w:t>a)</w:t>
      </w:r>
      <w:r w:rsidRPr="000B080F">
        <w:rPr>
          <w:snapToGrid w:val="0"/>
          <w:kern w:val="22"/>
          <w:szCs w:val="22"/>
          <w:lang w:val="es-UY"/>
        </w:rPr>
        <w:tab/>
      </w:r>
      <w:r w:rsidR="0001765E" w:rsidRPr="000B080F">
        <w:rPr>
          <w:lang w:val="es-UY"/>
        </w:rPr>
        <w:t xml:space="preserve">Encargue, con sujeción a la disponibilidad de recursos y aplicando la decisión 14/33 relativa al procedimiento </w:t>
      </w:r>
      <w:r w:rsidR="005E44BC" w:rsidRPr="000B080F">
        <w:rPr>
          <w:lang w:val="es-UY"/>
        </w:rPr>
        <w:t>para evitar o tratar conflictos de intereses en los grupos de expertos</w:t>
      </w:r>
      <w:r w:rsidR="0001765E" w:rsidRPr="000B080F">
        <w:rPr>
          <w:lang w:val="es-UY"/>
        </w:rPr>
        <w:t xml:space="preserve">, la preparación </w:t>
      </w:r>
      <w:r w:rsidR="000B080F">
        <w:rPr>
          <w:lang w:val="es-UY"/>
        </w:rPr>
        <w:t xml:space="preserve">de </w:t>
      </w:r>
      <w:r w:rsidR="0001765E" w:rsidRPr="000B080F">
        <w:rPr>
          <w:lang w:val="es-UY"/>
        </w:rPr>
        <w:t>un esbozo detallado de materiales de orientación adicionales sobre la evaluación del riesgo de los organismos vivos modificados que contengan impulsores genéticos modificados, para que el foro en línea los examine con el fin de que sirvan de base para la labor del Grupo Especial de Expertos Técnicos</w:t>
      </w:r>
      <w:r w:rsidRPr="000B080F">
        <w:rPr>
          <w:snapToGrid w:val="0"/>
          <w:kern w:val="22"/>
          <w:szCs w:val="22"/>
          <w:lang w:val="es-UY"/>
        </w:rPr>
        <w:t>;</w:t>
      </w:r>
    </w:p>
    <w:p w14:paraId="2F0AF034" w14:textId="7C7216CC" w:rsidR="00F44200" w:rsidRPr="000B080F" w:rsidRDefault="00F44200" w:rsidP="00F44200">
      <w:pPr>
        <w:suppressLineNumbers/>
        <w:tabs>
          <w:tab w:val="left" w:pos="1440"/>
        </w:tabs>
        <w:suppressAutoHyphens/>
        <w:spacing w:before="120" w:after="120"/>
        <w:ind w:firstLine="720"/>
        <w:rPr>
          <w:snapToGrid w:val="0"/>
          <w:kern w:val="22"/>
          <w:szCs w:val="22"/>
          <w:lang w:val="es-UY"/>
        </w:rPr>
      </w:pPr>
      <w:r w:rsidRPr="000B080F">
        <w:rPr>
          <w:snapToGrid w:val="0"/>
          <w:kern w:val="22"/>
          <w:szCs w:val="22"/>
          <w:lang w:val="es-UY"/>
        </w:rPr>
        <w:t>b)</w:t>
      </w:r>
      <w:r w:rsidRPr="000B080F">
        <w:rPr>
          <w:snapToGrid w:val="0"/>
          <w:kern w:val="22"/>
          <w:szCs w:val="22"/>
          <w:lang w:val="es-UY"/>
        </w:rPr>
        <w:tab/>
      </w:r>
      <w:r w:rsidR="005E44BC" w:rsidRPr="000B080F">
        <w:rPr>
          <w:lang w:val="es-UY"/>
        </w:rPr>
        <w:t>Convoque debates en línea del Foro en línea sobre evaluación del riesgo y gestión del riesgo para revisar un esbozo de los materiales de orientación voluntaria adicionales y para apoyar la labor del Grupo Especial de Expertos Técnicos</w:t>
      </w:r>
      <w:r w:rsidRPr="000B080F">
        <w:rPr>
          <w:snapToGrid w:val="0"/>
          <w:kern w:val="22"/>
          <w:szCs w:val="22"/>
          <w:lang w:val="es-UY"/>
        </w:rPr>
        <w:t>;</w:t>
      </w:r>
      <w:bookmarkStart w:id="1" w:name="_Hlk69990939"/>
    </w:p>
    <w:p w14:paraId="51ADBD34" w14:textId="4C4E6536" w:rsidR="00F44200" w:rsidRPr="000B080F" w:rsidRDefault="00F44200" w:rsidP="00F44200">
      <w:pPr>
        <w:suppressLineNumbers/>
        <w:tabs>
          <w:tab w:val="left" w:pos="1440"/>
        </w:tabs>
        <w:suppressAutoHyphens/>
        <w:spacing w:before="120" w:after="120"/>
        <w:ind w:firstLine="720"/>
        <w:rPr>
          <w:snapToGrid w:val="0"/>
          <w:kern w:val="22"/>
          <w:szCs w:val="22"/>
          <w:lang w:val="es-UY"/>
        </w:rPr>
      </w:pPr>
      <w:r w:rsidRPr="000B080F">
        <w:rPr>
          <w:snapToGrid w:val="0"/>
          <w:kern w:val="22"/>
          <w:szCs w:val="22"/>
          <w:lang w:val="es-UY"/>
        </w:rPr>
        <w:t>c)</w:t>
      </w:r>
      <w:r w:rsidRPr="000B080F">
        <w:rPr>
          <w:snapToGrid w:val="0"/>
          <w:kern w:val="22"/>
          <w:szCs w:val="22"/>
          <w:lang w:val="es-UY"/>
        </w:rPr>
        <w:tab/>
      </w:r>
      <w:r w:rsidR="005E44BC" w:rsidRPr="000B080F">
        <w:rPr>
          <w:lang w:val="es-UY"/>
        </w:rPr>
        <w:t>Recopile y resuma la información pertinente para facilitar la labor del Foro en línea y del Grupo Especial de Expertos Técnicos</w:t>
      </w:r>
      <w:r w:rsidRPr="000B080F">
        <w:rPr>
          <w:snapToGrid w:val="0"/>
          <w:kern w:val="22"/>
          <w:szCs w:val="22"/>
          <w:lang w:val="es-UY"/>
        </w:rPr>
        <w:t>;</w:t>
      </w:r>
    </w:p>
    <w:bookmarkEnd w:id="1"/>
    <w:p w14:paraId="11404438" w14:textId="0930887E" w:rsidR="00F44200" w:rsidRPr="000B080F" w:rsidRDefault="00F44200" w:rsidP="00F44200">
      <w:pPr>
        <w:suppressLineNumbers/>
        <w:tabs>
          <w:tab w:val="left" w:pos="1440"/>
        </w:tabs>
        <w:suppressAutoHyphens/>
        <w:spacing w:before="120" w:after="120"/>
        <w:ind w:firstLine="720"/>
        <w:rPr>
          <w:snapToGrid w:val="0"/>
          <w:kern w:val="22"/>
          <w:szCs w:val="22"/>
          <w:lang w:val="es-UY"/>
        </w:rPr>
      </w:pPr>
      <w:r w:rsidRPr="000B080F">
        <w:rPr>
          <w:snapToGrid w:val="0"/>
          <w:kern w:val="22"/>
          <w:szCs w:val="22"/>
          <w:lang w:val="es-UY"/>
        </w:rPr>
        <w:t>d)</w:t>
      </w:r>
      <w:r w:rsidRPr="000B080F">
        <w:rPr>
          <w:snapToGrid w:val="0"/>
          <w:kern w:val="22"/>
          <w:szCs w:val="22"/>
          <w:lang w:val="es-UY"/>
        </w:rPr>
        <w:tab/>
      </w:r>
      <w:r w:rsidR="005E44BC" w:rsidRPr="000B080F">
        <w:rPr>
          <w:lang w:val="es-UY"/>
        </w:rPr>
        <w:t xml:space="preserve">Haga un resumen de las opiniones mencionadas en los párrafos </w:t>
      </w:r>
      <w:r w:rsidR="00307E07" w:rsidRPr="000B080F">
        <w:rPr>
          <w:lang w:val="es-UY"/>
        </w:rPr>
        <w:t>7</w:t>
      </w:r>
      <w:r w:rsidR="005E44BC" w:rsidRPr="000B080F">
        <w:rPr>
          <w:lang w:val="es-UY"/>
        </w:rPr>
        <w:t xml:space="preserve"> y </w:t>
      </w:r>
      <w:r w:rsidR="00307E07" w:rsidRPr="000B080F">
        <w:rPr>
          <w:lang w:val="es-UY"/>
        </w:rPr>
        <w:t>8</w:t>
      </w:r>
      <w:r w:rsidR="005E44BC" w:rsidRPr="000B080F">
        <w:rPr>
          <w:lang w:val="es-UY"/>
        </w:rPr>
        <w:t xml:space="preserve"> y de los debates del Foro en línea, y los ponga a disposición del Grupo Especial de Expertos Técnicos</w:t>
      </w:r>
      <w:r w:rsidRPr="000B080F">
        <w:rPr>
          <w:snapToGrid w:val="0"/>
          <w:kern w:val="22"/>
          <w:szCs w:val="22"/>
          <w:lang w:val="es-UY"/>
        </w:rPr>
        <w:t>;</w:t>
      </w:r>
    </w:p>
    <w:p w14:paraId="6985C107" w14:textId="1ECE628E" w:rsidR="00F44200" w:rsidRPr="000B080F" w:rsidRDefault="00F44200" w:rsidP="00F44200">
      <w:pPr>
        <w:suppressLineNumbers/>
        <w:tabs>
          <w:tab w:val="left" w:pos="1440"/>
        </w:tabs>
        <w:suppressAutoHyphens/>
        <w:spacing w:before="120" w:after="120"/>
        <w:ind w:firstLine="720"/>
        <w:rPr>
          <w:snapToGrid w:val="0"/>
          <w:kern w:val="22"/>
          <w:szCs w:val="22"/>
          <w:lang w:val="es-UY"/>
        </w:rPr>
      </w:pPr>
      <w:r w:rsidRPr="000B080F">
        <w:rPr>
          <w:snapToGrid w:val="0"/>
          <w:kern w:val="22"/>
          <w:szCs w:val="22"/>
          <w:lang w:val="es-UY"/>
        </w:rPr>
        <w:lastRenderedPageBreak/>
        <w:t>e)</w:t>
      </w:r>
      <w:r w:rsidRPr="000B080F">
        <w:rPr>
          <w:snapToGrid w:val="0"/>
          <w:kern w:val="22"/>
          <w:szCs w:val="22"/>
          <w:lang w:val="es-UY"/>
        </w:rPr>
        <w:tab/>
      </w:r>
      <w:r w:rsidR="005E44BC" w:rsidRPr="000B080F">
        <w:rPr>
          <w:lang w:val="es-UY"/>
        </w:rPr>
        <w:t>Convoque, con sujeción a la disponibilidad de recursos, dos reuniones del Grupo Especial de Expertos Técnicos en Evaluación del Riesgo, y que al menos una de las reuniones sea presencial</w:t>
      </w:r>
      <w:r w:rsidR="005E44BC" w:rsidRPr="000B080F">
        <w:rPr>
          <w:rStyle w:val="FootnoteReference"/>
          <w:kern w:val="22"/>
          <w:szCs w:val="22"/>
          <w:lang w:val="es-UY"/>
        </w:rPr>
        <w:footnoteReference w:id="3"/>
      </w:r>
      <w:r w:rsidR="005E44BC" w:rsidRPr="000B080F">
        <w:rPr>
          <w:kern w:val="22"/>
          <w:szCs w:val="22"/>
          <w:lang w:val="es-UY"/>
        </w:rPr>
        <w:t>;</w:t>
      </w:r>
    </w:p>
    <w:p w14:paraId="4B4B1B95" w14:textId="6EA7A000" w:rsidR="00F44200" w:rsidRPr="000B080F" w:rsidRDefault="00F44200" w:rsidP="00F44200">
      <w:pPr>
        <w:suppressLineNumbers/>
        <w:suppressAutoHyphens/>
        <w:spacing w:before="120" w:after="120"/>
        <w:ind w:firstLine="720"/>
        <w:rPr>
          <w:snapToGrid w:val="0"/>
          <w:kern w:val="22"/>
          <w:szCs w:val="22"/>
          <w:lang w:val="es-UY"/>
        </w:rPr>
      </w:pPr>
      <w:r w:rsidRPr="000B080F">
        <w:rPr>
          <w:snapToGrid w:val="0"/>
          <w:kern w:val="22"/>
          <w:szCs w:val="22"/>
          <w:lang w:val="es-UY"/>
        </w:rPr>
        <w:t>f)</w:t>
      </w:r>
      <w:r w:rsidRPr="000B080F">
        <w:rPr>
          <w:snapToGrid w:val="0"/>
          <w:kern w:val="22"/>
          <w:szCs w:val="22"/>
          <w:lang w:val="es-UY"/>
        </w:rPr>
        <w:tab/>
      </w:r>
      <w:r w:rsidR="005E44BC" w:rsidRPr="000B080F">
        <w:rPr>
          <w:lang w:val="es-UY"/>
        </w:rPr>
        <w:t>Facilite el proceso de determinación y priorización de cuestiones específicas de la evaluación del riesgo de los organismos vivos modificados que puedan ameritar consideración, como se establece en el párrafo 6 de la decisión CP-9/13, publicando la información presentada por las Partes sobre los temas determinados de acuerdo con el anexo I de la misma decisión, así como la información útil para la evaluación del riesgo de esos temas, a través de una página web específica dentro del Centro de Intercambio de Información sobre Seguridad de la Biotecnología</w:t>
      </w:r>
      <w:r w:rsidRPr="000B080F">
        <w:rPr>
          <w:snapToGrid w:val="0"/>
          <w:kern w:val="22"/>
          <w:szCs w:val="22"/>
          <w:lang w:val="es-UY"/>
        </w:rPr>
        <w:t>;</w:t>
      </w:r>
    </w:p>
    <w:p w14:paraId="1B6E0E81" w14:textId="0B9FF67F" w:rsidR="00F44200" w:rsidRPr="000B080F" w:rsidRDefault="00F44200" w:rsidP="00F44200">
      <w:pPr>
        <w:spacing w:before="120" w:after="120"/>
        <w:ind w:firstLine="720"/>
        <w:rPr>
          <w:snapToGrid w:val="0"/>
          <w:lang w:val="es-UY"/>
        </w:rPr>
      </w:pPr>
      <w:r w:rsidRPr="000B080F">
        <w:rPr>
          <w:snapToGrid w:val="0"/>
          <w:kern w:val="22"/>
          <w:szCs w:val="22"/>
          <w:lang w:val="es-UY"/>
        </w:rPr>
        <w:t>g)</w:t>
      </w:r>
      <w:r w:rsidRPr="000B080F">
        <w:rPr>
          <w:snapToGrid w:val="0"/>
          <w:kern w:val="22"/>
          <w:szCs w:val="22"/>
          <w:lang w:val="es-UY"/>
        </w:rPr>
        <w:tab/>
      </w:r>
      <w:r w:rsidR="005E44BC" w:rsidRPr="000B080F">
        <w:rPr>
          <w:snapToGrid w:val="0"/>
          <w:lang w:val="es-UY"/>
        </w:rPr>
        <w:t>Garantice la participación plena y efectiva de los pueblos indígenas y las comunidades locales en las deliberaciones y en la labor sobre la evaluación del riesgo en el marco del Protocolo de Cartagena</w:t>
      </w:r>
      <w:r w:rsidRPr="000B080F">
        <w:rPr>
          <w:snapToGrid w:val="0"/>
          <w:kern w:val="22"/>
          <w:szCs w:val="22"/>
          <w:lang w:val="es-UY"/>
        </w:rPr>
        <w:t>;</w:t>
      </w:r>
    </w:p>
    <w:p w14:paraId="682F2980" w14:textId="50C47D5A" w:rsidR="00F44200" w:rsidRPr="000B080F" w:rsidRDefault="00F44200" w:rsidP="00F44200">
      <w:pPr>
        <w:suppressLineNumbers/>
        <w:suppressAutoHyphens/>
        <w:spacing w:before="120" w:after="120"/>
        <w:ind w:firstLine="720"/>
        <w:rPr>
          <w:snapToGrid w:val="0"/>
          <w:kern w:val="22"/>
          <w:szCs w:val="22"/>
          <w:lang w:val="es-UY"/>
        </w:rPr>
      </w:pPr>
      <w:r w:rsidRPr="000B080F">
        <w:rPr>
          <w:snapToGrid w:val="0"/>
          <w:kern w:val="22"/>
          <w:szCs w:val="22"/>
          <w:lang w:val="es-UY"/>
        </w:rPr>
        <w:t>h)</w:t>
      </w:r>
      <w:r w:rsidRPr="000B080F">
        <w:rPr>
          <w:snapToGrid w:val="0"/>
          <w:kern w:val="22"/>
          <w:szCs w:val="22"/>
          <w:lang w:val="es-UY"/>
        </w:rPr>
        <w:tab/>
      </w:r>
      <w:r w:rsidR="005E44BC" w:rsidRPr="000B080F">
        <w:rPr>
          <w:lang w:val="es-UY"/>
        </w:rPr>
        <w:t>Explore formas de facilitar y apoyar la creación de capacidad y el intercambio de conocimientos y la transferencia de tecnología en relación con la evaluación del riesgo y la gestión del riesgo de los organismos vivos modificados</w:t>
      </w:r>
      <w:r w:rsidRPr="000B080F">
        <w:rPr>
          <w:snapToGrid w:val="0"/>
          <w:kern w:val="22"/>
          <w:szCs w:val="22"/>
          <w:lang w:val="es-UY"/>
        </w:rPr>
        <w:t>;</w:t>
      </w:r>
    </w:p>
    <w:p w14:paraId="74580E01" w14:textId="2C5EFBAE" w:rsidR="00F44200" w:rsidRPr="000B080F" w:rsidRDefault="00F44200" w:rsidP="00F44200">
      <w:pPr>
        <w:suppressLineNumbers/>
        <w:suppressAutoHyphens/>
        <w:spacing w:before="120" w:after="120"/>
        <w:ind w:firstLine="720"/>
        <w:rPr>
          <w:snapToGrid w:val="0"/>
          <w:kern w:val="22"/>
          <w:szCs w:val="22"/>
          <w:lang w:val="es-UY"/>
        </w:rPr>
      </w:pPr>
      <w:r w:rsidRPr="000B080F">
        <w:rPr>
          <w:snapToGrid w:val="0"/>
          <w:kern w:val="22"/>
          <w:szCs w:val="22"/>
          <w:lang w:val="es-UY"/>
        </w:rPr>
        <w:t>i)</w:t>
      </w:r>
      <w:r w:rsidRPr="000B080F">
        <w:rPr>
          <w:snapToGrid w:val="0"/>
          <w:kern w:val="22"/>
          <w:szCs w:val="22"/>
          <w:lang w:val="es-UY"/>
        </w:rPr>
        <w:tab/>
      </w:r>
      <w:r w:rsidR="005E44BC" w:rsidRPr="000B080F">
        <w:rPr>
          <w:lang w:val="es-UY"/>
        </w:rPr>
        <w:t>Ofrezca páginas web específicas en el Centro de Intercambio de Información sobre Seguridad de la Biotecnología para facilitar el acceso y sensibilizar sobre la información disponible que es pertinente para la evaluación del riesgo de los organismos vivos modificados, incluidos los peces vivos modificados y los organismos que contengan impulsores genéticos modificados</w:t>
      </w:r>
      <w:r w:rsidRPr="000B080F">
        <w:rPr>
          <w:snapToGrid w:val="0"/>
          <w:kern w:val="22"/>
          <w:szCs w:val="22"/>
          <w:lang w:val="es-UY"/>
        </w:rPr>
        <w:t>;</w:t>
      </w:r>
    </w:p>
    <w:p w14:paraId="711E3BE3" w14:textId="329C8570" w:rsidR="00F44200" w:rsidRPr="000B080F" w:rsidRDefault="00F44200" w:rsidP="00F44200">
      <w:pPr>
        <w:suppressLineNumbers/>
        <w:suppressAutoHyphens/>
        <w:spacing w:before="120" w:after="120"/>
        <w:ind w:firstLine="720"/>
        <w:rPr>
          <w:snapToGrid w:val="0"/>
          <w:kern w:val="22"/>
          <w:szCs w:val="22"/>
          <w:lang w:val="es-UY"/>
        </w:rPr>
      </w:pPr>
      <w:r w:rsidRPr="000B080F">
        <w:rPr>
          <w:snapToGrid w:val="0"/>
          <w:kern w:val="22"/>
          <w:szCs w:val="22"/>
          <w:lang w:val="es-UY"/>
        </w:rPr>
        <w:t>1</w:t>
      </w:r>
      <w:r w:rsidR="006B0E1E" w:rsidRPr="000B080F">
        <w:rPr>
          <w:snapToGrid w:val="0"/>
          <w:kern w:val="22"/>
          <w:szCs w:val="22"/>
          <w:lang w:val="es-UY"/>
        </w:rPr>
        <w:t>1</w:t>
      </w:r>
      <w:r w:rsidRPr="000B080F">
        <w:rPr>
          <w:snapToGrid w:val="0"/>
          <w:kern w:val="22"/>
          <w:szCs w:val="22"/>
          <w:lang w:val="es-UY"/>
        </w:rPr>
        <w:t>.</w:t>
      </w:r>
      <w:r w:rsidRPr="000B080F">
        <w:rPr>
          <w:snapToGrid w:val="0"/>
          <w:kern w:val="22"/>
          <w:szCs w:val="22"/>
          <w:lang w:val="es-UY"/>
        </w:rPr>
        <w:tab/>
      </w:r>
      <w:r w:rsidR="005E44BC" w:rsidRPr="000B080F">
        <w:rPr>
          <w:i/>
          <w:lang w:val="es-UY"/>
        </w:rPr>
        <w:t>Pide</w:t>
      </w:r>
      <w:r w:rsidR="005E44BC" w:rsidRPr="000B080F">
        <w:rPr>
          <w:lang w:val="es-UY"/>
        </w:rPr>
        <w:t xml:space="preserve"> al Órgano Subsidiario de Asesoramiento Científico, Técnico y Tecnológico que examine los resultados del Grupo Especial de Expertos Técnicos sobre Evaluación del Riesgo </w:t>
      </w:r>
      <w:r w:rsidR="00307E07" w:rsidRPr="000B080F">
        <w:rPr>
          <w:lang w:val="es-UY"/>
        </w:rPr>
        <w:t xml:space="preserve">en su 26ª reunión, </w:t>
      </w:r>
      <w:r w:rsidR="005E44BC" w:rsidRPr="000B080F">
        <w:rPr>
          <w:lang w:val="es-UY"/>
        </w:rPr>
        <w:t xml:space="preserve">y </w:t>
      </w:r>
      <w:r w:rsidR="00307E07" w:rsidRPr="000B080F">
        <w:rPr>
          <w:lang w:val="es-UY"/>
        </w:rPr>
        <w:t xml:space="preserve">que </w:t>
      </w:r>
      <w:r w:rsidR="005E44BC" w:rsidRPr="000B080F">
        <w:rPr>
          <w:lang w:val="es-UY"/>
        </w:rPr>
        <w:t>formule una recomendación para someterla a la consideración de la Conferencia de las Partes que actúa como reunión de las Partes en el Protocolo de Cartagena en su 11ª reunión</w:t>
      </w:r>
      <w:r w:rsidRPr="000B080F">
        <w:rPr>
          <w:snapToGrid w:val="0"/>
          <w:kern w:val="22"/>
          <w:szCs w:val="22"/>
          <w:lang w:val="es-UY"/>
        </w:rPr>
        <w:t>;</w:t>
      </w:r>
    </w:p>
    <w:p w14:paraId="2FEC79AA" w14:textId="57A127C7" w:rsidR="00F44200" w:rsidRPr="000B080F" w:rsidRDefault="00F44200" w:rsidP="00F44200">
      <w:pPr>
        <w:keepNext/>
        <w:suppressLineNumbers/>
        <w:suppressAutoHyphens/>
        <w:spacing w:before="120" w:after="120"/>
        <w:ind w:firstLine="720"/>
        <w:rPr>
          <w:snapToGrid w:val="0"/>
          <w:kern w:val="22"/>
          <w:szCs w:val="22"/>
          <w:lang w:val="es-UY"/>
        </w:rPr>
      </w:pPr>
      <w:r w:rsidRPr="000B080F">
        <w:rPr>
          <w:snapToGrid w:val="0"/>
          <w:kern w:val="22"/>
          <w:szCs w:val="22"/>
          <w:lang w:val="es-UY"/>
        </w:rPr>
        <w:t>1</w:t>
      </w:r>
      <w:r w:rsidR="006B0E1E" w:rsidRPr="000B080F">
        <w:rPr>
          <w:snapToGrid w:val="0"/>
          <w:kern w:val="22"/>
          <w:szCs w:val="22"/>
          <w:lang w:val="es-UY"/>
        </w:rPr>
        <w:t>2</w:t>
      </w:r>
      <w:r w:rsidRPr="000B080F">
        <w:rPr>
          <w:snapToGrid w:val="0"/>
          <w:kern w:val="22"/>
          <w:szCs w:val="22"/>
          <w:lang w:val="es-UY"/>
        </w:rPr>
        <w:t>.</w:t>
      </w:r>
      <w:r w:rsidRPr="000B080F">
        <w:rPr>
          <w:snapToGrid w:val="0"/>
          <w:kern w:val="22"/>
          <w:szCs w:val="22"/>
          <w:lang w:val="es-UY"/>
        </w:rPr>
        <w:tab/>
      </w:r>
      <w:r w:rsidR="005E44BC" w:rsidRPr="000B080F">
        <w:rPr>
          <w:i/>
          <w:snapToGrid w:val="0"/>
          <w:lang w:val="es-UY"/>
        </w:rPr>
        <w:t>Decide</w:t>
      </w:r>
      <w:r w:rsidR="005E44BC" w:rsidRPr="000B080F">
        <w:rPr>
          <w:snapToGrid w:val="0"/>
          <w:lang w:val="es-UY"/>
        </w:rPr>
        <w:t xml:space="preserve"> considerar, en su 11ª reunión, cuestiones adicionales sobre las que podría necesitarse material de orientación sobre la evaluación del riesgo, tras el proceso de determinación y priorización de cuestiones específicas de la evaluación del riesgo de los organismos vivos modificados establecido en la decisión CP-9/13, teniendo en cuenta las prioridades determinadas por las Partes de conformidad con el párrafo </w:t>
      </w:r>
      <w:r w:rsidR="00967CA9" w:rsidRPr="000B080F">
        <w:rPr>
          <w:snapToGrid w:val="0"/>
          <w:lang w:val="es-UY"/>
        </w:rPr>
        <w:t>8 anterior</w:t>
      </w:r>
      <w:r w:rsidR="005E44BC" w:rsidRPr="000B080F">
        <w:rPr>
          <w:snapToGrid w:val="0"/>
          <w:lang w:val="es-UY"/>
        </w:rPr>
        <w:t xml:space="preserve"> y el informe del Grupo Especial de Expertos Técnicos de conformidad con el párrafo 1 </w:t>
      </w:r>
      <w:r w:rsidR="00B84B85" w:rsidRPr="000B080F">
        <w:rPr>
          <w:snapToGrid w:val="0"/>
          <w:lang w:val="es-UY"/>
        </w:rPr>
        <w:t>e</w:t>
      </w:r>
      <w:r w:rsidR="005E44BC" w:rsidRPr="000B080F">
        <w:rPr>
          <w:snapToGrid w:val="0"/>
          <w:lang w:val="es-UY"/>
        </w:rPr>
        <w:t>) de su mandato</w:t>
      </w:r>
      <w:r w:rsidRPr="000B080F">
        <w:rPr>
          <w:snapToGrid w:val="0"/>
          <w:kern w:val="22"/>
          <w:szCs w:val="22"/>
          <w:lang w:val="es-UY"/>
        </w:rPr>
        <w:t>.</w:t>
      </w:r>
    </w:p>
    <w:p w14:paraId="1E042E86" w14:textId="14AC2780" w:rsidR="00F44200" w:rsidRPr="000B080F" w:rsidRDefault="00F44200" w:rsidP="00F44200">
      <w:pPr>
        <w:keepNext/>
        <w:suppressLineNumbers/>
        <w:suppressAutoHyphens/>
        <w:spacing w:before="240" w:after="120"/>
        <w:contextualSpacing/>
        <w:jc w:val="center"/>
        <w:outlineLvl w:val="2"/>
        <w:rPr>
          <w:i/>
          <w:iCs/>
          <w:snapToGrid w:val="0"/>
          <w:kern w:val="22"/>
          <w:szCs w:val="22"/>
          <w:lang w:val="es-UY"/>
        </w:rPr>
      </w:pPr>
      <w:bookmarkStart w:id="2" w:name="_Toc118383073"/>
      <w:r w:rsidRPr="000B080F">
        <w:rPr>
          <w:i/>
          <w:iCs/>
          <w:snapToGrid w:val="0"/>
          <w:kern w:val="22"/>
          <w:szCs w:val="22"/>
          <w:lang w:val="es-UY"/>
        </w:rPr>
        <w:t>Anex</w:t>
      </w:r>
      <w:bookmarkEnd w:id="2"/>
      <w:r w:rsidR="005E44BC" w:rsidRPr="000B080F">
        <w:rPr>
          <w:i/>
          <w:iCs/>
          <w:snapToGrid w:val="0"/>
          <w:kern w:val="22"/>
          <w:szCs w:val="22"/>
          <w:lang w:val="es-UY"/>
        </w:rPr>
        <w:t>o</w:t>
      </w:r>
    </w:p>
    <w:p w14:paraId="21799443" w14:textId="0000BDEA" w:rsidR="00F44200" w:rsidRPr="000B080F" w:rsidRDefault="005E44BC" w:rsidP="00F44200">
      <w:pPr>
        <w:keepNext/>
        <w:tabs>
          <w:tab w:val="left" w:pos="720"/>
        </w:tabs>
        <w:spacing w:before="240" w:after="120"/>
        <w:jc w:val="center"/>
        <w:outlineLvl w:val="2"/>
        <w:rPr>
          <w:b/>
          <w:caps/>
          <w:szCs w:val="22"/>
          <w:lang w:val="es-UY"/>
        </w:rPr>
      </w:pPr>
      <w:bookmarkStart w:id="3" w:name="_Toc118383074"/>
      <w:r w:rsidRPr="000B080F">
        <w:rPr>
          <w:b/>
          <w:caps/>
          <w:szCs w:val="22"/>
          <w:lang w:val="es-UY"/>
        </w:rPr>
        <w:t>Mandato para el Grupo Especial de Expertos Técnicos sobre Evaluación del Riesgo</w:t>
      </w:r>
      <w:bookmarkEnd w:id="3"/>
    </w:p>
    <w:p w14:paraId="5039900D" w14:textId="2B21EC13" w:rsidR="00F44200" w:rsidRPr="000B080F" w:rsidRDefault="00F44200" w:rsidP="00F44200">
      <w:pPr>
        <w:keepNext/>
        <w:suppressLineNumbers/>
        <w:suppressAutoHyphens/>
        <w:spacing w:before="120" w:after="120"/>
        <w:rPr>
          <w:snapToGrid w:val="0"/>
          <w:kern w:val="22"/>
          <w:szCs w:val="22"/>
          <w:lang w:val="es-UY"/>
        </w:rPr>
      </w:pPr>
      <w:r w:rsidRPr="000B080F">
        <w:rPr>
          <w:snapToGrid w:val="0"/>
          <w:kern w:val="22"/>
          <w:szCs w:val="22"/>
          <w:lang w:val="es-UY"/>
        </w:rPr>
        <w:t>1.</w:t>
      </w:r>
      <w:r w:rsidRPr="000B080F">
        <w:rPr>
          <w:snapToGrid w:val="0"/>
          <w:kern w:val="22"/>
          <w:szCs w:val="22"/>
          <w:lang w:val="es-UY"/>
        </w:rPr>
        <w:tab/>
      </w:r>
      <w:r w:rsidR="005E44BC" w:rsidRPr="000B080F">
        <w:rPr>
          <w:szCs w:val="22"/>
          <w:lang w:val="es-UY"/>
        </w:rPr>
        <w:t>El Grupo Especial de Expertos Técnicos (en adelante, el Grupo) sobre Evaluación del Riesgo deberá</w:t>
      </w:r>
      <w:r w:rsidRPr="000B080F">
        <w:rPr>
          <w:snapToGrid w:val="0"/>
          <w:kern w:val="22"/>
          <w:szCs w:val="22"/>
          <w:lang w:val="es-UY"/>
        </w:rPr>
        <w:t>:</w:t>
      </w:r>
    </w:p>
    <w:p w14:paraId="4B582806" w14:textId="489731CD" w:rsidR="00F44200" w:rsidRPr="000B080F" w:rsidRDefault="00F44200" w:rsidP="00F44200">
      <w:pPr>
        <w:keepNext/>
        <w:suppressLineNumbers/>
        <w:suppressAutoHyphens/>
        <w:spacing w:before="120" w:after="120"/>
        <w:ind w:firstLine="720"/>
        <w:rPr>
          <w:kern w:val="22"/>
          <w:szCs w:val="22"/>
          <w:lang w:val="es-UY"/>
        </w:rPr>
      </w:pPr>
      <w:r w:rsidRPr="000B080F">
        <w:rPr>
          <w:kern w:val="22"/>
          <w:szCs w:val="22"/>
          <w:lang w:val="es-UY"/>
        </w:rPr>
        <w:t>a)</w:t>
      </w:r>
      <w:r w:rsidRPr="000B080F">
        <w:rPr>
          <w:kern w:val="22"/>
          <w:szCs w:val="22"/>
          <w:lang w:val="es-UY"/>
        </w:rPr>
        <w:tab/>
      </w:r>
      <w:r w:rsidR="005E44BC" w:rsidRPr="000B080F">
        <w:rPr>
          <w:szCs w:val="22"/>
          <w:lang w:val="es-UY"/>
        </w:rPr>
        <w:t xml:space="preserve">Estar compuesto por expertos seleccionados de conformidad con la sección H del </w:t>
      </w:r>
      <w:r w:rsidR="005E44BC" w:rsidRPr="000B080F">
        <w:rPr>
          <w:i/>
          <w:iCs/>
          <w:szCs w:val="22"/>
          <w:lang w:val="es-UY"/>
        </w:rPr>
        <w:t>modus operandi</w:t>
      </w:r>
      <w:r w:rsidR="005E44BC" w:rsidRPr="000B080F">
        <w:rPr>
          <w:szCs w:val="22"/>
          <w:lang w:val="es-UY"/>
        </w:rPr>
        <w:t xml:space="preserve"> refundido del Órgano Subsidiario de Asesoramiento Científico, Técnico y Tecnológico, garantizando un conocimiento científico y técnico específico sobre los organismos que contienen impulsores genéticos modificados y sus posibles efectos sobre la diversidad biológica, así como sobre las cuestiones pertinentes para el mandato del Grupo, incluyendo expertos de las organizaciones internacionales pertinente</w:t>
      </w:r>
      <w:r w:rsidR="005E44BC" w:rsidRPr="000B080F">
        <w:rPr>
          <w:kern w:val="22"/>
          <w:szCs w:val="22"/>
          <w:lang w:val="es-UY"/>
        </w:rPr>
        <w:t>s</w:t>
      </w:r>
      <w:r w:rsidR="005E44BC" w:rsidRPr="000B080F">
        <w:rPr>
          <w:rStyle w:val="FootnoteReference"/>
          <w:kern w:val="22"/>
          <w:szCs w:val="22"/>
          <w:lang w:val="es-UY"/>
        </w:rPr>
        <w:footnoteReference w:id="4"/>
      </w:r>
      <w:r w:rsidR="005E44BC" w:rsidRPr="000B080F">
        <w:rPr>
          <w:kern w:val="22"/>
          <w:szCs w:val="22"/>
          <w:lang w:val="es-UY"/>
        </w:rPr>
        <w:t xml:space="preserve">, así </w:t>
      </w:r>
      <w:r w:rsidR="005E44BC" w:rsidRPr="000B080F">
        <w:rPr>
          <w:szCs w:val="22"/>
          <w:lang w:val="es-UY"/>
        </w:rPr>
        <w:t>como de los pueblos indígenas y las comunidades locales, y aplicando la decisión 14/33 sobre el procedimiento para evitar o tratar conflictos de intereses en los grupos de expertos</w:t>
      </w:r>
      <w:r w:rsidRPr="000B080F">
        <w:rPr>
          <w:kern w:val="22"/>
          <w:szCs w:val="22"/>
          <w:lang w:val="es-UY"/>
        </w:rPr>
        <w:t>;</w:t>
      </w:r>
    </w:p>
    <w:p w14:paraId="129E9336" w14:textId="0431C946" w:rsidR="00F44200" w:rsidRPr="000B080F" w:rsidRDefault="005E54B7" w:rsidP="00F44200">
      <w:pPr>
        <w:spacing w:before="120" w:after="120"/>
        <w:ind w:firstLine="720"/>
        <w:rPr>
          <w:kern w:val="22"/>
          <w:szCs w:val="22"/>
          <w:lang w:val="es-UY"/>
        </w:rPr>
      </w:pPr>
      <w:r w:rsidRPr="000B080F">
        <w:rPr>
          <w:kern w:val="22"/>
          <w:szCs w:val="22"/>
          <w:lang w:val="es-UY"/>
        </w:rPr>
        <w:t>b</w:t>
      </w:r>
      <w:r w:rsidR="00F44200" w:rsidRPr="000B080F">
        <w:rPr>
          <w:kern w:val="22"/>
          <w:szCs w:val="22"/>
          <w:lang w:val="es-UY"/>
        </w:rPr>
        <w:t>)</w:t>
      </w:r>
      <w:r w:rsidR="00F44200" w:rsidRPr="000B080F">
        <w:rPr>
          <w:kern w:val="22"/>
          <w:szCs w:val="22"/>
          <w:lang w:val="es-UY"/>
        </w:rPr>
        <w:tab/>
      </w:r>
      <w:r w:rsidR="005E44BC" w:rsidRPr="000B080F">
        <w:rPr>
          <w:szCs w:val="22"/>
          <w:lang w:val="es-UY"/>
        </w:rPr>
        <w:t xml:space="preserve">Reunirse dos veces, con sujeción a la disponibilidad de fondos y con anterioridad a la 11ª reunión de la Conferencia de las Partes que actúa como reunión de las Partes en el Protocolo de </w:t>
      </w:r>
      <w:r w:rsidR="005E44BC" w:rsidRPr="000B080F">
        <w:rPr>
          <w:szCs w:val="22"/>
          <w:lang w:val="es-UY"/>
        </w:rPr>
        <w:lastRenderedPageBreak/>
        <w:t>Cartagena sobre Seguridad de la Biotecnología, celebrando al menos una de las reuniones en forma presencial, y realizar las tareas necesarias entre sus dos reuniones con el apoyo de medios de comunicación y participación en línea</w:t>
      </w:r>
      <w:r w:rsidR="00F44200" w:rsidRPr="000B080F">
        <w:rPr>
          <w:kern w:val="22"/>
          <w:szCs w:val="22"/>
          <w:lang w:val="es-UY"/>
        </w:rPr>
        <w:t>;</w:t>
      </w:r>
    </w:p>
    <w:p w14:paraId="6882396F" w14:textId="038C4C59" w:rsidR="00F44200" w:rsidRPr="000B080F" w:rsidRDefault="00E817BE" w:rsidP="00F44200">
      <w:pPr>
        <w:suppressLineNumbers/>
        <w:suppressAutoHyphens/>
        <w:spacing w:before="120" w:after="120"/>
        <w:ind w:firstLine="720"/>
        <w:rPr>
          <w:kern w:val="22"/>
          <w:szCs w:val="22"/>
          <w:lang w:val="es-UY"/>
        </w:rPr>
      </w:pPr>
      <w:bookmarkStart w:id="4" w:name="_Hlk69979570"/>
      <w:bookmarkStart w:id="5" w:name="_Hlk67401664"/>
      <w:r w:rsidRPr="000B080F">
        <w:rPr>
          <w:kern w:val="22"/>
          <w:szCs w:val="22"/>
          <w:lang w:val="es-UY"/>
        </w:rPr>
        <w:t>c</w:t>
      </w:r>
      <w:r w:rsidR="00F44200" w:rsidRPr="000B080F">
        <w:rPr>
          <w:kern w:val="22"/>
          <w:szCs w:val="22"/>
          <w:lang w:val="es-UY"/>
        </w:rPr>
        <w:t>)</w:t>
      </w:r>
      <w:r w:rsidR="00F44200" w:rsidRPr="000B080F">
        <w:rPr>
          <w:kern w:val="22"/>
          <w:szCs w:val="22"/>
          <w:lang w:val="es-UY"/>
        </w:rPr>
        <w:tab/>
      </w:r>
      <w:r w:rsidR="005E44BC" w:rsidRPr="000B080F">
        <w:rPr>
          <w:szCs w:val="22"/>
          <w:lang w:val="es-UY"/>
        </w:rPr>
        <w:t xml:space="preserve">Elaborar materiales de orientación voluntaria adicionales para llevar a cabo evaluaciones del riesgo, caso por caso, de los organismos vivos modificados que contengan impulsores genéticos modificados de conformidad con el </w:t>
      </w:r>
      <w:r w:rsidR="009A42C1" w:rsidRPr="000B080F">
        <w:rPr>
          <w:szCs w:val="22"/>
          <w:lang w:val="es-UY"/>
        </w:rPr>
        <w:t>A</w:t>
      </w:r>
      <w:r w:rsidR="005E44BC" w:rsidRPr="000B080F">
        <w:rPr>
          <w:szCs w:val="22"/>
          <w:lang w:val="es-UY"/>
        </w:rPr>
        <w:t xml:space="preserve">nexo III del Protocolo. Este material debería centrarse específicamente en los mosquitos que contienen impulsores genéticos modificados teniendo en cuenta la experiencia actual con el organismo, el tipo de impulsor genético y </w:t>
      </w:r>
      <w:r w:rsidR="00915B99" w:rsidRPr="000B080F">
        <w:rPr>
          <w:szCs w:val="22"/>
          <w:lang w:val="es-UY"/>
        </w:rPr>
        <w:t xml:space="preserve">las </w:t>
      </w:r>
      <w:r w:rsidR="005E44BC" w:rsidRPr="000B080F">
        <w:rPr>
          <w:szCs w:val="22"/>
          <w:lang w:val="es-UY"/>
        </w:rPr>
        <w:t>cuestiones específicas de la evaluación del riesgo</w:t>
      </w:r>
      <w:r w:rsidR="00915B99" w:rsidRPr="000B080F">
        <w:rPr>
          <w:szCs w:val="22"/>
          <w:lang w:val="es-UY"/>
        </w:rPr>
        <w:t xml:space="preserve"> identificadas en el anexo I de la decisión </w:t>
      </w:r>
      <w:r w:rsidR="00915B99" w:rsidRPr="000B080F">
        <w:rPr>
          <w:kern w:val="22"/>
          <w:szCs w:val="22"/>
          <w:lang w:val="es-UY"/>
        </w:rPr>
        <w:t>CP-9/13</w:t>
      </w:r>
      <w:r w:rsidR="00915B99" w:rsidRPr="000B080F">
        <w:rPr>
          <w:szCs w:val="22"/>
          <w:lang w:val="es-UY"/>
        </w:rPr>
        <w:t>, incluyendo los informes existentes</w:t>
      </w:r>
      <w:r w:rsidR="00915B99" w:rsidRPr="000B080F">
        <w:rPr>
          <w:rStyle w:val="FootnoteReference"/>
          <w:kern w:val="22"/>
          <w:szCs w:val="22"/>
          <w:lang w:val="es-UY"/>
        </w:rPr>
        <w:footnoteReference w:id="5"/>
      </w:r>
      <w:r w:rsidR="00915B99" w:rsidRPr="000B080F">
        <w:rPr>
          <w:kern w:val="22"/>
          <w:szCs w:val="22"/>
          <w:lang w:val="es-UY"/>
        </w:rPr>
        <w:t xml:space="preserve">, </w:t>
      </w:r>
      <w:r w:rsidR="005E44BC" w:rsidRPr="000B080F">
        <w:rPr>
          <w:szCs w:val="22"/>
          <w:lang w:val="es-UY"/>
        </w:rPr>
        <w:t>las consideraciones generales sobre los organismos vivos modificados que contienen impulsores genéticos</w:t>
      </w:r>
      <w:r w:rsidR="00915B99" w:rsidRPr="000B080F">
        <w:rPr>
          <w:szCs w:val="22"/>
          <w:lang w:val="es-UY"/>
        </w:rPr>
        <w:t xml:space="preserve"> </w:t>
      </w:r>
      <w:r w:rsidR="005E44BC" w:rsidRPr="000B080F">
        <w:rPr>
          <w:szCs w:val="22"/>
          <w:lang w:val="es-UY"/>
        </w:rPr>
        <w:t>y las experiencias nacionales y regionales existentes en materia de evaluación del riesgo</w:t>
      </w:r>
      <w:r w:rsidR="009A42C1" w:rsidRPr="000B080F">
        <w:rPr>
          <w:szCs w:val="22"/>
          <w:lang w:val="es-UY"/>
        </w:rPr>
        <w:t>;</w:t>
      </w:r>
    </w:p>
    <w:bookmarkEnd w:id="4"/>
    <w:bookmarkEnd w:id="5"/>
    <w:p w14:paraId="66E247B7" w14:textId="64F2F80C" w:rsidR="00F44200" w:rsidRPr="000B080F" w:rsidRDefault="00E817BE" w:rsidP="00F44200">
      <w:pPr>
        <w:suppressLineNumbers/>
        <w:suppressAutoHyphens/>
        <w:spacing w:before="120" w:after="120"/>
        <w:ind w:firstLine="720"/>
        <w:rPr>
          <w:kern w:val="22"/>
          <w:szCs w:val="22"/>
          <w:lang w:val="es-UY"/>
        </w:rPr>
      </w:pPr>
      <w:r w:rsidRPr="000B080F">
        <w:rPr>
          <w:kern w:val="22"/>
          <w:szCs w:val="22"/>
          <w:lang w:val="es-UY"/>
        </w:rPr>
        <w:t>d</w:t>
      </w:r>
      <w:r w:rsidR="00F44200" w:rsidRPr="000B080F">
        <w:rPr>
          <w:kern w:val="22"/>
          <w:szCs w:val="22"/>
          <w:lang w:val="es-UY"/>
        </w:rPr>
        <w:t>)</w:t>
      </w:r>
      <w:r w:rsidR="00F44200" w:rsidRPr="000B080F">
        <w:rPr>
          <w:kern w:val="22"/>
          <w:szCs w:val="22"/>
          <w:lang w:val="es-UY"/>
        </w:rPr>
        <w:tab/>
      </w:r>
      <w:r w:rsidR="00915B99" w:rsidRPr="000B080F">
        <w:rPr>
          <w:szCs w:val="22"/>
          <w:lang w:val="es-UY"/>
        </w:rPr>
        <w:t xml:space="preserve">Analizar la información presentada por las Partes de conformidad con el párrafo </w:t>
      </w:r>
      <w:r w:rsidR="00967CA9" w:rsidRPr="000B080F">
        <w:rPr>
          <w:szCs w:val="22"/>
          <w:lang w:val="es-UY"/>
        </w:rPr>
        <w:t>8</w:t>
      </w:r>
      <w:r w:rsidR="009A42C1" w:rsidRPr="000B080F">
        <w:rPr>
          <w:szCs w:val="22"/>
          <w:lang w:val="es-UY"/>
        </w:rPr>
        <w:t xml:space="preserve"> de la decisión CP-10/10 </w:t>
      </w:r>
      <w:r w:rsidR="00915B99" w:rsidRPr="000B080F">
        <w:rPr>
          <w:szCs w:val="22"/>
          <w:lang w:val="es-UY"/>
        </w:rPr>
        <w:t>y, sobre esa base, preparar una lista de temas prioritarios sobre los que se puede necesitar material de orientación adicional sobre la evaluación del riesgo de conformidad con los criterios de la decisión CP-9/13, anexo I</w:t>
      </w:r>
      <w:r w:rsidR="00F44200" w:rsidRPr="000B080F">
        <w:rPr>
          <w:kern w:val="22"/>
          <w:szCs w:val="22"/>
          <w:lang w:val="es-UY"/>
        </w:rPr>
        <w:t>;</w:t>
      </w:r>
    </w:p>
    <w:p w14:paraId="11E62301" w14:textId="2161C3A6" w:rsidR="00F44200" w:rsidRPr="000B080F" w:rsidRDefault="00E817BE" w:rsidP="00F44200">
      <w:pPr>
        <w:suppressLineNumbers/>
        <w:suppressAutoHyphens/>
        <w:spacing w:before="120" w:after="120"/>
        <w:ind w:firstLine="720"/>
        <w:rPr>
          <w:kern w:val="22"/>
          <w:szCs w:val="22"/>
          <w:lang w:val="es-UY"/>
        </w:rPr>
      </w:pPr>
      <w:r w:rsidRPr="000B080F">
        <w:rPr>
          <w:kern w:val="22"/>
          <w:szCs w:val="22"/>
          <w:lang w:val="es-UY"/>
        </w:rPr>
        <w:t>e</w:t>
      </w:r>
      <w:r w:rsidR="00F44200" w:rsidRPr="000B080F">
        <w:rPr>
          <w:kern w:val="22"/>
          <w:szCs w:val="22"/>
          <w:lang w:val="es-UY"/>
        </w:rPr>
        <w:t>)</w:t>
      </w:r>
      <w:r w:rsidR="00F44200" w:rsidRPr="000B080F">
        <w:rPr>
          <w:kern w:val="22"/>
          <w:szCs w:val="22"/>
          <w:lang w:val="es-UY"/>
        </w:rPr>
        <w:tab/>
      </w:r>
      <w:r w:rsidR="00915B99" w:rsidRPr="000B080F">
        <w:rPr>
          <w:szCs w:val="22"/>
          <w:lang w:val="es-UY"/>
        </w:rPr>
        <w:t xml:space="preserve">Preparar un informe que incluya un proyecto de materiales de orientación voluntaria adicionales sobre organismos vivos modificados que contengan impulsores genéticos modificados y una lista de temas prioritarios de conformidad con el párrafo </w:t>
      </w:r>
      <w:r w:rsidR="0087016C" w:rsidRPr="000B080F">
        <w:rPr>
          <w:szCs w:val="22"/>
          <w:lang w:val="es-UY"/>
        </w:rPr>
        <w:t>d</w:t>
      </w:r>
      <w:r w:rsidR="00915B99" w:rsidRPr="000B080F">
        <w:rPr>
          <w:szCs w:val="22"/>
          <w:lang w:val="es-UY"/>
        </w:rPr>
        <w:t>) anterior, sobre los que pueden necesitarse materiales de orientación adicionales sobre evaluación del riesgo, para su consideración por el Órgano Subsidiario de Asesoramiento Científico, Técnico y Tecnológico</w:t>
      </w:r>
      <w:r w:rsidR="0087016C" w:rsidRPr="000B080F">
        <w:rPr>
          <w:kern w:val="22"/>
          <w:szCs w:val="22"/>
          <w:lang w:val="es-UY"/>
        </w:rPr>
        <w:t>.</w:t>
      </w:r>
    </w:p>
    <w:p w14:paraId="44D9A9F1" w14:textId="5ED25CFE" w:rsidR="00F44200" w:rsidRPr="000B080F" w:rsidRDefault="00F44200" w:rsidP="00F44200">
      <w:pPr>
        <w:suppressLineNumbers/>
        <w:suppressAutoHyphens/>
        <w:spacing w:before="120" w:after="120"/>
        <w:rPr>
          <w:kern w:val="22"/>
          <w:szCs w:val="22"/>
          <w:lang w:val="es-UY"/>
        </w:rPr>
      </w:pPr>
      <w:r w:rsidRPr="000B080F">
        <w:rPr>
          <w:kern w:val="22"/>
          <w:szCs w:val="22"/>
          <w:lang w:val="es-UY"/>
        </w:rPr>
        <w:t>2.</w:t>
      </w:r>
      <w:r w:rsidRPr="000B080F">
        <w:rPr>
          <w:kern w:val="22"/>
          <w:szCs w:val="22"/>
          <w:lang w:val="es-UY"/>
        </w:rPr>
        <w:tab/>
      </w:r>
      <w:r w:rsidR="00915B99" w:rsidRPr="000B080F">
        <w:rPr>
          <w:szCs w:val="22"/>
          <w:lang w:val="es-UY"/>
        </w:rPr>
        <w:t>En el curso de su labor, el Grupo examinará la síntesis de opiniones de las comunicaciones y los debates del foro en línea preparada por la Secretaria Ejecutiva; los recursos existentes, incluidos aquellos identificados en el ejercicio de balance del “estudio sobre la evaluación del riesgo: aplicación del anexo I de la decisión CP-9/13 a los organismos vivos modificados que contienen impulsores genéticos modificados</w:t>
      </w:r>
      <w:r w:rsidR="00915B99" w:rsidRPr="000B080F">
        <w:rPr>
          <w:kern w:val="22"/>
          <w:szCs w:val="22"/>
          <w:lang w:val="es-UY"/>
        </w:rPr>
        <w:t>”</w:t>
      </w:r>
      <w:r w:rsidR="00915B99" w:rsidRPr="000B080F">
        <w:rPr>
          <w:rStyle w:val="FootnoteReference"/>
          <w:kern w:val="22"/>
          <w:szCs w:val="22"/>
          <w:lang w:val="es-UY"/>
        </w:rPr>
        <w:footnoteReference w:id="6"/>
      </w:r>
      <w:r w:rsidR="00915B99" w:rsidRPr="000B080F">
        <w:rPr>
          <w:kern w:val="22"/>
          <w:szCs w:val="22"/>
          <w:lang w:val="es-UY"/>
        </w:rPr>
        <w:t xml:space="preserve">, los </w:t>
      </w:r>
      <w:r w:rsidR="00915B99" w:rsidRPr="000B080F">
        <w:rPr>
          <w:szCs w:val="22"/>
          <w:lang w:val="es-UY"/>
        </w:rPr>
        <w:t>materiales de orientación ya disponibles, las decisiones pertinentes sobre evaluación del riesgo y gestión del riesgo adoptadas en el marco del Protocolo de Cartagena sobre Seguridad de la Biotecnología y cualquier otra información pertinente recopilada por la Secretaria Ejecutiva de conformidad con el párrafo 1</w:t>
      </w:r>
      <w:r w:rsidR="002A19AD" w:rsidRPr="000B080F">
        <w:rPr>
          <w:szCs w:val="22"/>
          <w:lang w:val="es-UY"/>
        </w:rPr>
        <w:t>0</w:t>
      </w:r>
      <w:r w:rsidR="00915B99" w:rsidRPr="000B080F">
        <w:rPr>
          <w:szCs w:val="22"/>
          <w:lang w:val="es-UY"/>
        </w:rPr>
        <w:t> c) de la decisión</w:t>
      </w:r>
      <w:r w:rsidR="00915B99" w:rsidRPr="000B080F">
        <w:rPr>
          <w:kern w:val="22"/>
          <w:szCs w:val="22"/>
          <w:lang w:val="es-UY"/>
        </w:rPr>
        <w:t xml:space="preserve"> CP-10/</w:t>
      </w:r>
      <w:r w:rsidR="002A19AD" w:rsidRPr="000B080F">
        <w:rPr>
          <w:kern w:val="22"/>
          <w:szCs w:val="22"/>
          <w:lang w:val="es-UY"/>
        </w:rPr>
        <w:t>10.</w:t>
      </w:r>
    </w:p>
    <w:p w14:paraId="7A46006E" w14:textId="77777777" w:rsidR="00427D21" w:rsidRPr="000B080F" w:rsidRDefault="00427D21" w:rsidP="00405146">
      <w:pPr>
        <w:pStyle w:val="Para1"/>
        <w:numPr>
          <w:ilvl w:val="0"/>
          <w:numId w:val="0"/>
        </w:numPr>
        <w:rPr>
          <w:szCs w:val="22"/>
          <w:lang w:val="es-UY"/>
        </w:rPr>
      </w:pPr>
    </w:p>
    <w:p w14:paraId="6A8B6562" w14:textId="77777777" w:rsidR="00C9161D" w:rsidRPr="000B080F" w:rsidRDefault="00C9161D" w:rsidP="00C9161D">
      <w:pPr>
        <w:jc w:val="center"/>
        <w:rPr>
          <w:szCs w:val="22"/>
          <w:lang w:val="es-UY"/>
        </w:rPr>
      </w:pPr>
      <w:r w:rsidRPr="000B080F">
        <w:rPr>
          <w:szCs w:val="22"/>
          <w:lang w:val="es-UY"/>
        </w:rPr>
        <w:t>______</w:t>
      </w:r>
    </w:p>
    <w:p w14:paraId="00BD5053" w14:textId="77777777" w:rsidR="00B3369F" w:rsidRPr="000B080F" w:rsidRDefault="00B3369F" w:rsidP="00C9161D">
      <w:pPr>
        <w:rPr>
          <w:szCs w:val="22"/>
          <w:lang w:val="es-UY"/>
        </w:rPr>
      </w:pPr>
    </w:p>
    <w:sectPr w:rsidR="00B3369F" w:rsidRPr="000B080F" w:rsidSect="009877D4">
      <w:headerReference w:type="even" r:id="rId15"/>
      <w:headerReference w:type="default" r:id="rId16"/>
      <w:pgSz w:w="12240" w:h="15840"/>
      <w:pgMar w:top="567" w:right="1530"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084A7" w14:textId="77777777" w:rsidR="000231D8" w:rsidRDefault="000231D8" w:rsidP="00CF1848">
      <w:r>
        <w:separator/>
      </w:r>
    </w:p>
  </w:endnote>
  <w:endnote w:type="continuationSeparator" w:id="0">
    <w:p w14:paraId="3AA5F19A" w14:textId="77777777" w:rsidR="000231D8" w:rsidRDefault="000231D8"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C4A41" w14:textId="77777777" w:rsidR="000231D8" w:rsidRDefault="000231D8" w:rsidP="00CF1848">
      <w:r>
        <w:separator/>
      </w:r>
    </w:p>
  </w:footnote>
  <w:footnote w:type="continuationSeparator" w:id="0">
    <w:p w14:paraId="4C5863F4" w14:textId="77777777" w:rsidR="000231D8" w:rsidRDefault="000231D8" w:rsidP="00CF1848">
      <w:r>
        <w:continuationSeparator/>
      </w:r>
    </w:p>
  </w:footnote>
  <w:footnote w:id="1">
    <w:p w14:paraId="3FE604A8" w14:textId="77777777" w:rsidR="0001765E" w:rsidRPr="00967CA9" w:rsidRDefault="0001765E" w:rsidP="0001765E">
      <w:pPr>
        <w:pStyle w:val="FootnoteText"/>
        <w:suppressLineNumbers/>
        <w:suppressAutoHyphens/>
        <w:ind w:firstLine="0"/>
        <w:jc w:val="left"/>
        <w:rPr>
          <w:kern w:val="18"/>
          <w:szCs w:val="18"/>
          <w:lang w:val="es-ES_tradnl"/>
        </w:rPr>
      </w:pPr>
      <w:r w:rsidRPr="00967CA9">
        <w:rPr>
          <w:rStyle w:val="FootnoteReference"/>
          <w:kern w:val="18"/>
          <w:szCs w:val="18"/>
          <w:lang w:val="es-ES_tradnl"/>
        </w:rPr>
        <w:footnoteRef/>
      </w:r>
      <w:r w:rsidRPr="00967CA9">
        <w:rPr>
          <w:kern w:val="18"/>
          <w:szCs w:val="18"/>
          <w:lang w:val="es-ES_tradnl"/>
        </w:rPr>
        <w:t xml:space="preserve"> </w:t>
      </w:r>
      <w:proofErr w:type="spellStart"/>
      <w:r w:rsidRPr="00967CA9">
        <w:rPr>
          <w:kern w:val="18"/>
          <w:szCs w:val="18"/>
          <w:lang w:val="es-ES_tradnl"/>
        </w:rPr>
        <w:t>CBD</w:t>
      </w:r>
      <w:proofErr w:type="spellEnd"/>
      <w:r w:rsidRPr="00967CA9">
        <w:rPr>
          <w:kern w:val="18"/>
          <w:szCs w:val="18"/>
          <w:lang w:val="es-ES_tradnl"/>
        </w:rPr>
        <w:t>/</w:t>
      </w:r>
      <w:proofErr w:type="spellStart"/>
      <w:r w:rsidRPr="00967CA9">
        <w:rPr>
          <w:kern w:val="18"/>
          <w:szCs w:val="18"/>
          <w:lang w:val="es-ES_tradnl"/>
        </w:rPr>
        <w:t>CP</w:t>
      </w:r>
      <w:proofErr w:type="spellEnd"/>
      <w:r w:rsidRPr="00967CA9">
        <w:rPr>
          <w:kern w:val="18"/>
          <w:szCs w:val="18"/>
          <w:lang w:val="es-ES_tradnl"/>
        </w:rPr>
        <w:t>/RA/</w:t>
      </w:r>
      <w:proofErr w:type="spellStart"/>
      <w:r w:rsidRPr="00967CA9">
        <w:rPr>
          <w:kern w:val="18"/>
          <w:szCs w:val="18"/>
          <w:lang w:val="es-ES_tradnl"/>
        </w:rPr>
        <w:t>AHTEG</w:t>
      </w:r>
      <w:proofErr w:type="spellEnd"/>
      <w:r w:rsidRPr="00967CA9">
        <w:rPr>
          <w:kern w:val="18"/>
          <w:szCs w:val="18"/>
          <w:lang w:val="es-ES_tradnl"/>
        </w:rPr>
        <w:t>/2020/1/5.</w:t>
      </w:r>
    </w:p>
  </w:footnote>
  <w:footnote w:id="2">
    <w:p w14:paraId="25BA0A70" w14:textId="77777777" w:rsidR="0001765E" w:rsidRPr="00967CA9" w:rsidRDefault="0001765E" w:rsidP="0001765E">
      <w:pPr>
        <w:pStyle w:val="FootnoteText"/>
        <w:suppressLineNumbers/>
        <w:suppressAutoHyphens/>
        <w:ind w:firstLine="0"/>
        <w:jc w:val="left"/>
        <w:rPr>
          <w:kern w:val="18"/>
          <w:szCs w:val="18"/>
          <w:lang w:val="es-ES_tradnl"/>
        </w:rPr>
      </w:pPr>
      <w:r w:rsidRPr="00967CA9">
        <w:rPr>
          <w:rStyle w:val="FootnoteReference"/>
          <w:kern w:val="18"/>
          <w:szCs w:val="18"/>
          <w:lang w:val="es-ES_tradnl"/>
        </w:rPr>
        <w:footnoteRef/>
      </w:r>
      <w:r w:rsidRPr="00967CA9">
        <w:rPr>
          <w:kern w:val="18"/>
          <w:szCs w:val="18"/>
          <w:lang w:val="es-ES_tradnl"/>
        </w:rPr>
        <w:t xml:space="preserve"> Véase </w:t>
      </w:r>
      <w:proofErr w:type="spellStart"/>
      <w:r w:rsidRPr="00967CA9">
        <w:rPr>
          <w:kern w:val="18"/>
          <w:szCs w:val="18"/>
          <w:lang w:val="es-ES_tradnl"/>
        </w:rPr>
        <w:t>CBD</w:t>
      </w:r>
      <w:proofErr w:type="spellEnd"/>
      <w:r w:rsidRPr="00967CA9">
        <w:rPr>
          <w:kern w:val="18"/>
          <w:szCs w:val="18"/>
          <w:lang w:val="es-ES_tradnl"/>
        </w:rPr>
        <w:t>/</w:t>
      </w:r>
      <w:proofErr w:type="spellStart"/>
      <w:r w:rsidRPr="00967CA9">
        <w:rPr>
          <w:kern w:val="18"/>
          <w:szCs w:val="18"/>
          <w:lang w:val="es-ES_tradnl"/>
        </w:rPr>
        <w:t>CP</w:t>
      </w:r>
      <w:proofErr w:type="spellEnd"/>
      <w:r w:rsidRPr="00967CA9">
        <w:rPr>
          <w:kern w:val="18"/>
          <w:szCs w:val="18"/>
          <w:lang w:val="es-ES_tradnl"/>
        </w:rPr>
        <w:t>/RA/</w:t>
      </w:r>
      <w:proofErr w:type="spellStart"/>
      <w:r w:rsidRPr="00967CA9">
        <w:rPr>
          <w:kern w:val="18"/>
          <w:szCs w:val="18"/>
          <w:lang w:val="es-ES_tradnl"/>
        </w:rPr>
        <w:t>AHTEG</w:t>
      </w:r>
      <w:proofErr w:type="spellEnd"/>
      <w:r w:rsidRPr="00967CA9">
        <w:rPr>
          <w:kern w:val="18"/>
          <w:szCs w:val="18"/>
          <w:lang w:val="es-ES_tradnl"/>
        </w:rPr>
        <w:t>/2020/1/5, anexo I, sección III.</w:t>
      </w:r>
    </w:p>
  </w:footnote>
  <w:footnote w:id="3">
    <w:p w14:paraId="19B6D8C6" w14:textId="77777777" w:rsidR="005E44BC" w:rsidRPr="00967CA9" w:rsidRDefault="005E44BC" w:rsidP="005E44BC">
      <w:pPr>
        <w:pStyle w:val="FootnoteText"/>
        <w:suppressLineNumbers/>
        <w:suppressAutoHyphens/>
        <w:ind w:firstLine="0"/>
        <w:jc w:val="left"/>
        <w:rPr>
          <w:kern w:val="18"/>
          <w:szCs w:val="18"/>
          <w:lang w:val="es-ES_tradnl"/>
        </w:rPr>
      </w:pPr>
      <w:r w:rsidRPr="00967CA9">
        <w:rPr>
          <w:rStyle w:val="FootnoteReference"/>
          <w:kern w:val="18"/>
          <w:szCs w:val="18"/>
          <w:lang w:val="es-ES_tradnl"/>
        </w:rPr>
        <w:footnoteRef/>
      </w:r>
      <w:r w:rsidRPr="00967CA9">
        <w:rPr>
          <w:kern w:val="18"/>
          <w:szCs w:val="18"/>
          <w:lang w:val="es-ES_tradnl"/>
        </w:rPr>
        <w:t xml:space="preserve"> </w:t>
      </w:r>
      <w:r w:rsidRPr="00967CA9">
        <w:rPr>
          <w:lang w:val="es-ES_tradnl"/>
        </w:rPr>
        <w:t>Dependiendo de las restricciones debidas a la situación de la pandemia</w:t>
      </w:r>
      <w:r w:rsidRPr="00967CA9">
        <w:rPr>
          <w:kern w:val="18"/>
          <w:szCs w:val="18"/>
          <w:lang w:val="es-ES_tradnl"/>
        </w:rPr>
        <w:t>.</w:t>
      </w:r>
    </w:p>
  </w:footnote>
  <w:footnote w:id="4">
    <w:p w14:paraId="5870EA60" w14:textId="29E70BAA" w:rsidR="005E44BC" w:rsidRPr="00967CA9" w:rsidRDefault="005E44BC" w:rsidP="005E44BC">
      <w:pPr>
        <w:pStyle w:val="FootnoteText"/>
        <w:suppressLineNumbers/>
        <w:suppressAutoHyphens/>
        <w:spacing w:before="60"/>
        <w:ind w:firstLine="0"/>
        <w:jc w:val="left"/>
        <w:rPr>
          <w:kern w:val="18"/>
          <w:szCs w:val="18"/>
          <w:lang w:val="es-ES_tradnl"/>
        </w:rPr>
      </w:pPr>
      <w:r w:rsidRPr="00967CA9">
        <w:rPr>
          <w:rStyle w:val="FootnoteReference"/>
          <w:kern w:val="22"/>
          <w:sz w:val="20"/>
          <w:szCs w:val="20"/>
          <w:lang w:val="es-ES_tradnl"/>
        </w:rPr>
        <w:footnoteRef/>
      </w:r>
      <w:r w:rsidRPr="00967CA9">
        <w:rPr>
          <w:kern w:val="18"/>
          <w:szCs w:val="18"/>
          <w:lang w:val="es-ES_tradnl"/>
        </w:rPr>
        <w:t xml:space="preserve"> </w:t>
      </w:r>
      <w:r w:rsidRPr="00967CA9">
        <w:rPr>
          <w:lang w:val="es-ES_tradnl"/>
        </w:rPr>
        <w:t>Como la Organización Mundial del Comercio, la Plataforma Intergubernamental Científico-Normativa sobre Diversidad Biológica y Servicios de los Ecosistemas y la Organización de las Naciones Unidas para la Alimentación y la Agricultura</w:t>
      </w:r>
      <w:r w:rsidRPr="00967CA9">
        <w:rPr>
          <w:kern w:val="18"/>
          <w:szCs w:val="18"/>
          <w:lang w:val="es-ES_tradnl"/>
        </w:rPr>
        <w:t>.</w:t>
      </w:r>
    </w:p>
  </w:footnote>
  <w:footnote w:id="5">
    <w:p w14:paraId="60AE0DDD" w14:textId="3AFDD9BE" w:rsidR="00915B99" w:rsidRPr="00967CA9" w:rsidRDefault="00915B99" w:rsidP="00915B99">
      <w:pPr>
        <w:pStyle w:val="FootnoteText"/>
        <w:ind w:firstLine="0"/>
        <w:rPr>
          <w:lang w:val="es-ES_tradnl"/>
        </w:rPr>
      </w:pPr>
      <w:r w:rsidRPr="00967CA9">
        <w:rPr>
          <w:rStyle w:val="FootnoteReference"/>
          <w:lang w:val="es-ES_tradnl"/>
        </w:rPr>
        <w:footnoteRef/>
      </w:r>
      <w:r w:rsidRPr="00967CA9">
        <w:rPr>
          <w:lang w:val="es-ES_tradnl"/>
        </w:rPr>
        <w:t xml:space="preserve"> </w:t>
      </w:r>
      <w:r w:rsidRPr="00967CA9">
        <w:rPr>
          <w:kern w:val="18"/>
          <w:szCs w:val="18"/>
          <w:lang w:val="es-ES_tradnl"/>
        </w:rPr>
        <w:t xml:space="preserve">Entre otros, el informe </w:t>
      </w:r>
      <w:proofErr w:type="spellStart"/>
      <w:r w:rsidRPr="00967CA9">
        <w:rPr>
          <w:kern w:val="18"/>
          <w:szCs w:val="18"/>
          <w:lang w:val="es-ES_tradnl"/>
        </w:rPr>
        <w:t>Perseus</w:t>
      </w:r>
      <w:proofErr w:type="spellEnd"/>
      <w:r w:rsidRPr="00967CA9">
        <w:rPr>
          <w:kern w:val="18"/>
          <w:szCs w:val="18"/>
          <w:lang w:val="es-ES_tradnl"/>
        </w:rPr>
        <w:t xml:space="preserve"> encargado por la Secretaría del Convenio sobre la Diversidad Biológica.</w:t>
      </w:r>
    </w:p>
  </w:footnote>
  <w:footnote w:id="6">
    <w:p w14:paraId="4B3DFEB9" w14:textId="77777777" w:rsidR="00915B99" w:rsidRPr="00967CA9" w:rsidRDefault="00915B99" w:rsidP="00915B99">
      <w:pPr>
        <w:pStyle w:val="FootnoteText"/>
        <w:suppressLineNumbers/>
        <w:suppressAutoHyphens/>
        <w:spacing w:before="60"/>
        <w:ind w:firstLine="0"/>
        <w:jc w:val="left"/>
        <w:rPr>
          <w:kern w:val="18"/>
          <w:szCs w:val="18"/>
          <w:lang w:val="es-ES_tradnl"/>
        </w:rPr>
      </w:pPr>
      <w:r w:rsidRPr="00967CA9">
        <w:rPr>
          <w:rStyle w:val="FootnoteReference"/>
          <w:kern w:val="22"/>
          <w:sz w:val="20"/>
          <w:szCs w:val="20"/>
          <w:lang w:val="es-ES_tradnl"/>
        </w:rPr>
        <w:footnoteRef/>
      </w:r>
      <w:r w:rsidRPr="00967CA9">
        <w:rPr>
          <w:kern w:val="18"/>
          <w:szCs w:val="18"/>
          <w:lang w:val="es-ES_tradnl"/>
        </w:rPr>
        <w:t xml:space="preserve"> </w:t>
      </w:r>
      <w:proofErr w:type="spellStart"/>
      <w:r w:rsidRPr="00967CA9">
        <w:rPr>
          <w:kern w:val="18"/>
          <w:szCs w:val="18"/>
          <w:lang w:val="es-ES_tradnl"/>
        </w:rPr>
        <w:t>CBD</w:t>
      </w:r>
      <w:proofErr w:type="spellEnd"/>
      <w:r w:rsidRPr="00967CA9">
        <w:rPr>
          <w:kern w:val="18"/>
          <w:szCs w:val="18"/>
          <w:lang w:val="es-ES_tradnl"/>
        </w:rPr>
        <w:t>/</w:t>
      </w:r>
      <w:proofErr w:type="spellStart"/>
      <w:r w:rsidRPr="00967CA9">
        <w:rPr>
          <w:kern w:val="18"/>
          <w:szCs w:val="18"/>
          <w:lang w:val="es-ES_tradnl"/>
        </w:rPr>
        <w:t>CP</w:t>
      </w:r>
      <w:proofErr w:type="spellEnd"/>
      <w:r w:rsidRPr="00967CA9">
        <w:rPr>
          <w:kern w:val="18"/>
          <w:szCs w:val="18"/>
          <w:lang w:val="es-ES_tradnl"/>
        </w:rPr>
        <w:t>/RA/</w:t>
      </w:r>
      <w:proofErr w:type="spellStart"/>
      <w:r w:rsidRPr="00967CA9">
        <w:rPr>
          <w:kern w:val="18"/>
          <w:szCs w:val="18"/>
          <w:lang w:val="es-ES_tradnl"/>
        </w:rPr>
        <w:t>AHTEG</w:t>
      </w:r>
      <w:proofErr w:type="spellEnd"/>
      <w:r w:rsidRPr="00967CA9">
        <w:rPr>
          <w:kern w:val="18"/>
          <w:szCs w:val="18"/>
          <w:lang w:val="es-ES_tradnl"/>
        </w:rPr>
        <w:t>/2020/1/4.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pt-BR"/>
      </w:rPr>
      <w:alias w:val="Subject"/>
      <w:tag w:val=""/>
      <w:id w:val="-247657515"/>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0FEEBB0" w14:textId="78C32C63" w:rsidR="00534681" w:rsidRPr="00315059" w:rsidRDefault="00315059" w:rsidP="00534681">
        <w:pPr>
          <w:pStyle w:val="Header"/>
          <w:rPr>
            <w:lang w:val="pt-BR"/>
          </w:rPr>
        </w:pPr>
        <w:r>
          <w:rPr>
            <w:lang w:val="pt-BR"/>
          </w:rPr>
          <w:t>CBD/CP/MOP/DEC/10/10</w:t>
        </w:r>
      </w:p>
    </w:sdtContent>
  </w:sdt>
  <w:p w14:paraId="3EA48BBD" w14:textId="5C8869FB" w:rsidR="00534681" w:rsidRPr="00315059" w:rsidRDefault="00534681" w:rsidP="00534681">
    <w:pPr>
      <w:pStyle w:val="Header"/>
      <w:rPr>
        <w:lang w:val="pt-BR"/>
      </w:rPr>
    </w:pPr>
    <w:r w:rsidRPr="00315059">
      <w:rPr>
        <w:lang w:val="pt-BR"/>
      </w:rPr>
      <w:t>P</w:t>
    </w:r>
    <w:r w:rsidR="00967CA9" w:rsidRPr="00315059">
      <w:rPr>
        <w:lang w:val="pt-BR"/>
      </w:rPr>
      <w:t>ágina</w:t>
    </w:r>
    <w:r w:rsidRPr="00315059">
      <w:rPr>
        <w:lang w:val="pt-BR"/>
      </w:rPr>
      <w:t xml:space="preserve"> </w:t>
    </w:r>
    <w:r w:rsidRPr="00967CA9">
      <w:rPr>
        <w:lang w:val="es-ES_tradnl"/>
      </w:rPr>
      <w:fldChar w:fldCharType="begin"/>
    </w:r>
    <w:r w:rsidRPr="00315059">
      <w:rPr>
        <w:lang w:val="pt-BR"/>
      </w:rPr>
      <w:instrText xml:space="preserve"> PAGE   \* MERGEFORMAT </w:instrText>
    </w:r>
    <w:r w:rsidRPr="00967CA9">
      <w:rPr>
        <w:lang w:val="es-ES_tradnl"/>
      </w:rPr>
      <w:fldChar w:fldCharType="separate"/>
    </w:r>
    <w:r w:rsidR="0081328E">
      <w:rPr>
        <w:noProof/>
        <w:lang w:val="pt-BR"/>
      </w:rPr>
      <w:t>2</w:t>
    </w:r>
    <w:r w:rsidRPr="00967CA9">
      <w:rPr>
        <w:lang w:val="es-ES_tradnl"/>
      </w:rPr>
      <w:fldChar w:fldCharType="end"/>
    </w:r>
  </w:p>
  <w:p w14:paraId="4991B278" w14:textId="77777777" w:rsidR="00534681" w:rsidRPr="00315059" w:rsidRDefault="00534681">
    <w:pPr>
      <w:pStyle w:val="Heade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pt-BR"/>
      </w:rPr>
      <w:alias w:val="Subject"/>
      <w:tag w:val=""/>
      <w:id w:val="840438363"/>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8E62C35" w14:textId="520C949C" w:rsidR="009505C9" w:rsidRPr="00315059" w:rsidRDefault="00315059" w:rsidP="009505C9">
        <w:pPr>
          <w:pStyle w:val="Header"/>
          <w:jc w:val="right"/>
          <w:rPr>
            <w:lang w:val="pt-BR"/>
          </w:rPr>
        </w:pPr>
        <w:r>
          <w:rPr>
            <w:lang w:val="pt-BR"/>
          </w:rPr>
          <w:t>CBD/CP/MOP/DEC/10/10</w:t>
        </w:r>
      </w:p>
    </w:sdtContent>
  </w:sdt>
  <w:p w14:paraId="213AB81C" w14:textId="30F3D813" w:rsidR="009505C9" w:rsidRPr="00315059" w:rsidRDefault="009505C9" w:rsidP="009505C9">
    <w:pPr>
      <w:pStyle w:val="Header"/>
      <w:jc w:val="right"/>
      <w:rPr>
        <w:lang w:val="pt-BR"/>
      </w:rPr>
    </w:pPr>
    <w:r w:rsidRPr="00315059">
      <w:rPr>
        <w:lang w:val="pt-BR"/>
      </w:rPr>
      <w:t>P</w:t>
    </w:r>
    <w:r w:rsidR="00967CA9" w:rsidRPr="00315059">
      <w:rPr>
        <w:lang w:val="pt-BR"/>
      </w:rPr>
      <w:t>ágina</w:t>
    </w:r>
    <w:r w:rsidRPr="00315059">
      <w:rPr>
        <w:lang w:val="pt-BR"/>
      </w:rPr>
      <w:t xml:space="preserve"> </w:t>
    </w:r>
    <w:r w:rsidRPr="00967CA9">
      <w:rPr>
        <w:lang w:val="es-ES_tradnl"/>
      </w:rPr>
      <w:fldChar w:fldCharType="begin"/>
    </w:r>
    <w:r w:rsidRPr="00315059">
      <w:rPr>
        <w:lang w:val="pt-BR"/>
      </w:rPr>
      <w:instrText xml:space="preserve"> PAGE   \* MERGEFORMAT </w:instrText>
    </w:r>
    <w:r w:rsidRPr="00967CA9">
      <w:rPr>
        <w:lang w:val="es-ES_tradnl"/>
      </w:rPr>
      <w:fldChar w:fldCharType="separate"/>
    </w:r>
    <w:r w:rsidR="0081328E">
      <w:rPr>
        <w:noProof/>
        <w:lang w:val="pt-BR"/>
      </w:rPr>
      <w:t>3</w:t>
    </w:r>
    <w:r w:rsidRPr="00967CA9">
      <w:rPr>
        <w:lang w:val="es-ES_tradnl"/>
      </w:rPr>
      <w:fldChar w:fldCharType="end"/>
    </w:r>
  </w:p>
  <w:p w14:paraId="64B5CF41" w14:textId="77777777" w:rsidR="009505C9" w:rsidRPr="00315059" w:rsidRDefault="009505C9">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7"/>
  </w:num>
  <w:num w:numId="5">
    <w:abstractNumId w:val="6"/>
  </w:num>
  <w:num w:numId="6">
    <w:abstractNumId w:val="0"/>
  </w:num>
  <w:num w:numId="7">
    <w:abstractNumId w:val="2"/>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3"/>
  </w:num>
  <w:num w:numId="20">
    <w:abstractNumId w:val="10"/>
  </w:num>
  <w:num w:numId="21">
    <w:abstractNumId w:val="4"/>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614"/>
    <w:rsid w:val="0001765E"/>
    <w:rsid w:val="000231D8"/>
    <w:rsid w:val="00091363"/>
    <w:rsid w:val="000B080F"/>
    <w:rsid w:val="000E673A"/>
    <w:rsid w:val="000F74F5"/>
    <w:rsid w:val="001029A1"/>
    <w:rsid w:val="00105372"/>
    <w:rsid w:val="00106BA7"/>
    <w:rsid w:val="00114364"/>
    <w:rsid w:val="00131E7A"/>
    <w:rsid w:val="00172AF6"/>
    <w:rsid w:val="00176CEE"/>
    <w:rsid w:val="0020179C"/>
    <w:rsid w:val="002A19AD"/>
    <w:rsid w:val="002C470F"/>
    <w:rsid w:val="002D68B5"/>
    <w:rsid w:val="00307E07"/>
    <w:rsid w:val="00315059"/>
    <w:rsid w:val="0034004E"/>
    <w:rsid w:val="00372F74"/>
    <w:rsid w:val="00374A5D"/>
    <w:rsid w:val="003C0F41"/>
    <w:rsid w:val="003C43AF"/>
    <w:rsid w:val="003C5220"/>
    <w:rsid w:val="003D0EA9"/>
    <w:rsid w:val="003F100C"/>
    <w:rsid w:val="003F7224"/>
    <w:rsid w:val="0040357A"/>
    <w:rsid w:val="00405146"/>
    <w:rsid w:val="0042412C"/>
    <w:rsid w:val="00427D21"/>
    <w:rsid w:val="004644C2"/>
    <w:rsid w:val="00467F9C"/>
    <w:rsid w:val="0047116A"/>
    <w:rsid w:val="00482EE9"/>
    <w:rsid w:val="0049391D"/>
    <w:rsid w:val="004A75F4"/>
    <w:rsid w:val="005032FA"/>
    <w:rsid w:val="00510E76"/>
    <w:rsid w:val="00522946"/>
    <w:rsid w:val="00534681"/>
    <w:rsid w:val="00563615"/>
    <w:rsid w:val="00567C9F"/>
    <w:rsid w:val="005B5F52"/>
    <w:rsid w:val="005D02BF"/>
    <w:rsid w:val="005E44BC"/>
    <w:rsid w:val="005E54B7"/>
    <w:rsid w:val="006122BA"/>
    <w:rsid w:val="00640982"/>
    <w:rsid w:val="006436FF"/>
    <w:rsid w:val="006B0E1E"/>
    <w:rsid w:val="006B2290"/>
    <w:rsid w:val="0070047B"/>
    <w:rsid w:val="00717D88"/>
    <w:rsid w:val="00746F80"/>
    <w:rsid w:val="00785205"/>
    <w:rsid w:val="007859B3"/>
    <w:rsid w:val="00791ACA"/>
    <w:rsid w:val="007942D3"/>
    <w:rsid w:val="00795BF4"/>
    <w:rsid w:val="007B6C09"/>
    <w:rsid w:val="007C3F96"/>
    <w:rsid w:val="007E09DA"/>
    <w:rsid w:val="00812176"/>
    <w:rsid w:val="0081271B"/>
    <w:rsid w:val="0081328E"/>
    <w:rsid w:val="008178B6"/>
    <w:rsid w:val="0082141B"/>
    <w:rsid w:val="00822628"/>
    <w:rsid w:val="00830309"/>
    <w:rsid w:val="00863B0B"/>
    <w:rsid w:val="00865B74"/>
    <w:rsid w:val="0087016C"/>
    <w:rsid w:val="00870F05"/>
    <w:rsid w:val="00887E97"/>
    <w:rsid w:val="008B235D"/>
    <w:rsid w:val="008C27E8"/>
    <w:rsid w:val="008D51CC"/>
    <w:rsid w:val="00915B99"/>
    <w:rsid w:val="00930BA1"/>
    <w:rsid w:val="0093169E"/>
    <w:rsid w:val="009505C9"/>
    <w:rsid w:val="00961FA6"/>
    <w:rsid w:val="00963FB7"/>
    <w:rsid w:val="00967CA9"/>
    <w:rsid w:val="009877D4"/>
    <w:rsid w:val="009A2481"/>
    <w:rsid w:val="009A42C1"/>
    <w:rsid w:val="009C200D"/>
    <w:rsid w:val="00A20B58"/>
    <w:rsid w:val="00A77E50"/>
    <w:rsid w:val="00AA6A62"/>
    <w:rsid w:val="00B27F43"/>
    <w:rsid w:val="00B3369F"/>
    <w:rsid w:val="00B84B85"/>
    <w:rsid w:val="00BB500A"/>
    <w:rsid w:val="00C07861"/>
    <w:rsid w:val="00C20258"/>
    <w:rsid w:val="00C62F4E"/>
    <w:rsid w:val="00C82C01"/>
    <w:rsid w:val="00C9161D"/>
    <w:rsid w:val="00CA63DE"/>
    <w:rsid w:val="00CD4CA3"/>
    <w:rsid w:val="00CF1848"/>
    <w:rsid w:val="00D12044"/>
    <w:rsid w:val="00D26A9A"/>
    <w:rsid w:val="00D27CC4"/>
    <w:rsid w:val="00D76A18"/>
    <w:rsid w:val="00DA1489"/>
    <w:rsid w:val="00DB0429"/>
    <w:rsid w:val="00DD118C"/>
    <w:rsid w:val="00E24FCB"/>
    <w:rsid w:val="00E66235"/>
    <w:rsid w:val="00E811E9"/>
    <w:rsid w:val="00E817BE"/>
    <w:rsid w:val="00E83C24"/>
    <w:rsid w:val="00E9318D"/>
    <w:rsid w:val="00EC2743"/>
    <w:rsid w:val="00F22E4B"/>
    <w:rsid w:val="00F44200"/>
    <w:rsid w:val="00F65A97"/>
    <w:rsid w:val="00F91A1F"/>
    <w:rsid w:val="00F94774"/>
    <w:rsid w:val="00FA3D6F"/>
    <w:rsid w:val="00FC53DB"/>
    <w:rsid w:val="00FC789F"/>
    <w:rsid w:val="00FD14F4"/>
    <w:rsid w:val="00FF258A"/>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7A0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F96"/>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C3F96"/>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C3F96"/>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C3F96"/>
    <w:pPr>
      <w:keepNext/>
      <w:tabs>
        <w:tab w:val="left" w:pos="567"/>
      </w:tabs>
      <w:spacing w:before="120" w:after="120"/>
      <w:jc w:val="center"/>
      <w:outlineLvl w:val="2"/>
    </w:pPr>
    <w:rPr>
      <w:i/>
      <w:iCs/>
    </w:rPr>
  </w:style>
  <w:style w:type="paragraph" w:styleId="Heading4">
    <w:name w:val="heading 4"/>
    <w:basedOn w:val="Normal"/>
    <w:link w:val="Heading4Char"/>
    <w:qFormat/>
    <w:rsid w:val="007C3F96"/>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C3F96"/>
    <w:pPr>
      <w:keepNext/>
      <w:numPr>
        <w:ilvl w:val="4"/>
        <w:numId w:val="21"/>
      </w:numPr>
      <w:spacing w:before="120" w:after="120"/>
      <w:jc w:val="left"/>
      <w:outlineLvl w:val="4"/>
    </w:pPr>
    <w:rPr>
      <w:bCs/>
      <w:i/>
      <w:szCs w:val="26"/>
      <w:lang w:val="en-CA"/>
    </w:rPr>
  </w:style>
  <w:style w:type="paragraph" w:styleId="Heading6">
    <w:name w:val="heading 6"/>
    <w:basedOn w:val="Normal"/>
    <w:next w:val="Normal"/>
    <w:link w:val="Heading6Char"/>
    <w:qFormat/>
    <w:rsid w:val="007C3F96"/>
    <w:pPr>
      <w:keepNext/>
      <w:spacing w:after="240" w:line="240" w:lineRule="exact"/>
      <w:ind w:left="720"/>
      <w:outlineLvl w:val="5"/>
    </w:pPr>
    <w:rPr>
      <w:u w:val="single"/>
    </w:rPr>
  </w:style>
  <w:style w:type="paragraph" w:styleId="Heading7">
    <w:name w:val="heading 7"/>
    <w:basedOn w:val="Normal"/>
    <w:next w:val="Normal"/>
    <w:link w:val="Heading7Char"/>
    <w:rsid w:val="007C3F96"/>
    <w:pPr>
      <w:keepNext/>
      <w:jc w:val="right"/>
      <w:outlineLvl w:val="6"/>
    </w:pPr>
    <w:rPr>
      <w:rFonts w:ascii="Univers" w:hAnsi="Univers"/>
      <w:b/>
      <w:sz w:val="28"/>
    </w:rPr>
  </w:style>
  <w:style w:type="paragraph" w:styleId="Heading8">
    <w:name w:val="heading 8"/>
    <w:basedOn w:val="Normal"/>
    <w:next w:val="Normal"/>
    <w:link w:val="Heading8Char"/>
    <w:qFormat/>
    <w:rsid w:val="007C3F96"/>
    <w:pPr>
      <w:keepNext/>
      <w:jc w:val="right"/>
      <w:outlineLvl w:val="7"/>
    </w:pPr>
    <w:rPr>
      <w:rFonts w:ascii="Univers" w:hAnsi="Univers"/>
      <w:b/>
      <w:sz w:val="32"/>
    </w:rPr>
  </w:style>
  <w:style w:type="paragraph" w:styleId="Heading9">
    <w:name w:val="heading 9"/>
    <w:basedOn w:val="Normal"/>
    <w:next w:val="Normal"/>
    <w:link w:val="Heading9Char"/>
    <w:rsid w:val="007C3F96"/>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F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F96"/>
    <w:rPr>
      <w:rFonts w:ascii="Lucida Grande" w:eastAsia="Times New Roman" w:hAnsi="Lucida Grande" w:cs="Lucida Grande"/>
      <w:sz w:val="18"/>
      <w:szCs w:val="18"/>
      <w:lang w:val="en-GB"/>
    </w:rPr>
  </w:style>
  <w:style w:type="character" w:styleId="PlaceholderText">
    <w:name w:val="Placeholder Text"/>
    <w:basedOn w:val="DefaultParagraphFont"/>
    <w:uiPriority w:val="99"/>
    <w:semiHidden/>
    <w:rsid w:val="007C3F96"/>
    <w:rPr>
      <w:color w:val="808080"/>
    </w:rPr>
  </w:style>
  <w:style w:type="paragraph" w:styleId="Header">
    <w:name w:val="header"/>
    <w:basedOn w:val="Normal"/>
    <w:link w:val="HeaderChar"/>
    <w:rsid w:val="007C3F96"/>
    <w:pPr>
      <w:tabs>
        <w:tab w:val="center" w:pos="4320"/>
        <w:tab w:val="right" w:pos="8640"/>
      </w:tabs>
    </w:pPr>
  </w:style>
  <w:style w:type="character" w:customStyle="1" w:styleId="HeaderChar">
    <w:name w:val="Header Char"/>
    <w:basedOn w:val="DefaultParagraphFont"/>
    <w:link w:val="Header"/>
    <w:rsid w:val="007C3F96"/>
    <w:rPr>
      <w:rFonts w:ascii="Times New Roman" w:eastAsia="Times New Roman" w:hAnsi="Times New Roman" w:cs="Times New Roman"/>
      <w:sz w:val="22"/>
      <w:lang w:val="en-GB"/>
    </w:rPr>
  </w:style>
  <w:style w:type="paragraph" w:styleId="Footer">
    <w:name w:val="footer"/>
    <w:basedOn w:val="Normal"/>
    <w:link w:val="FooterChar"/>
    <w:rsid w:val="007C3F96"/>
    <w:pPr>
      <w:tabs>
        <w:tab w:val="center" w:pos="4320"/>
        <w:tab w:val="right" w:pos="8640"/>
      </w:tabs>
      <w:ind w:firstLine="720"/>
      <w:jc w:val="right"/>
    </w:pPr>
  </w:style>
  <w:style w:type="character" w:customStyle="1" w:styleId="FooterChar">
    <w:name w:val="Footer Char"/>
    <w:basedOn w:val="DefaultParagraphFont"/>
    <w:link w:val="Footer"/>
    <w:rsid w:val="007C3F96"/>
    <w:rPr>
      <w:rFonts w:ascii="Times New Roman" w:eastAsia="Times New Roman" w:hAnsi="Times New Roman" w:cs="Times New Roman"/>
      <w:sz w:val="22"/>
      <w:lang w:val="en-GB"/>
    </w:rPr>
  </w:style>
  <w:style w:type="paragraph" w:customStyle="1" w:styleId="meetingname">
    <w:name w:val="meeting name"/>
    <w:basedOn w:val="Normal"/>
    <w:qFormat/>
    <w:rsid w:val="007C3F96"/>
    <w:pPr>
      <w:ind w:left="142" w:right="4218" w:hanging="142"/>
    </w:pPr>
    <w:rPr>
      <w:caps/>
      <w:szCs w:val="22"/>
    </w:rPr>
  </w:style>
  <w:style w:type="paragraph" w:styleId="Title">
    <w:name w:val="Title"/>
    <w:basedOn w:val="Normal"/>
    <w:next w:val="Normal"/>
    <w:link w:val="TitleCh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C3F96"/>
    <w:rPr>
      <w:rFonts w:asciiTheme="majorHAnsi" w:eastAsiaTheme="majorEastAsia" w:hAnsiTheme="majorHAnsi" w:cstheme="majorBidi"/>
      <w:i/>
      <w:iCs/>
      <w:color w:val="4F81BD" w:themeColor="accent1"/>
      <w:spacing w:val="15"/>
      <w:lang w:val="en-GB"/>
    </w:rPr>
  </w:style>
  <w:style w:type="character" w:customStyle="1" w:styleId="Heading1Char">
    <w:name w:val="Heading 1 Char"/>
    <w:basedOn w:val="DefaultParagraphFont"/>
    <w:link w:val="Heading1"/>
    <w:rsid w:val="007C3F96"/>
    <w:rPr>
      <w:rFonts w:ascii="Times New Roman" w:eastAsia="Times New Roman" w:hAnsi="Times New Roman" w:cs="Times New Roman"/>
      <w:b/>
      <w:caps/>
      <w:sz w:val="22"/>
      <w:lang w:val="en-GB"/>
    </w:rPr>
  </w:style>
  <w:style w:type="paragraph" w:styleId="BodyText">
    <w:name w:val="Body Text"/>
    <w:basedOn w:val="Normal"/>
    <w:link w:val="BodyTextChar"/>
    <w:rsid w:val="007C3F96"/>
    <w:pPr>
      <w:spacing w:before="120" w:after="120"/>
      <w:ind w:firstLine="720"/>
    </w:pPr>
    <w:rPr>
      <w:iCs/>
    </w:rPr>
  </w:style>
  <w:style w:type="character" w:customStyle="1" w:styleId="BodyTextChar">
    <w:name w:val="Body Text Char"/>
    <w:basedOn w:val="DefaultParagraphFont"/>
    <w:link w:val="BodyText"/>
    <w:rsid w:val="007C3F96"/>
    <w:rPr>
      <w:rFonts w:ascii="Times New Roman" w:eastAsia="Times New Roman" w:hAnsi="Times New Roman" w:cs="Times New Roman"/>
      <w:iCs/>
      <w:sz w:val="22"/>
      <w:lang w:val="en-GB"/>
    </w:rPr>
  </w:style>
  <w:style w:type="paragraph" w:styleId="BodyTextIndent">
    <w:name w:val="Body Text Indent"/>
    <w:basedOn w:val="Normal"/>
    <w:link w:val="BodyTextIndentChar"/>
    <w:rsid w:val="007C3F96"/>
    <w:pPr>
      <w:spacing w:before="120" w:after="120"/>
      <w:ind w:left="1440" w:hanging="720"/>
      <w:jc w:val="left"/>
    </w:pPr>
  </w:style>
  <w:style w:type="character" w:customStyle="1" w:styleId="BodyTextIndentChar">
    <w:name w:val="Body Text Indent Char"/>
    <w:basedOn w:val="DefaultParagraphFont"/>
    <w:link w:val="BodyTextIndent"/>
    <w:rsid w:val="007C3F96"/>
    <w:rPr>
      <w:rFonts w:ascii="Times New Roman" w:eastAsia="Times New Roman" w:hAnsi="Times New Roman" w:cs="Times New Roman"/>
      <w:sz w:val="22"/>
      <w:lang w:val="en-GB"/>
    </w:rPr>
  </w:style>
  <w:style w:type="character" w:styleId="CommentReference">
    <w:name w:val="annotation reference"/>
    <w:semiHidden/>
    <w:rsid w:val="007C3F96"/>
    <w:rPr>
      <w:sz w:val="16"/>
    </w:rPr>
  </w:style>
  <w:style w:type="paragraph" w:styleId="CommentText">
    <w:name w:val="annotation text"/>
    <w:basedOn w:val="Normal"/>
    <w:link w:val="CommentTextChar"/>
    <w:semiHidden/>
    <w:rsid w:val="007C3F96"/>
    <w:pPr>
      <w:spacing w:after="120" w:line="240" w:lineRule="exact"/>
    </w:pPr>
  </w:style>
  <w:style w:type="character" w:customStyle="1" w:styleId="CommentTextChar">
    <w:name w:val="Comment Text Char"/>
    <w:basedOn w:val="DefaultParagraphFont"/>
    <w:link w:val="CommentText"/>
    <w:semiHidden/>
    <w:rsid w:val="007C3F96"/>
    <w:rPr>
      <w:rFonts w:ascii="Times New Roman" w:eastAsia="Times New Roman" w:hAnsi="Times New Roman" w:cs="Times New Roman"/>
      <w:sz w:val="22"/>
      <w:lang w:val="en-GB"/>
    </w:rPr>
  </w:style>
  <w:style w:type="paragraph" w:customStyle="1" w:styleId="Cornernotation">
    <w:name w:val="Corner notation"/>
    <w:basedOn w:val="Normal"/>
    <w:rsid w:val="007C3F96"/>
    <w:pPr>
      <w:ind w:left="170" w:right="3119" w:hanging="170"/>
      <w:jc w:val="left"/>
    </w:pPr>
  </w:style>
  <w:style w:type="character" w:styleId="EndnoteReference">
    <w:name w:val="endnote reference"/>
    <w:semiHidden/>
    <w:rsid w:val="007C3F96"/>
    <w:rPr>
      <w:vertAlign w:val="superscript"/>
    </w:rPr>
  </w:style>
  <w:style w:type="paragraph" w:styleId="EndnoteText">
    <w:name w:val="endnote text"/>
    <w:basedOn w:val="Normal"/>
    <w:link w:val="EndnoteTextChar"/>
    <w:semiHidden/>
    <w:rsid w:val="007C3F96"/>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C3F96"/>
    <w:rPr>
      <w:rFonts w:ascii="Courier New" w:eastAsia="Times New Roman" w:hAnsi="Courier New" w:cs="Times New Roman"/>
      <w:sz w:val="22"/>
      <w:lang w:val="en-GB"/>
    </w:rPr>
  </w:style>
  <w:style w:type="character" w:styleId="FollowedHyperlink">
    <w:name w:val="FollowedHyperlink"/>
    <w:rsid w:val="007C3F96"/>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7C3F96"/>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C3F96"/>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Heading2Char">
    <w:name w:val="Heading 2 Char"/>
    <w:basedOn w:val="DefaultParagraphFont"/>
    <w:link w:val="Heading2"/>
    <w:rsid w:val="007C3F96"/>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C3F96"/>
  </w:style>
  <w:style w:type="paragraph" w:customStyle="1" w:styleId="Heading1longmultiline">
    <w:name w:val="Heading 1 (long multiline)"/>
    <w:basedOn w:val="Heading1"/>
    <w:rsid w:val="007C3F96"/>
    <w:pPr>
      <w:ind w:left="1843" w:hanging="1134"/>
      <w:jc w:val="left"/>
    </w:pPr>
  </w:style>
  <w:style w:type="paragraph" w:customStyle="1" w:styleId="Heading1multiline">
    <w:name w:val="Heading 1 (multiline)"/>
    <w:basedOn w:val="Heading1"/>
    <w:rsid w:val="007C3F96"/>
    <w:pPr>
      <w:ind w:left="1843" w:right="996" w:hanging="567"/>
      <w:jc w:val="left"/>
    </w:pPr>
  </w:style>
  <w:style w:type="paragraph" w:customStyle="1" w:styleId="Heading2multiline">
    <w:name w:val="Heading 2 (multiline)"/>
    <w:basedOn w:val="Heading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Heading3Char">
    <w:name w:val="Heading 3 Char"/>
    <w:basedOn w:val="DefaultParagraphFont"/>
    <w:link w:val="Heading3"/>
    <w:rsid w:val="007C3F96"/>
    <w:rPr>
      <w:rFonts w:ascii="Times New Roman" w:eastAsia="Times New Roman" w:hAnsi="Times New Roman" w:cs="Times New Roman"/>
      <w:i/>
      <w:iCs/>
      <w:sz w:val="22"/>
      <w:lang w:val="en-GB"/>
    </w:rPr>
  </w:style>
  <w:style w:type="paragraph" w:customStyle="1" w:styleId="heading2notforTOC">
    <w:name w:val="heading 2 not for TOC"/>
    <w:basedOn w:val="Heading3"/>
    <w:rsid w:val="007C3F96"/>
  </w:style>
  <w:style w:type="paragraph" w:customStyle="1" w:styleId="Heading3multiline">
    <w:name w:val="Heading 3 (multiline)"/>
    <w:basedOn w:val="Heading3"/>
    <w:next w:val="Normal"/>
    <w:rsid w:val="007C3F96"/>
    <w:pPr>
      <w:ind w:left="1418" w:hanging="425"/>
      <w:jc w:val="left"/>
    </w:pPr>
  </w:style>
  <w:style w:type="character" w:customStyle="1" w:styleId="Heading4Char">
    <w:name w:val="Heading 4 Char"/>
    <w:basedOn w:val="DefaultParagraphFont"/>
    <w:link w:val="Heading4"/>
    <w:rsid w:val="007C3F96"/>
    <w:rPr>
      <w:rFonts w:ascii="Times New Roman Bold" w:eastAsia="Arial Unicode MS" w:hAnsi="Times New Roman Bold" w:cs="Arial"/>
      <w:b/>
      <w:bCs/>
      <w:i/>
      <w:sz w:val="22"/>
      <w:lang w:val="en-GB"/>
    </w:rPr>
  </w:style>
  <w:style w:type="paragraph" w:customStyle="1" w:styleId="Heading4indent">
    <w:name w:val="Heading 4 indent"/>
    <w:basedOn w:val="Heading4"/>
    <w:rsid w:val="007C3F96"/>
    <w:pPr>
      <w:ind w:left="720"/>
      <w:outlineLvl w:val="9"/>
    </w:pPr>
    <w:rPr>
      <w:rFonts w:ascii="Times New Roman" w:hAnsi="Times New Roman"/>
    </w:rPr>
  </w:style>
  <w:style w:type="character" w:customStyle="1" w:styleId="Heading5Char">
    <w:name w:val="Heading 5 Char"/>
    <w:basedOn w:val="DefaultParagraphFont"/>
    <w:link w:val="Heading5"/>
    <w:rsid w:val="007C3F96"/>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C3F96"/>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C3F96"/>
    <w:rPr>
      <w:rFonts w:ascii="Univers" w:eastAsia="Times New Roman" w:hAnsi="Univers" w:cs="Times New Roman"/>
      <w:b/>
      <w:sz w:val="28"/>
      <w:lang w:val="en-GB"/>
    </w:rPr>
  </w:style>
  <w:style w:type="character" w:customStyle="1" w:styleId="Heading8Char">
    <w:name w:val="Heading 8 Char"/>
    <w:basedOn w:val="DefaultParagraphFont"/>
    <w:link w:val="Heading8"/>
    <w:rsid w:val="007C3F96"/>
    <w:rPr>
      <w:rFonts w:ascii="Univers" w:eastAsia="Times New Roman" w:hAnsi="Univers" w:cs="Times New Roman"/>
      <w:b/>
      <w:sz w:val="32"/>
      <w:lang w:val="en-GB"/>
    </w:rPr>
  </w:style>
  <w:style w:type="character" w:customStyle="1" w:styleId="Heading9Char">
    <w:name w:val="Heading 9 Char"/>
    <w:basedOn w:val="DefaultParagraphFont"/>
    <w:link w:val="Heading9"/>
    <w:rsid w:val="007C3F96"/>
    <w:rPr>
      <w:rFonts w:ascii="Times New Roman" w:eastAsia="Times New Roman" w:hAnsi="Times New Roman" w:cs="Times New Roman"/>
      <w:i/>
      <w:iCs/>
      <w:sz w:val="22"/>
      <w:lang w:val="en-GB"/>
    </w:rPr>
  </w:style>
  <w:style w:type="character" w:styleId="PageNumber">
    <w:name w:val="page number"/>
    <w:rsid w:val="007C3F96"/>
    <w:rPr>
      <w:rFonts w:ascii="Times New Roman" w:hAnsi="Times New Roman"/>
      <w:sz w:val="22"/>
    </w:rPr>
  </w:style>
  <w:style w:type="paragraph" w:customStyle="1" w:styleId="Para1">
    <w:name w:val="Para1"/>
    <w:basedOn w:val="Normal"/>
    <w:link w:val="Para1Char"/>
    <w:rsid w:val="007C3F96"/>
    <w:pPr>
      <w:numPr>
        <w:numId w:val="22"/>
      </w:numPr>
      <w:tabs>
        <w:tab w:val="clear" w:pos="360"/>
      </w:tabs>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Heading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Heading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Heading2"/>
    <w:qFormat/>
    <w:rsid w:val="007C3F96"/>
    <w:pPr>
      <w:jc w:val="left"/>
      <w:outlineLvl w:val="9"/>
    </w:pPr>
    <w:rPr>
      <w:i/>
    </w:rPr>
  </w:style>
  <w:style w:type="paragraph" w:styleId="TOAHeading">
    <w:name w:val="toa heading"/>
    <w:basedOn w:val="Normal"/>
    <w:next w:val="Normal"/>
    <w:semiHidden/>
    <w:rsid w:val="007C3F96"/>
    <w:pPr>
      <w:spacing w:before="120"/>
    </w:pPr>
    <w:rPr>
      <w:rFonts w:cs="Arial"/>
      <w:b/>
      <w:bCs/>
      <w:sz w:val="24"/>
    </w:rPr>
  </w:style>
  <w:style w:type="paragraph" w:styleId="TOC1">
    <w:name w:val="toc 1"/>
    <w:basedOn w:val="Normal"/>
    <w:next w:val="Normal"/>
    <w:autoRedefine/>
    <w:semiHidden/>
    <w:rsid w:val="007C3F96"/>
    <w:pPr>
      <w:ind w:left="720" w:hanging="720"/>
    </w:pPr>
    <w:rPr>
      <w:caps/>
    </w:rPr>
  </w:style>
  <w:style w:type="paragraph" w:styleId="TOC2">
    <w:name w:val="toc 2"/>
    <w:basedOn w:val="Normal"/>
    <w:next w:val="Normal"/>
    <w:autoRedefine/>
    <w:semiHidden/>
    <w:rsid w:val="007C3F96"/>
    <w:pPr>
      <w:tabs>
        <w:tab w:val="right" w:leader="dot" w:pos="9356"/>
      </w:tabs>
      <w:ind w:left="1440" w:hanging="720"/>
    </w:pPr>
    <w:rPr>
      <w:noProof/>
      <w:szCs w:val="22"/>
    </w:rPr>
  </w:style>
  <w:style w:type="paragraph" w:styleId="TOC3">
    <w:name w:val="toc 3"/>
    <w:basedOn w:val="Normal"/>
    <w:next w:val="Normal"/>
    <w:autoRedefine/>
    <w:semiHidden/>
    <w:rsid w:val="007C3F96"/>
    <w:pPr>
      <w:ind w:left="2160" w:hanging="720"/>
    </w:pPr>
  </w:style>
  <w:style w:type="paragraph" w:styleId="TOC4">
    <w:name w:val="toc 4"/>
    <w:basedOn w:val="Normal"/>
    <w:next w:val="Normal"/>
    <w:autoRedefine/>
    <w:semiHidden/>
    <w:rsid w:val="007C3F96"/>
    <w:pPr>
      <w:spacing w:before="120" w:after="120"/>
      <w:ind w:left="660"/>
      <w:jc w:val="left"/>
    </w:pPr>
  </w:style>
  <w:style w:type="paragraph" w:styleId="TOC5">
    <w:name w:val="toc 5"/>
    <w:basedOn w:val="Normal"/>
    <w:next w:val="Normal"/>
    <w:autoRedefine/>
    <w:semiHidden/>
    <w:rsid w:val="007C3F96"/>
    <w:pPr>
      <w:spacing w:before="120" w:after="120"/>
      <w:ind w:left="880"/>
      <w:jc w:val="left"/>
    </w:pPr>
  </w:style>
  <w:style w:type="paragraph" w:styleId="TOC6">
    <w:name w:val="toc 6"/>
    <w:basedOn w:val="Normal"/>
    <w:next w:val="Normal"/>
    <w:autoRedefine/>
    <w:semiHidden/>
    <w:rsid w:val="007C3F96"/>
    <w:pPr>
      <w:spacing w:before="120" w:after="120"/>
      <w:ind w:left="1100"/>
      <w:jc w:val="left"/>
    </w:pPr>
  </w:style>
  <w:style w:type="paragraph" w:styleId="TOC7">
    <w:name w:val="toc 7"/>
    <w:basedOn w:val="Normal"/>
    <w:next w:val="Normal"/>
    <w:autoRedefine/>
    <w:semiHidden/>
    <w:rsid w:val="007C3F96"/>
    <w:pPr>
      <w:spacing w:before="120" w:after="120"/>
      <w:ind w:left="1320"/>
      <w:jc w:val="left"/>
    </w:pPr>
  </w:style>
  <w:style w:type="paragraph" w:styleId="TOC8">
    <w:name w:val="toc 8"/>
    <w:basedOn w:val="Normal"/>
    <w:next w:val="Normal"/>
    <w:autoRedefine/>
    <w:semiHidden/>
    <w:rsid w:val="007C3F96"/>
    <w:pPr>
      <w:spacing w:before="120" w:after="120"/>
      <w:ind w:left="1540"/>
      <w:jc w:val="left"/>
    </w:pPr>
  </w:style>
  <w:style w:type="paragraph" w:styleId="TOC9">
    <w:name w:val="toc 9"/>
    <w:basedOn w:val="Normal"/>
    <w:next w:val="Normal"/>
    <w:autoRedefine/>
    <w:semiHidden/>
    <w:rsid w:val="007C3F96"/>
    <w:pPr>
      <w:spacing w:before="120" w:after="120"/>
      <w:ind w:left="1760"/>
      <w:jc w:val="left"/>
    </w:pPr>
  </w:style>
  <w:style w:type="character" w:styleId="Hyperlink">
    <w:name w:val="Hyperlink"/>
    <w:rsid w:val="007C3F96"/>
    <w:rPr>
      <w:color w:val="0000FF"/>
      <w:sz w:val="18"/>
      <w:u w:val="single"/>
    </w:rPr>
  </w:style>
  <w:style w:type="character" w:customStyle="1" w:styleId="Para1Char">
    <w:name w:val="Para1 Char"/>
    <w:link w:val="Para1"/>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ListParagraph">
    <w:name w:val="List Paragraph"/>
    <w:basedOn w:val="Normal"/>
    <w:uiPriority w:val="34"/>
    <w:qFormat/>
    <w:rsid w:val="007C3F96"/>
    <w:pPr>
      <w:ind w:left="720"/>
      <w:contextualSpacing/>
    </w:pPr>
  </w:style>
  <w:style w:type="paragraph" w:styleId="Caption">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Heading2"/>
    <w:qFormat/>
    <w:rsid w:val="007C3F9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7D2AFC0E24CA4791B378822D29E3757E"/>
        <w:category>
          <w:name w:val="General"/>
          <w:gallery w:val="placeholder"/>
        </w:category>
        <w:types>
          <w:type w:val="bbPlcHdr"/>
        </w:types>
        <w:behaviors>
          <w:behavior w:val="content"/>
        </w:behaviors>
        <w:guid w:val="{99E46A24-58B8-4767-B972-36126C4A3AFD}"/>
      </w:docPartPr>
      <w:docPartBody>
        <w:p w:rsidR="005779A3" w:rsidRDefault="00FC3DA7" w:rsidP="00FC3DA7">
          <w:pPr>
            <w:pStyle w:val="7D2AFC0E24CA4791B378822D29E3757E"/>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2671F8"/>
    <w:rsid w:val="002B7438"/>
    <w:rsid w:val="00370CEE"/>
    <w:rsid w:val="003A7D78"/>
    <w:rsid w:val="003B0BDA"/>
    <w:rsid w:val="00500A2B"/>
    <w:rsid w:val="005779A3"/>
    <w:rsid w:val="0058288D"/>
    <w:rsid w:val="00587F8A"/>
    <w:rsid w:val="005917B7"/>
    <w:rsid w:val="006801B3"/>
    <w:rsid w:val="00720F63"/>
    <w:rsid w:val="007F1B76"/>
    <w:rsid w:val="00810A55"/>
    <w:rsid w:val="00881425"/>
    <w:rsid w:val="008C6619"/>
    <w:rsid w:val="008D420E"/>
    <w:rsid w:val="009134FA"/>
    <w:rsid w:val="0098642F"/>
    <w:rsid w:val="00A13BD2"/>
    <w:rsid w:val="00A30619"/>
    <w:rsid w:val="00AA56EC"/>
    <w:rsid w:val="00C82269"/>
    <w:rsid w:val="00CE6602"/>
    <w:rsid w:val="00CE748F"/>
    <w:rsid w:val="00CF0D48"/>
    <w:rsid w:val="00E57123"/>
    <w:rsid w:val="00FC3D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C3DA7"/>
    <w:rPr>
      <w:color w:val="808080"/>
    </w:rPr>
  </w:style>
  <w:style w:type="paragraph" w:customStyle="1" w:styleId="6DBD4F1BEC7A43B98887D9DC898C62A1">
    <w:name w:val="6DBD4F1BEC7A43B98887D9DC898C62A1"/>
    <w:rsid w:val="003A7D78"/>
    <w:pPr>
      <w:spacing w:after="160" w:line="259" w:lineRule="auto"/>
    </w:pPr>
    <w:rPr>
      <w:lang w:val="es-ES" w:eastAsia="es-ES"/>
    </w:rPr>
  </w:style>
  <w:style w:type="paragraph" w:customStyle="1" w:styleId="7D2AFC0E24CA4791B378822D29E3757E">
    <w:name w:val="7D2AFC0E24CA4791B378822D29E3757E"/>
    <w:rsid w:val="00FC3DA7"/>
    <w:pPr>
      <w:spacing w:after="160" w:line="259" w:lineRule="auto"/>
    </w:pPr>
    <w:rPr>
      <w:lang w:val="es-UY" w:eastAsia="es-UY"/>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57B10B752F084BA8DB813B296FB27B" ma:contentTypeVersion="4" ma:contentTypeDescription="Create a new document." ma:contentTypeScope="" ma:versionID="a41c1625e0c5e3501ab261f418a31bef">
  <xsd:schema xmlns:xsd="http://www.w3.org/2001/XMLSchema" xmlns:xs="http://www.w3.org/2001/XMLSchema" xmlns:p="http://schemas.microsoft.com/office/2006/metadata/properties" xmlns:ns2="c81b4b69-2fdc-4c4e-909f-0c008d05f230" xmlns:ns3="a7dbe1ce-d728-48be-9ca1-bdc9cbbc93e0" targetNamespace="http://schemas.microsoft.com/office/2006/metadata/properties" ma:root="true" ma:fieldsID="55486cc2e8c49fd3df5b2f8bfa195cc0" ns2:_="" ns3:_="">
    <xsd:import namespace="c81b4b69-2fdc-4c4e-909f-0c008d05f230"/>
    <xsd:import namespace="a7dbe1ce-d728-48be-9ca1-bdc9cbbc9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b4b69-2fdc-4c4e-909f-0c008d05f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be1ce-d728-48be-9ca1-bdc9cbbc9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3.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9744A2-29F2-447B-98F5-B94F7ED61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b4b69-2fdc-4c4e-909f-0c008d05f230"/>
    <ds:schemaRef ds:uri="a7dbe1ce-d728-48be-9ca1-bdc9cbbc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C54B3E-12F8-46AB-800A-1C73A847E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1824</Words>
  <Characters>10400</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Evaluación del riesgo y gestión del riesgo (artículos 15 y 16)</vt:lpstr>
      <vt:lpstr>Risk assessment and risk management (Articles 15 and 16)</vt:lpstr>
    </vt:vector>
  </TitlesOfParts>
  <Company>SCBD</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CP-10/10.   Evaluación del riesgo y gestión del riesgo (artículos 15 y 16)</dc:title>
  <dc:subject>CBD/CP/MOP/DEC/10/10</dc:subject>
  <dc:creator>SCBD</dc:creator>
  <cp:keywords>Conference of the Parties serving as the meeting of the parties to the Cartagena Protocol on Biosafety, tenth meeting</cp:keywords>
  <cp:lastModifiedBy>Rosario </cp:lastModifiedBy>
  <cp:revision>28</cp:revision>
  <dcterms:created xsi:type="dcterms:W3CDTF">2022-12-09T22:59:00Z</dcterms:created>
  <dcterms:modified xsi:type="dcterms:W3CDTF">2023-02-23T19:55:00Z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ies>
</file>