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fr-FR" w:eastAsia="fr-FR"/>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61B4AC3A" w:rsidR="00FA663B" w:rsidRPr="00321985" w:rsidRDefault="000201D1" w:rsidP="00321985">
            <w:r w:rsidRPr="000201D1">
              <w:rPr>
                <w:noProof/>
                <w:lang w:val="fr-FR" w:eastAsia="fr-FR"/>
              </w:rPr>
              <w:drawing>
                <wp:inline distT="0" distB="0" distL="0" distR="0" wp14:anchorId="6B401179" wp14:editId="13EB3816">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4DDB26A8" w:rsidR="00C9161D" w:rsidRDefault="000201D1" w:rsidP="00C9161D">
            <w:r w:rsidRPr="006E78A2">
              <w:rPr>
                <w:bCs/>
                <w:noProof/>
                <w:szCs w:val="22"/>
                <w:lang w:val="fr-FR" w:eastAsia="fr-FR"/>
              </w:rPr>
              <w:drawing>
                <wp:inline distT="0" distB="0" distL="0" distR="0" wp14:anchorId="6B66E67A" wp14:editId="65A4C24A">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B661FB" w:rsidRDefault="00C9161D" w:rsidP="00176CEE">
            <w:pPr>
              <w:ind w:left="1215"/>
              <w:rPr>
                <w:szCs w:val="22"/>
                <w:lang w:val="fr-FR"/>
              </w:rPr>
            </w:pPr>
            <w:r w:rsidRPr="00B661FB">
              <w:rPr>
                <w:szCs w:val="22"/>
                <w:lang w:val="fr-FR"/>
              </w:rPr>
              <w:t>Distr.</w:t>
            </w:r>
          </w:p>
          <w:p w14:paraId="0C21C438" w14:textId="087E5EC4" w:rsidR="00C9161D" w:rsidRPr="00B661FB" w:rsidRDefault="00B661FB" w:rsidP="00176CEE">
            <w:pPr>
              <w:ind w:left="1215"/>
              <w:rPr>
                <w:szCs w:val="22"/>
                <w:lang w:val="fr-FR"/>
              </w:rPr>
            </w:pPr>
            <w:r>
              <w:rPr>
                <w:caps/>
                <w:szCs w:val="22"/>
                <w:lang w:val="fr-FR"/>
              </w:rPr>
              <w:t>g</w:t>
            </w:r>
            <w:r w:rsidR="000201D1" w:rsidRPr="00B661FB">
              <w:rPr>
                <w:caps/>
                <w:szCs w:val="22"/>
                <w:lang w:val="fr-FR"/>
              </w:rPr>
              <w:t>É</w:t>
            </w:r>
            <w:r>
              <w:rPr>
                <w:caps/>
                <w:szCs w:val="22"/>
                <w:lang w:val="fr-FR"/>
              </w:rPr>
              <w:t>nÉral</w:t>
            </w:r>
            <w:r w:rsidR="000201D1" w:rsidRPr="00B661FB">
              <w:rPr>
                <w:caps/>
                <w:szCs w:val="22"/>
                <w:lang w:val="fr-FR"/>
              </w:rPr>
              <w:t>E</w:t>
            </w:r>
          </w:p>
          <w:p w14:paraId="06715052" w14:textId="77777777" w:rsidR="00C9161D" w:rsidRPr="00B661FB" w:rsidRDefault="00C9161D" w:rsidP="00176CEE">
            <w:pPr>
              <w:ind w:left="1215"/>
              <w:rPr>
                <w:szCs w:val="22"/>
                <w:lang w:val="fr-FR"/>
              </w:rPr>
            </w:pPr>
          </w:p>
          <w:p w14:paraId="44230134" w14:textId="577CCE15" w:rsidR="00C9161D" w:rsidRPr="00B661FB" w:rsidRDefault="002E2D1A" w:rsidP="00176CEE">
            <w:pPr>
              <w:ind w:left="1215"/>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DF75CC" w:rsidRPr="00B661FB">
                  <w:rPr>
                    <w:lang w:val="fr-FR"/>
                  </w:rPr>
                  <w:t>CBD/CP/MOP/</w:t>
                </w:r>
                <w:r w:rsidR="00B661FB">
                  <w:rPr>
                    <w:lang w:val="fr-FR"/>
                  </w:rPr>
                  <w:t>DEC/10/9</w:t>
                </w:r>
              </w:sdtContent>
            </w:sdt>
          </w:p>
          <w:p w14:paraId="0DF1F033" w14:textId="1363E2E6" w:rsidR="00C9161D" w:rsidRPr="00C9161D" w:rsidRDefault="00B661FB" w:rsidP="00176CEE">
            <w:pPr>
              <w:ind w:left="1215"/>
              <w:rPr>
                <w:szCs w:val="22"/>
              </w:rPr>
            </w:pPr>
            <w:r>
              <w:rPr>
                <w:szCs w:val="22"/>
                <w:lang w:val="fr-FR"/>
              </w:rPr>
              <w:t>1</w:t>
            </w:r>
            <w:r w:rsidR="00B0087D">
              <w:rPr>
                <w:szCs w:val="22"/>
                <w:lang w:val="en-US"/>
              </w:rPr>
              <w:t xml:space="preserve">9 </w:t>
            </w:r>
            <w:r w:rsidR="000201D1">
              <w:rPr>
                <w:szCs w:val="22"/>
                <w:lang w:val="en-US"/>
              </w:rPr>
              <w:t>décembre</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3F81425C" w14:textId="77777777" w:rsidR="000201D1" w:rsidRDefault="000201D1" w:rsidP="00176CEE">
            <w:pPr>
              <w:ind w:left="1215"/>
              <w:rPr>
                <w:szCs w:val="22"/>
              </w:rPr>
            </w:pPr>
            <w:r>
              <w:rPr>
                <w:szCs w:val="22"/>
              </w:rPr>
              <w:t>FRANÇAIS</w:t>
            </w:r>
          </w:p>
          <w:p w14:paraId="19472D49" w14:textId="5C973A36" w:rsidR="00C9161D" w:rsidRPr="00C9161D" w:rsidRDefault="006B2290" w:rsidP="00176CEE">
            <w:pPr>
              <w:ind w:left="1215"/>
              <w:rPr>
                <w:szCs w:val="22"/>
              </w:rPr>
            </w:pPr>
            <w:r>
              <w:rPr>
                <w:szCs w:val="22"/>
              </w:rPr>
              <w:t>ORIGINAL</w:t>
            </w:r>
            <w:r w:rsidR="000201D1">
              <w:rPr>
                <w:szCs w:val="22"/>
              </w:rPr>
              <w:t xml:space="preserve"> </w:t>
            </w:r>
            <w:r>
              <w:rPr>
                <w:szCs w:val="22"/>
              </w:rPr>
              <w:t xml:space="preserve">: </w:t>
            </w:r>
            <w:r w:rsidR="000201D1">
              <w:rPr>
                <w:szCs w:val="22"/>
              </w:rPr>
              <w:t>ANGLAIS</w:t>
            </w:r>
          </w:p>
          <w:p w14:paraId="5AA10CCE" w14:textId="77777777" w:rsidR="00C9161D" w:rsidRDefault="00C9161D"/>
        </w:tc>
      </w:tr>
    </w:tbl>
    <w:p w14:paraId="017DF8DF" w14:textId="77777777" w:rsidR="000201D1" w:rsidRPr="00147180" w:rsidRDefault="000201D1" w:rsidP="00B661FB">
      <w:pPr>
        <w:pStyle w:val="Cornernotation"/>
        <w:kinsoku w:val="0"/>
        <w:overflowPunct w:val="0"/>
        <w:autoSpaceDE w:val="0"/>
        <w:autoSpaceDN w:val="0"/>
        <w:spacing w:before="60"/>
        <w:ind w:left="142" w:right="4115" w:hanging="142"/>
        <w:rPr>
          <w:snapToGrid w:val="0"/>
          <w:kern w:val="22"/>
          <w:lang w:val="fr-CA"/>
        </w:rPr>
      </w:pPr>
      <w:r>
        <w:rPr>
          <w:snapToGrid w:val="0"/>
          <w:kern w:val="22"/>
          <w:lang w:val="fr-CA"/>
        </w:rPr>
        <w:t>CONFÉRENCE DES PARTIES SIÉGEANT EN TANT QUE RÉUNION DES PARTIES AU PROTOCOLE DE CARTAGENA SUR LA PRÉVENTION DES RISQUES BIOTECHNOLOGIQUES</w:t>
      </w:r>
    </w:p>
    <w:p w14:paraId="58C125ED" w14:textId="77777777" w:rsidR="000201D1" w:rsidRPr="00147180" w:rsidRDefault="000201D1" w:rsidP="000201D1">
      <w:pPr>
        <w:pStyle w:val="Cornernotation"/>
        <w:ind w:right="4115"/>
        <w:rPr>
          <w:lang w:val="fr-CA"/>
        </w:rPr>
      </w:pPr>
      <w:r>
        <w:rPr>
          <w:lang w:val="fr-CA"/>
        </w:rPr>
        <w:t>Dixième réunion, deuxième partie</w:t>
      </w:r>
    </w:p>
    <w:p w14:paraId="04D8E7AB" w14:textId="4E5DE0FE" w:rsidR="000201D1" w:rsidRPr="00147180" w:rsidRDefault="000201D1" w:rsidP="000201D1">
      <w:pPr>
        <w:pStyle w:val="Cornernotation"/>
        <w:kinsoku w:val="0"/>
        <w:overflowPunct w:val="0"/>
        <w:autoSpaceDE w:val="0"/>
        <w:autoSpaceDN w:val="0"/>
        <w:ind w:left="227" w:right="4075" w:hanging="227"/>
        <w:rPr>
          <w:snapToGrid w:val="0"/>
          <w:kern w:val="22"/>
          <w:szCs w:val="22"/>
          <w:lang w:val="fr-CA" w:eastAsia="nb-NO"/>
        </w:rPr>
      </w:pPr>
      <w:r w:rsidRPr="00147180">
        <w:rPr>
          <w:snapToGrid w:val="0"/>
          <w:kern w:val="22"/>
          <w:szCs w:val="22"/>
          <w:lang w:val="fr-CA" w:eastAsia="nb-NO"/>
        </w:rPr>
        <w:t>Montr</w:t>
      </w:r>
      <w:r>
        <w:rPr>
          <w:snapToGrid w:val="0"/>
          <w:kern w:val="22"/>
          <w:szCs w:val="22"/>
          <w:lang w:val="fr-CA" w:eastAsia="nb-NO"/>
        </w:rPr>
        <w:t>é</w:t>
      </w:r>
      <w:r w:rsidRPr="00147180">
        <w:rPr>
          <w:snapToGrid w:val="0"/>
          <w:kern w:val="22"/>
          <w:szCs w:val="22"/>
          <w:lang w:val="fr-CA" w:eastAsia="nb-NO"/>
        </w:rPr>
        <w:t>al</w:t>
      </w:r>
      <w:r>
        <w:rPr>
          <w:snapToGrid w:val="0"/>
          <w:kern w:val="22"/>
          <w:szCs w:val="22"/>
          <w:lang w:val="fr-CA" w:eastAsia="nb-NO"/>
        </w:rPr>
        <w:t>, Canada</w:t>
      </w:r>
      <w:r w:rsidR="00B661FB">
        <w:rPr>
          <w:snapToGrid w:val="0"/>
          <w:kern w:val="22"/>
          <w:szCs w:val="22"/>
          <w:lang w:val="fr-CA" w:eastAsia="nb-NO"/>
        </w:rPr>
        <w:t>,</w:t>
      </w:r>
      <w:r w:rsidRPr="00147180">
        <w:rPr>
          <w:snapToGrid w:val="0"/>
          <w:kern w:val="22"/>
          <w:szCs w:val="22"/>
          <w:lang w:val="fr-CA" w:eastAsia="nb-NO"/>
        </w:rPr>
        <w:t xml:space="preserve"> 7-19 </w:t>
      </w:r>
      <w:r>
        <w:rPr>
          <w:snapToGrid w:val="0"/>
          <w:kern w:val="22"/>
          <w:szCs w:val="22"/>
          <w:lang w:val="fr-CA" w:eastAsia="nb-NO"/>
        </w:rPr>
        <w:t>décembre</w:t>
      </w:r>
      <w:r w:rsidRPr="00147180">
        <w:rPr>
          <w:snapToGrid w:val="0"/>
          <w:kern w:val="22"/>
          <w:szCs w:val="22"/>
          <w:lang w:val="fr-CA" w:eastAsia="nb-NO"/>
        </w:rPr>
        <w:t xml:space="preserve"> 2022</w:t>
      </w:r>
    </w:p>
    <w:p w14:paraId="103C3FA6" w14:textId="48597279" w:rsidR="000201D1" w:rsidRDefault="000201D1" w:rsidP="000201D1">
      <w:pPr>
        <w:pStyle w:val="Cornernotation"/>
        <w:ind w:right="4784"/>
        <w:rPr>
          <w:lang w:val="fr-CA"/>
        </w:rPr>
      </w:pPr>
      <w:r>
        <w:rPr>
          <w:lang w:val="fr-CA"/>
        </w:rPr>
        <w:t>Point 8 de l’ordre du jour</w:t>
      </w:r>
    </w:p>
    <w:p w14:paraId="5ECF7635" w14:textId="658900BC" w:rsidR="00C9161D" w:rsidRPr="007273AF" w:rsidRDefault="007273AF" w:rsidP="007273AF">
      <w:pPr>
        <w:spacing w:before="240" w:after="240"/>
        <w:ind w:right="-288"/>
        <w:jc w:val="center"/>
        <w:rPr>
          <w:rFonts w:ascii="Times New Roman Bold" w:hAnsi="Times New Roman Bold"/>
          <w:b/>
          <w:caps/>
          <w:lang w:val="fr-FR"/>
        </w:rPr>
      </w:pPr>
      <w:r w:rsidRPr="00C976D0">
        <w:rPr>
          <w:rFonts w:ascii="Times New Roman Bold" w:hAnsi="Times New Roman Bold"/>
          <w:b/>
          <w:caps/>
          <w:lang w:val="fr-FR"/>
        </w:rPr>
        <w:t>DÉcision adoptÉ</w:t>
      </w:r>
      <w:r>
        <w:rPr>
          <w:rFonts w:ascii="Times New Roman Bold" w:hAnsi="Times New Roman Bold"/>
          <w:b/>
          <w:caps/>
          <w:lang w:val="fr-FR"/>
        </w:rPr>
        <w:t>e PAR LES Parties AU PROTOCOLE DE Cartagena SUR LA PRÉVENTION des risques biotechnologiqueS</w:t>
      </w:r>
    </w:p>
    <w:p w14:paraId="24ECC7D3" w14:textId="55523927" w:rsidR="000201D1" w:rsidRPr="00B65412" w:rsidRDefault="002E2D1A" w:rsidP="000201D1">
      <w:pPr>
        <w:spacing w:before="240" w:after="240"/>
        <w:jc w:val="center"/>
        <w:rPr>
          <w:b/>
          <w:caps/>
          <w:lang w:val="fr-CA"/>
        </w:rPr>
      </w:pPr>
      <w:sdt>
        <w:sdtPr>
          <w:rPr>
            <w:b/>
            <w:lang w:val="fr-FR"/>
          </w:rPr>
          <w:alias w:val="Title"/>
          <w:tag w:val=""/>
          <w:id w:val="772832786"/>
          <w:placeholder>
            <w:docPart w:val="7FBA4C5140444A9EB1C326E401F866B8"/>
          </w:placeholder>
          <w:dataBinding w:prefixMappings="xmlns:ns0='http://purl.org/dc/elements/1.1/' xmlns:ns1='http://schemas.openxmlformats.org/package/2006/metadata/core-properties' " w:xpath="/ns1:coreProperties[1]/ns0:title[1]" w:storeItemID="{6C3C8BC8-F283-45AE-878A-BAB7291924A1}"/>
          <w:text/>
        </w:sdtPr>
        <w:sdtEndPr/>
        <w:sdtContent>
          <w:r w:rsidR="00AB4A4B" w:rsidRPr="003C3193">
            <w:rPr>
              <w:b/>
              <w:lang w:val="fr-FR"/>
            </w:rPr>
            <w:t>CP-10/9.        Suivi et établissement des rapports (article 33)</w:t>
          </w:r>
        </w:sdtContent>
      </w:sdt>
      <w:r w:rsidR="000201D1" w:rsidRPr="00B65412">
        <w:rPr>
          <w:b/>
          <w:caps/>
          <w:lang w:val="fr-CA"/>
        </w:rPr>
        <w:t xml:space="preserve"> </w:t>
      </w:r>
    </w:p>
    <w:p w14:paraId="5621D607" w14:textId="195CED51" w:rsidR="000201D1" w:rsidRPr="00EF7813" w:rsidRDefault="000201D1" w:rsidP="003C3193">
      <w:pPr>
        <w:pStyle w:val="ListParagraph"/>
        <w:shd w:val="clear" w:color="auto" w:fill="FFFFFF" w:themeFill="background1"/>
        <w:spacing w:before="120" w:after="120"/>
        <w:ind w:left="0" w:firstLine="720"/>
        <w:contextualSpacing w:val="0"/>
        <w:jc w:val="left"/>
        <w:rPr>
          <w:i/>
          <w:iCs/>
          <w:szCs w:val="22"/>
          <w:lang w:val="fr-CA"/>
        </w:rPr>
      </w:pPr>
      <w:r w:rsidRPr="004E42E0">
        <w:rPr>
          <w:i/>
          <w:iCs/>
          <w:szCs w:val="22"/>
          <w:lang w:val="fr-FR"/>
        </w:rPr>
        <w:t>La Conférence des Parties siégeant en tant que réunion des Parties au Protocole de Cartagena sur la prévention des risques biotechnologiques</w:t>
      </w:r>
      <w:r w:rsidRPr="004E42E0">
        <w:rPr>
          <w:i/>
          <w:iCs/>
          <w:szCs w:val="22"/>
          <w:lang w:val="fr-CA"/>
        </w:rPr>
        <w:t xml:space="preserve">, </w:t>
      </w:r>
    </w:p>
    <w:p w14:paraId="45F1E8BB" w14:textId="75CB9322" w:rsidR="000201D1" w:rsidRPr="003C3193" w:rsidRDefault="000201D1" w:rsidP="003C3193">
      <w:pPr>
        <w:pStyle w:val="ListParagraph"/>
        <w:spacing w:before="120" w:after="120"/>
        <w:ind w:left="0" w:firstLine="720"/>
        <w:contextualSpacing w:val="0"/>
        <w:rPr>
          <w:i/>
          <w:iCs/>
          <w:szCs w:val="22"/>
          <w:lang w:val="fr-CA"/>
        </w:rPr>
      </w:pPr>
      <w:bookmarkStart w:id="0" w:name="_Hlk121406311"/>
      <w:r>
        <w:rPr>
          <w:i/>
          <w:iCs/>
          <w:szCs w:val="22"/>
          <w:lang w:val="fr-FR"/>
        </w:rPr>
        <w:t>Rappelant</w:t>
      </w:r>
      <w:r w:rsidRPr="008C7037">
        <w:rPr>
          <w:i/>
          <w:iCs/>
          <w:szCs w:val="22"/>
          <w:lang w:val="fr-FR"/>
        </w:rPr>
        <w:t xml:space="preserve"> </w:t>
      </w:r>
      <w:r>
        <w:rPr>
          <w:szCs w:val="22"/>
          <w:lang w:val="fr-FR"/>
        </w:rPr>
        <w:t>l’a</w:t>
      </w:r>
      <w:r w:rsidRPr="008C7037">
        <w:rPr>
          <w:szCs w:val="22"/>
          <w:lang w:val="fr-FR"/>
        </w:rPr>
        <w:t>rticle</w:t>
      </w:r>
      <w:r>
        <w:rPr>
          <w:szCs w:val="22"/>
          <w:lang w:val="fr-FR"/>
        </w:rPr>
        <w:t> </w:t>
      </w:r>
      <w:r w:rsidRPr="008C7037">
        <w:rPr>
          <w:szCs w:val="22"/>
          <w:lang w:val="fr-FR"/>
        </w:rPr>
        <w:t xml:space="preserve">33 et </w:t>
      </w:r>
      <w:r>
        <w:rPr>
          <w:szCs w:val="22"/>
          <w:lang w:val="fr-FR"/>
        </w:rPr>
        <w:t xml:space="preserve">la </w:t>
      </w:r>
      <w:r w:rsidRPr="008C7037">
        <w:rPr>
          <w:szCs w:val="22"/>
          <w:lang w:val="fr-FR"/>
        </w:rPr>
        <w:t>décision</w:t>
      </w:r>
      <w:r>
        <w:rPr>
          <w:szCs w:val="22"/>
          <w:lang w:val="fr-FR"/>
        </w:rPr>
        <w:t> </w:t>
      </w:r>
      <w:r w:rsidRPr="008C7037">
        <w:rPr>
          <w:szCs w:val="22"/>
          <w:lang w:val="fr-FR"/>
        </w:rPr>
        <w:t xml:space="preserve">CP-9/5, </w:t>
      </w:r>
      <w:r>
        <w:rPr>
          <w:szCs w:val="22"/>
          <w:lang w:val="fr-FR"/>
        </w:rPr>
        <w:t xml:space="preserve">en vertu desquels les </w:t>
      </w:r>
      <w:r w:rsidRPr="008C7037">
        <w:rPr>
          <w:szCs w:val="22"/>
          <w:lang w:val="fr-FR"/>
        </w:rPr>
        <w:t xml:space="preserve">Parties </w:t>
      </w:r>
      <w:r>
        <w:rPr>
          <w:szCs w:val="22"/>
          <w:lang w:val="fr-FR"/>
        </w:rPr>
        <w:t>ont été priées de préparer et de transmettre au</w:t>
      </w:r>
      <w:r w:rsidRPr="008C7037">
        <w:rPr>
          <w:szCs w:val="22"/>
          <w:lang w:val="fr-FR"/>
        </w:rPr>
        <w:t xml:space="preserve"> </w:t>
      </w:r>
      <w:r w:rsidR="001F3307">
        <w:rPr>
          <w:szCs w:val="22"/>
          <w:lang w:val="fr-FR"/>
        </w:rPr>
        <w:t>Secrétariat l</w:t>
      </w:r>
      <w:r>
        <w:rPr>
          <w:szCs w:val="22"/>
          <w:lang w:val="fr-FR"/>
        </w:rPr>
        <w:t>eur</w:t>
      </w:r>
      <w:r w:rsidRPr="008C7037">
        <w:rPr>
          <w:szCs w:val="22"/>
          <w:lang w:val="fr-FR"/>
        </w:rPr>
        <w:t xml:space="preserve"> quatrième rapport national </w:t>
      </w:r>
      <w:r>
        <w:rPr>
          <w:szCs w:val="22"/>
          <w:lang w:val="fr-FR"/>
        </w:rPr>
        <w:t>sur</w:t>
      </w:r>
      <w:r w:rsidRPr="008C7037">
        <w:rPr>
          <w:szCs w:val="22"/>
          <w:lang w:val="fr-FR"/>
        </w:rPr>
        <w:t xml:space="preserve"> </w:t>
      </w:r>
      <w:r>
        <w:rPr>
          <w:szCs w:val="22"/>
          <w:lang w:val="fr-FR"/>
        </w:rPr>
        <w:t>l’application du Pro</w:t>
      </w:r>
      <w:r w:rsidRPr="008C7037">
        <w:rPr>
          <w:szCs w:val="22"/>
          <w:lang w:val="fr-FR"/>
        </w:rPr>
        <w:t>tocole de Cartagena</w:t>
      </w:r>
      <w:r w:rsidRPr="00EF7813">
        <w:rPr>
          <w:szCs w:val="22"/>
          <w:lang w:val="fr-CA"/>
        </w:rPr>
        <w:t>,</w:t>
      </w:r>
      <w:bookmarkStart w:id="1" w:name="_Hlk121406276"/>
    </w:p>
    <w:p w14:paraId="22DC450E" w14:textId="7AF56DD7" w:rsidR="000201D1" w:rsidRPr="003C3193" w:rsidRDefault="000201D1" w:rsidP="003C3193">
      <w:pPr>
        <w:pStyle w:val="ListParagraph"/>
        <w:spacing w:before="120" w:after="120"/>
        <w:ind w:left="0" w:firstLine="720"/>
        <w:contextualSpacing w:val="0"/>
        <w:rPr>
          <w:i/>
          <w:iCs/>
          <w:szCs w:val="22"/>
          <w:lang w:val="fr-CA"/>
        </w:rPr>
      </w:pPr>
      <w:r>
        <w:rPr>
          <w:i/>
          <w:iCs/>
          <w:szCs w:val="22"/>
          <w:lang w:val="fr-FR"/>
        </w:rPr>
        <w:t>Rappelant également</w:t>
      </w:r>
      <w:r w:rsidRPr="00CF5CB1">
        <w:rPr>
          <w:i/>
          <w:iCs/>
          <w:szCs w:val="22"/>
          <w:lang w:val="fr-FR"/>
        </w:rPr>
        <w:t xml:space="preserve"> </w:t>
      </w:r>
      <w:r>
        <w:rPr>
          <w:szCs w:val="22"/>
          <w:lang w:val="fr-FR"/>
        </w:rPr>
        <w:t>la d</w:t>
      </w:r>
      <w:bookmarkStart w:id="2" w:name="_GoBack"/>
      <w:bookmarkEnd w:id="2"/>
      <w:r w:rsidRPr="00CF5CB1">
        <w:rPr>
          <w:szCs w:val="22"/>
          <w:lang w:val="fr-FR"/>
        </w:rPr>
        <w:t>écision</w:t>
      </w:r>
      <w:r>
        <w:rPr>
          <w:szCs w:val="22"/>
          <w:lang w:val="fr-FR"/>
        </w:rPr>
        <w:t> </w:t>
      </w:r>
      <w:r w:rsidRPr="00CF5CB1">
        <w:rPr>
          <w:szCs w:val="22"/>
          <w:lang w:val="fr-FR"/>
        </w:rPr>
        <w:t xml:space="preserve">CP-9/5, </w:t>
      </w:r>
      <w:r>
        <w:rPr>
          <w:szCs w:val="22"/>
          <w:lang w:val="fr-FR"/>
        </w:rPr>
        <w:t>par laquelle elle a accepté l’</w:t>
      </w:r>
      <w:r w:rsidRPr="00CF5CB1">
        <w:rPr>
          <w:szCs w:val="22"/>
          <w:lang w:val="fr-FR"/>
        </w:rPr>
        <w:t>invitation</w:t>
      </w:r>
      <w:r>
        <w:rPr>
          <w:szCs w:val="22"/>
          <w:lang w:val="fr-FR"/>
        </w:rPr>
        <w:t xml:space="preserve"> qui lui a été</w:t>
      </w:r>
      <w:r w:rsidRPr="00CF5CB1">
        <w:rPr>
          <w:szCs w:val="22"/>
          <w:lang w:val="fr-FR"/>
        </w:rPr>
        <w:t xml:space="preserve"> </w:t>
      </w:r>
      <w:r>
        <w:rPr>
          <w:szCs w:val="22"/>
          <w:lang w:val="fr-FR"/>
        </w:rPr>
        <w:t>faite par</w:t>
      </w:r>
      <w:r w:rsidRPr="00CF5CB1">
        <w:rPr>
          <w:szCs w:val="22"/>
          <w:lang w:val="fr-FR"/>
        </w:rPr>
        <w:t xml:space="preserve"> la Conférence des Parties</w:t>
      </w:r>
      <w:r>
        <w:rPr>
          <w:szCs w:val="22"/>
          <w:lang w:val="fr-FR"/>
        </w:rPr>
        <w:t xml:space="preserve"> à </w:t>
      </w:r>
      <w:r w:rsidRPr="00CF5CB1">
        <w:rPr>
          <w:szCs w:val="22"/>
          <w:lang w:val="fr-FR"/>
        </w:rPr>
        <w:t>la Con</w:t>
      </w:r>
      <w:r>
        <w:rPr>
          <w:szCs w:val="22"/>
          <w:lang w:val="fr-FR"/>
        </w:rPr>
        <w:t>vention dans la</w:t>
      </w:r>
      <w:r w:rsidRPr="00CF5CB1">
        <w:rPr>
          <w:szCs w:val="22"/>
          <w:lang w:val="fr-FR"/>
        </w:rPr>
        <w:t xml:space="preserve"> décision 14/27, et </w:t>
      </w:r>
      <w:r>
        <w:rPr>
          <w:szCs w:val="22"/>
          <w:lang w:val="fr-FR"/>
        </w:rPr>
        <w:t>a décidé d’instaurer un cycle d’établissement des rapports nationaux synchronisé</w:t>
      </w:r>
      <w:bookmarkEnd w:id="1"/>
      <w:r w:rsidRPr="00EF7813">
        <w:rPr>
          <w:szCs w:val="22"/>
          <w:lang w:val="fr-CA"/>
        </w:rPr>
        <w:t>,</w:t>
      </w:r>
      <w:r w:rsidRPr="00EF7813">
        <w:rPr>
          <w:i/>
          <w:iCs/>
          <w:szCs w:val="22"/>
          <w:lang w:val="fr-CA"/>
        </w:rPr>
        <w:t xml:space="preserve"> </w:t>
      </w:r>
      <w:bookmarkEnd w:id="0"/>
    </w:p>
    <w:p w14:paraId="1E45859A" w14:textId="437B73C5" w:rsidR="000201D1" w:rsidRPr="003C3193" w:rsidRDefault="000201D1" w:rsidP="003C3193">
      <w:pPr>
        <w:pStyle w:val="ListParagraph"/>
        <w:keepNext/>
        <w:spacing w:before="120" w:after="120"/>
        <w:ind w:left="0"/>
        <w:contextualSpacing w:val="0"/>
        <w:jc w:val="center"/>
        <w:rPr>
          <w:b/>
          <w:bCs/>
          <w:szCs w:val="22"/>
          <w:lang w:val="fr-FR"/>
        </w:rPr>
      </w:pPr>
      <w:r w:rsidRPr="00EF7813">
        <w:rPr>
          <w:b/>
          <w:bCs/>
          <w:szCs w:val="22"/>
          <w:lang w:val="fr-CA"/>
        </w:rPr>
        <w:t>A.</w:t>
      </w:r>
      <w:r w:rsidRPr="00EF7813">
        <w:rPr>
          <w:b/>
          <w:bCs/>
          <w:szCs w:val="22"/>
          <w:lang w:val="fr-CA"/>
        </w:rPr>
        <w:tab/>
      </w:r>
      <w:r>
        <w:rPr>
          <w:b/>
          <w:bCs/>
          <w:szCs w:val="22"/>
          <w:lang w:val="fr-FR"/>
        </w:rPr>
        <w:t>Quatrièmes rapports nationaux sur l’application du Pro</w:t>
      </w:r>
      <w:r w:rsidRPr="0087371F">
        <w:rPr>
          <w:b/>
          <w:bCs/>
          <w:szCs w:val="22"/>
          <w:lang w:val="fr-FR"/>
        </w:rPr>
        <w:t>tocole de Cartagena</w:t>
      </w:r>
    </w:p>
    <w:p w14:paraId="1CF9100B" w14:textId="6ED7AF69" w:rsidR="000201D1" w:rsidRPr="003C3193" w:rsidRDefault="000201D1" w:rsidP="003C3193">
      <w:pPr>
        <w:pStyle w:val="ListParagraph"/>
        <w:spacing w:before="120" w:after="120"/>
        <w:ind w:left="0" w:firstLine="720"/>
        <w:contextualSpacing w:val="0"/>
        <w:rPr>
          <w:i/>
          <w:iCs/>
          <w:szCs w:val="22"/>
          <w:lang w:val="fr-FR"/>
        </w:rPr>
      </w:pPr>
      <w:r w:rsidRPr="0087371F">
        <w:rPr>
          <w:lang w:val="fr-FR"/>
        </w:rPr>
        <w:t>1.</w:t>
      </w:r>
      <w:r w:rsidRPr="0087371F">
        <w:rPr>
          <w:lang w:val="fr-FR"/>
        </w:rPr>
        <w:tab/>
      </w:r>
      <w:r>
        <w:rPr>
          <w:i/>
          <w:iCs/>
          <w:szCs w:val="22"/>
          <w:lang w:val="fr-FR"/>
        </w:rPr>
        <w:t>Se félicite</w:t>
      </w:r>
      <w:r w:rsidRPr="0087371F">
        <w:rPr>
          <w:i/>
          <w:iCs/>
          <w:szCs w:val="22"/>
          <w:lang w:val="fr-FR"/>
        </w:rPr>
        <w:t xml:space="preserve"> </w:t>
      </w:r>
      <w:r>
        <w:rPr>
          <w:szCs w:val="22"/>
          <w:lang w:val="fr-FR"/>
        </w:rPr>
        <w:t>des</w:t>
      </w:r>
      <w:r w:rsidRPr="0087371F">
        <w:rPr>
          <w:szCs w:val="22"/>
          <w:lang w:val="fr-FR"/>
        </w:rPr>
        <w:t xml:space="preserve"> 135</w:t>
      </w:r>
      <w:r>
        <w:rPr>
          <w:szCs w:val="22"/>
          <w:lang w:val="fr-FR"/>
        </w:rPr>
        <w:t> </w:t>
      </w:r>
      <w:r w:rsidRPr="0087371F">
        <w:rPr>
          <w:szCs w:val="22"/>
          <w:lang w:val="fr-FR"/>
        </w:rPr>
        <w:t>quatrièmes rapports nationaux</w:t>
      </w:r>
      <w:r>
        <w:rPr>
          <w:szCs w:val="22"/>
          <w:lang w:val="fr-FR"/>
        </w:rPr>
        <w:t xml:space="preserve"> complets qui ont été remis par le biais du</w:t>
      </w:r>
      <w:r w:rsidRPr="0087371F">
        <w:rPr>
          <w:szCs w:val="22"/>
          <w:lang w:val="fr-FR"/>
        </w:rPr>
        <w:t xml:space="preserve"> </w:t>
      </w:r>
      <w:r w:rsidR="00F90D2B">
        <w:rPr>
          <w:szCs w:val="22"/>
          <w:lang w:val="fr-FR"/>
        </w:rPr>
        <w:t xml:space="preserve">Centre d’échange </w:t>
      </w:r>
      <w:r>
        <w:rPr>
          <w:szCs w:val="22"/>
          <w:lang w:val="fr-FR"/>
        </w:rPr>
        <w:t>pour la préventio</w:t>
      </w:r>
      <w:r w:rsidR="003C3193">
        <w:rPr>
          <w:szCs w:val="22"/>
          <w:lang w:val="fr-FR"/>
        </w:rPr>
        <w:t>n des risques biotechnologiques</w:t>
      </w:r>
      <w:r>
        <w:rPr>
          <w:szCs w:val="22"/>
          <w:lang w:val="fr-FR"/>
        </w:rPr>
        <w:t>;</w:t>
      </w:r>
    </w:p>
    <w:p w14:paraId="212DD587" w14:textId="7718ED08" w:rsidR="000201D1" w:rsidRPr="003C3193" w:rsidRDefault="000201D1" w:rsidP="003C3193">
      <w:pPr>
        <w:pStyle w:val="ListParagraph"/>
        <w:spacing w:before="120" w:after="120"/>
        <w:ind w:left="0" w:firstLine="720"/>
        <w:contextualSpacing w:val="0"/>
        <w:rPr>
          <w:szCs w:val="22"/>
          <w:lang w:val="fr-FR"/>
        </w:rPr>
      </w:pPr>
      <w:r w:rsidRPr="004A314C">
        <w:rPr>
          <w:lang w:val="fr-FR"/>
        </w:rPr>
        <w:t>2.</w:t>
      </w:r>
      <w:r w:rsidRPr="004A314C">
        <w:rPr>
          <w:lang w:val="fr-FR"/>
        </w:rPr>
        <w:tab/>
      </w:r>
      <w:r w:rsidRPr="004A314C">
        <w:rPr>
          <w:i/>
          <w:iCs/>
          <w:szCs w:val="22"/>
          <w:lang w:val="fr-FR"/>
        </w:rPr>
        <w:t xml:space="preserve">Exprime sa préoccupation </w:t>
      </w:r>
      <w:r>
        <w:rPr>
          <w:szCs w:val="22"/>
          <w:lang w:val="fr-FR"/>
        </w:rPr>
        <w:t xml:space="preserve">au sujet du faible </w:t>
      </w:r>
      <w:r w:rsidRPr="004A314C">
        <w:rPr>
          <w:szCs w:val="22"/>
          <w:lang w:val="fr-FR"/>
        </w:rPr>
        <w:t>nombre de quatrièmes rapports nationaux qui ont été remis</w:t>
      </w:r>
      <w:r>
        <w:rPr>
          <w:szCs w:val="22"/>
          <w:lang w:val="fr-FR"/>
        </w:rPr>
        <w:t>;</w:t>
      </w:r>
    </w:p>
    <w:p w14:paraId="5D918178" w14:textId="5EEA78DE" w:rsidR="003C3193" w:rsidRPr="003C3193" w:rsidRDefault="000201D1" w:rsidP="003C3193">
      <w:pPr>
        <w:pStyle w:val="ListParagraph"/>
        <w:spacing w:before="120" w:after="120"/>
        <w:ind w:left="0" w:firstLine="720"/>
        <w:contextualSpacing w:val="0"/>
        <w:rPr>
          <w:lang w:val="fr-FR"/>
        </w:rPr>
      </w:pPr>
      <w:r w:rsidRPr="004A314C">
        <w:rPr>
          <w:lang w:val="fr-FR"/>
        </w:rPr>
        <w:t>3.</w:t>
      </w:r>
      <w:r w:rsidRPr="004A314C">
        <w:rPr>
          <w:lang w:val="fr-FR"/>
        </w:rPr>
        <w:tab/>
      </w:r>
      <w:r w:rsidRPr="004A314C">
        <w:rPr>
          <w:i/>
          <w:iCs/>
          <w:lang w:val="fr-FR"/>
        </w:rPr>
        <w:t xml:space="preserve">Exprime aussi sa préoccupation </w:t>
      </w:r>
      <w:r w:rsidRPr="004A314C">
        <w:rPr>
          <w:lang w:val="fr-FR"/>
        </w:rPr>
        <w:t xml:space="preserve">au sujet des </w:t>
      </w:r>
      <w:r>
        <w:rPr>
          <w:lang w:val="fr-FR"/>
        </w:rPr>
        <w:t xml:space="preserve">retards dans la transmission </w:t>
      </w:r>
      <w:r w:rsidRPr="004A314C">
        <w:rPr>
          <w:lang w:val="fr-FR"/>
        </w:rPr>
        <w:t>au Fonds pour l’environnement mondial</w:t>
      </w:r>
      <w:r>
        <w:rPr>
          <w:lang w:val="fr-FR"/>
        </w:rPr>
        <w:t xml:space="preserve"> des</w:t>
      </w:r>
      <w:r w:rsidRPr="004A314C">
        <w:rPr>
          <w:lang w:val="fr-FR"/>
        </w:rPr>
        <w:t xml:space="preserve"> projets </w:t>
      </w:r>
      <w:r>
        <w:rPr>
          <w:lang w:val="fr-FR"/>
        </w:rPr>
        <w:t>visant à soutenir</w:t>
      </w:r>
      <w:r w:rsidRPr="004A314C">
        <w:rPr>
          <w:lang w:val="fr-FR"/>
        </w:rPr>
        <w:t xml:space="preserve"> les Parties admissibles dans la préparation de leurs quatrièmes rapports nationaux, en notant qu’un tel financement n’a pas été disponible avant l’échéance fixée pour la remise des </w:t>
      </w:r>
      <w:r>
        <w:rPr>
          <w:lang w:val="fr-FR"/>
        </w:rPr>
        <w:t>quatrièmes rapports nationaux, et que ceci est l’un des facteurs ayant pu avoir un impact sur</w:t>
      </w:r>
      <w:r w:rsidR="003C3193">
        <w:rPr>
          <w:lang w:val="fr-FR"/>
        </w:rPr>
        <w:t xml:space="preserve"> le taux de remise des rapports;</w:t>
      </w:r>
    </w:p>
    <w:p w14:paraId="7A130A56" w14:textId="14CF7741" w:rsidR="000201D1" w:rsidRPr="004A314C" w:rsidRDefault="000201D1" w:rsidP="003C3193">
      <w:pPr>
        <w:pStyle w:val="ListParagraph"/>
        <w:ind w:left="0" w:firstLine="720"/>
        <w:contextualSpacing w:val="0"/>
        <w:rPr>
          <w:i/>
          <w:iCs/>
          <w:szCs w:val="22"/>
          <w:lang w:val="fr-FR"/>
        </w:rPr>
      </w:pPr>
      <w:r w:rsidRPr="004A314C">
        <w:rPr>
          <w:lang w:val="fr-FR"/>
        </w:rPr>
        <w:t>4.</w:t>
      </w:r>
      <w:r w:rsidRPr="004A314C">
        <w:rPr>
          <w:lang w:val="fr-FR"/>
        </w:rPr>
        <w:tab/>
      </w:r>
      <w:r w:rsidRPr="004A314C">
        <w:rPr>
          <w:i/>
          <w:iCs/>
          <w:szCs w:val="22"/>
          <w:lang w:val="fr-FR"/>
        </w:rPr>
        <w:t xml:space="preserve">Prie instamment </w:t>
      </w:r>
      <w:r w:rsidRPr="004A314C">
        <w:rPr>
          <w:szCs w:val="22"/>
          <w:lang w:val="fr-FR"/>
        </w:rPr>
        <w:t>les Parties qui n’</w:t>
      </w:r>
      <w:r>
        <w:rPr>
          <w:szCs w:val="22"/>
          <w:lang w:val="fr-FR"/>
        </w:rPr>
        <w:t xml:space="preserve">ont pas encore remis leur </w:t>
      </w:r>
      <w:r w:rsidRPr="004A314C">
        <w:rPr>
          <w:szCs w:val="22"/>
          <w:lang w:val="fr-FR"/>
        </w:rPr>
        <w:t xml:space="preserve">quatrième rapport national </w:t>
      </w:r>
      <w:r>
        <w:rPr>
          <w:szCs w:val="22"/>
          <w:lang w:val="fr-FR"/>
        </w:rPr>
        <w:t>de le fa</w:t>
      </w:r>
      <w:r w:rsidR="003C3193">
        <w:rPr>
          <w:szCs w:val="22"/>
          <w:lang w:val="fr-FR"/>
        </w:rPr>
        <w:t>ire dans les plus brefs délais</w:t>
      </w:r>
      <w:r w:rsidRPr="00117F93">
        <w:rPr>
          <w:szCs w:val="22"/>
          <w:vertAlign w:val="superscript"/>
        </w:rPr>
        <w:footnoteReference w:id="1"/>
      </w:r>
      <w:r w:rsidR="003C3193">
        <w:rPr>
          <w:szCs w:val="22"/>
          <w:lang w:val="fr-FR"/>
        </w:rPr>
        <w:t>;</w:t>
      </w:r>
      <w:r w:rsidRPr="004A314C">
        <w:rPr>
          <w:szCs w:val="22"/>
          <w:lang w:val="fr-FR"/>
        </w:rPr>
        <w:t xml:space="preserve"> </w:t>
      </w:r>
    </w:p>
    <w:p w14:paraId="271968EC" w14:textId="34164348" w:rsidR="000201D1" w:rsidRPr="003C3193" w:rsidRDefault="000201D1" w:rsidP="003C3193">
      <w:pPr>
        <w:pStyle w:val="ListParagraph"/>
        <w:spacing w:before="120" w:after="120"/>
        <w:ind w:left="0" w:firstLine="720"/>
        <w:contextualSpacing w:val="0"/>
        <w:rPr>
          <w:szCs w:val="22"/>
          <w:lang w:val="fr-FR"/>
        </w:rPr>
      </w:pPr>
      <w:r w:rsidRPr="004A314C">
        <w:rPr>
          <w:lang w:val="fr-FR"/>
        </w:rPr>
        <w:lastRenderedPageBreak/>
        <w:t>5.</w:t>
      </w:r>
      <w:r w:rsidRPr="004A314C">
        <w:rPr>
          <w:lang w:val="fr-FR"/>
        </w:rPr>
        <w:tab/>
      </w:r>
      <w:r w:rsidRPr="004A314C">
        <w:rPr>
          <w:i/>
          <w:iCs/>
          <w:szCs w:val="22"/>
          <w:lang w:val="fr-FR"/>
        </w:rPr>
        <w:t xml:space="preserve">Constate avec préoccupation </w:t>
      </w:r>
      <w:r w:rsidRPr="004A314C">
        <w:rPr>
          <w:szCs w:val="22"/>
          <w:lang w:val="fr-FR"/>
        </w:rPr>
        <w:t xml:space="preserve">que, </w:t>
      </w:r>
      <w:r>
        <w:rPr>
          <w:szCs w:val="22"/>
          <w:lang w:val="fr-FR"/>
        </w:rPr>
        <w:t>parmi les</w:t>
      </w:r>
      <w:r w:rsidRPr="004A314C">
        <w:rPr>
          <w:szCs w:val="22"/>
          <w:lang w:val="fr-FR"/>
        </w:rPr>
        <w:t xml:space="preserve"> Parties </w:t>
      </w:r>
      <w:r>
        <w:rPr>
          <w:szCs w:val="22"/>
          <w:lang w:val="fr-FR"/>
        </w:rPr>
        <w:t xml:space="preserve">qui n’ont pas encore remis leur </w:t>
      </w:r>
      <w:r w:rsidRPr="004A314C">
        <w:rPr>
          <w:szCs w:val="22"/>
          <w:lang w:val="fr-FR"/>
        </w:rPr>
        <w:t>quatrième rapport national</w:t>
      </w:r>
      <w:r>
        <w:rPr>
          <w:szCs w:val="22"/>
          <w:lang w:val="fr-FR"/>
        </w:rPr>
        <w:t>, un certain nombre d’entre elles</w:t>
      </w:r>
      <w:r w:rsidRPr="004A314C">
        <w:rPr>
          <w:szCs w:val="22"/>
          <w:lang w:val="fr-FR"/>
        </w:rPr>
        <w:t xml:space="preserve"> </w:t>
      </w:r>
      <w:r>
        <w:rPr>
          <w:szCs w:val="22"/>
          <w:lang w:val="fr-FR"/>
        </w:rPr>
        <w:t>n’ont pas non plus remis leur</w:t>
      </w:r>
      <w:r w:rsidRPr="004A314C">
        <w:rPr>
          <w:szCs w:val="22"/>
          <w:lang w:val="fr-FR"/>
        </w:rPr>
        <w:t xml:space="preserve"> troisième </w:t>
      </w:r>
      <w:r w:rsidR="003C3193">
        <w:rPr>
          <w:szCs w:val="22"/>
          <w:lang w:val="fr-FR"/>
        </w:rPr>
        <w:t>rapport national</w:t>
      </w:r>
      <w:r w:rsidRPr="00117F93">
        <w:rPr>
          <w:szCs w:val="22"/>
          <w:vertAlign w:val="superscript"/>
        </w:rPr>
        <w:footnoteReference w:id="2"/>
      </w:r>
      <w:r w:rsidR="003C3193">
        <w:rPr>
          <w:szCs w:val="22"/>
          <w:lang w:val="fr-FR"/>
        </w:rPr>
        <w:t>;</w:t>
      </w:r>
      <w:r w:rsidRPr="004A314C">
        <w:rPr>
          <w:szCs w:val="22"/>
          <w:lang w:val="fr-FR"/>
        </w:rPr>
        <w:t xml:space="preserve"> </w:t>
      </w:r>
    </w:p>
    <w:p w14:paraId="2BFF5074" w14:textId="16506FCB" w:rsidR="000201D1" w:rsidRPr="003C3193" w:rsidRDefault="000201D1" w:rsidP="003C3193">
      <w:pPr>
        <w:pStyle w:val="ListParagraph"/>
        <w:spacing w:before="120" w:after="120"/>
        <w:ind w:left="0" w:firstLine="720"/>
        <w:contextualSpacing w:val="0"/>
        <w:rPr>
          <w:szCs w:val="22"/>
          <w:lang w:val="fr-FR"/>
        </w:rPr>
      </w:pPr>
      <w:r w:rsidRPr="004A314C">
        <w:rPr>
          <w:lang w:val="fr-FR"/>
        </w:rPr>
        <w:t>6.</w:t>
      </w:r>
      <w:r w:rsidRPr="004A314C">
        <w:rPr>
          <w:lang w:val="fr-FR"/>
        </w:rPr>
        <w:tab/>
      </w:r>
      <w:r w:rsidRPr="004A314C">
        <w:rPr>
          <w:i/>
          <w:iCs/>
          <w:szCs w:val="22"/>
          <w:lang w:val="fr-FR"/>
        </w:rPr>
        <w:t xml:space="preserve">Rappelle </w:t>
      </w:r>
      <w:r>
        <w:rPr>
          <w:szCs w:val="22"/>
          <w:lang w:val="fr-FR"/>
        </w:rPr>
        <w:t>aux P</w:t>
      </w:r>
      <w:r w:rsidRPr="004A314C">
        <w:rPr>
          <w:szCs w:val="22"/>
          <w:lang w:val="fr-FR"/>
        </w:rPr>
        <w:t>arties</w:t>
      </w:r>
      <w:r w:rsidRPr="004A314C">
        <w:rPr>
          <w:i/>
          <w:iCs/>
          <w:szCs w:val="22"/>
          <w:lang w:val="fr-FR"/>
        </w:rPr>
        <w:t xml:space="preserve"> </w:t>
      </w:r>
      <w:r>
        <w:rPr>
          <w:szCs w:val="22"/>
          <w:lang w:val="fr-FR"/>
        </w:rPr>
        <w:t>leur obligation de publier leurs</w:t>
      </w:r>
      <w:r w:rsidRPr="004A314C">
        <w:rPr>
          <w:szCs w:val="22"/>
          <w:lang w:val="fr-FR"/>
        </w:rPr>
        <w:t xml:space="preserve"> rapports nationaux</w:t>
      </w:r>
      <w:r>
        <w:rPr>
          <w:szCs w:val="22"/>
          <w:lang w:val="fr-FR"/>
        </w:rPr>
        <w:t xml:space="preserve"> dans le</w:t>
      </w:r>
      <w:r w:rsidRPr="004A314C">
        <w:rPr>
          <w:szCs w:val="22"/>
          <w:lang w:val="fr-FR"/>
        </w:rPr>
        <w:t xml:space="preserve"> Centre d’échange pour la prévention des risques biotechnologiques</w:t>
      </w:r>
      <w:r>
        <w:rPr>
          <w:szCs w:val="22"/>
          <w:lang w:val="fr-FR"/>
        </w:rPr>
        <w:t>, conformément à l’a</w:t>
      </w:r>
      <w:r w:rsidRPr="004A314C">
        <w:rPr>
          <w:szCs w:val="22"/>
          <w:lang w:val="fr-FR"/>
        </w:rPr>
        <w:t>rticle</w:t>
      </w:r>
      <w:r>
        <w:rPr>
          <w:szCs w:val="22"/>
          <w:lang w:val="fr-FR"/>
        </w:rPr>
        <w:t> </w:t>
      </w:r>
      <w:r w:rsidRPr="004A314C">
        <w:rPr>
          <w:szCs w:val="22"/>
          <w:lang w:val="fr-FR"/>
        </w:rPr>
        <w:t>20 du Protocol</w:t>
      </w:r>
      <w:r w:rsidR="003C3193">
        <w:rPr>
          <w:szCs w:val="22"/>
          <w:lang w:val="fr-FR"/>
        </w:rPr>
        <w:t>e</w:t>
      </w:r>
      <w:r>
        <w:rPr>
          <w:szCs w:val="22"/>
          <w:lang w:val="fr-FR"/>
        </w:rPr>
        <w:t>;</w:t>
      </w:r>
    </w:p>
    <w:p w14:paraId="288D2F5A" w14:textId="1F81A2D3" w:rsidR="000201D1" w:rsidRPr="003C3193" w:rsidRDefault="000201D1" w:rsidP="003C3193">
      <w:pPr>
        <w:pStyle w:val="ListParagraph"/>
        <w:spacing w:after="120"/>
        <w:ind w:left="0" w:firstLine="720"/>
        <w:contextualSpacing w:val="0"/>
        <w:rPr>
          <w:szCs w:val="22"/>
          <w:lang w:val="fr-FR"/>
        </w:rPr>
      </w:pPr>
      <w:r w:rsidRPr="004A314C">
        <w:rPr>
          <w:lang w:val="fr-FR"/>
        </w:rPr>
        <w:t>7.</w:t>
      </w:r>
      <w:r w:rsidRPr="004A314C">
        <w:rPr>
          <w:lang w:val="fr-FR"/>
        </w:rPr>
        <w:tab/>
      </w:r>
      <w:r w:rsidRPr="004A314C">
        <w:rPr>
          <w:i/>
          <w:iCs/>
          <w:szCs w:val="22"/>
          <w:lang w:val="fr-FR"/>
        </w:rPr>
        <w:t xml:space="preserve">Encourage </w:t>
      </w:r>
      <w:r w:rsidRPr="004A314C">
        <w:rPr>
          <w:szCs w:val="22"/>
          <w:lang w:val="fr-FR"/>
        </w:rPr>
        <w:t xml:space="preserve">les </w:t>
      </w:r>
      <w:r>
        <w:rPr>
          <w:szCs w:val="22"/>
          <w:lang w:val="fr-FR"/>
        </w:rPr>
        <w:t>P</w:t>
      </w:r>
      <w:r w:rsidRPr="004A314C">
        <w:rPr>
          <w:szCs w:val="22"/>
          <w:lang w:val="fr-FR"/>
        </w:rPr>
        <w:t xml:space="preserve">arties </w:t>
      </w:r>
      <w:r>
        <w:rPr>
          <w:szCs w:val="22"/>
          <w:lang w:val="fr-FR"/>
        </w:rPr>
        <w:t>qui ont remis leur</w:t>
      </w:r>
      <w:r w:rsidRPr="004A314C">
        <w:rPr>
          <w:szCs w:val="22"/>
          <w:lang w:val="fr-FR"/>
        </w:rPr>
        <w:t xml:space="preserve"> rapport </w:t>
      </w:r>
      <w:r>
        <w:rPr>
          <w:szCs w:val="22"/>
          <w:lang w:val="fr-FR"/>
        </w:rPr>
        <w:t>dans un format hors ligne d’assurer sa publication dans le</w:t>
      </w:r>
      <w:r w:rsidRPr="004A314C">
        <w:rPr>
          <w:szCs w:val="22"/>
          <w:lang w:val="fr-FR"/>
        </w:rPr>
        <w:t xml:space="preserve"> Centre d’échange pour la prévention des risques biotechnologiques</w:t>
      </w:r>
      <w:r>
        <w:rPr>
          <w:szCs w:val="22"/>
          <w:lang w:val="fr-FR"/>
        </w:rPr>
        <w:t>, e</w:t>
      </w:r>
      <w:r w:rsidRPr="004A314C">
        <w:rPr>
          <w:szCs w:val="22"/>
          <w:lang w:val="fr-FR"/>
        </w:rPr>
        <w:t>n coordination</w:t>
      </w:r>
      <w:r>
        <w:rPr>
          <w:szCs w:val="22"/>
          <w:lang w:val="fr-FR"/>
        </w:rPr>
        <w:t xml:space="preserve"> avec le</w:t>
      </w:r>
      <w:r w:rsidRPr="004A314C">
        <w:rPr>
          <w:szCs w:val="22"/>
          <w:lang w:val="fr-FR"/>
        </w:rPr>
        <w:t xml:space="preserve"> Secrétariat</w:t>
      </w:r>
      <w:r w:rsidR="003C3193">
        <w:rPr>
          <w:szCs w:val="22"/>
          <w:lang w:val="fr-FR"/>
        </w:rPr>
        <w:t>, selon que de besoin</w:t>
      </w:r>
      <w:r>
        <w:rPr>
          <w:szCs w:val="22"/>
          <w:lang w:val="fr-FR"/>
        </w:rPr>
        <w:t>;</w:t>
      </w:r>
    </w:p>
    <w:p w14:paraId="7EEF8ADA" w14:textId="671483A5" w:rsidR="000201D1" w:rsidRPr="00B46564" w:rsidRDefault="000201D1" w:rsidP="00B46564">
      <w:pPr>
        <w:pStyle w:val="ListParagraph"/>
        <w:keepNext/>
        <w:shd w:val="clear" w:color="auto" w:fill="FFFFFF" w:themeFill="background1"/>
        <w:spacing w:after="120"/>
        <w:ind w:left="0" w:firstLine="720"/>
        <w:contextualSpacing w:val="0"/>
        <w:rPr>
          <w:szCs w:val="22"/>
          <w:lang w:val="fr-CA"/>
        </w:rPr>
      </w:pPr>
      <w:r w:rsidRPr="004A314C">
        <w:rPr>
          <w:lang w:val="fr-FR"/>
        </w:rPr>
        <w:t>8.</w:t>
      </w:r>
      <w:r w:rsidRPr="004A314C">
        <w:rPr>
          <w:lang w:val="fr-FR"/>
        </w:rPr>
        <w:tab/>
      </w:r>
      <w:r w:rsidRPr="004A314C">
        <w:rPr>
          <w:i/>
          <w:iCs/>
          <w:szCs w:val="22"/>
          <w:lang w:val="fr-FR"/>
        </w:rPr>
        <w:t xml:space="preserve">Prie instamment </w:t>
      </w:r>
      <w:r w:rsidRPr="004A314C">
        <w:rPr>
          <w:szCs w:val="22"/>
          <w:lang w:val="fr-FR"/>
        </w:rPr>
        <w:t xml:space="preserve">les Parties qui ont remis un quatrième rapport national </w:t>
      </w:r>
      <w:r>
        <w:rPr>
          <w:szCs w:val="22"/>
          <w:lang w:val="fr-FR"/>
        </w:rPr>
        <w:t xml:space="preserve">incomplet de fournir les </w:t>
      </w:r>
      <w:r w:rsidRPr="004A314C">
        <w:rPr>
          <w:szCs w:val="22"/>
          <w:lang w:val="fr-FR"/>
        </w:rPr>
        <w:t>information</w:t>
      </w:r>
      <w:r>
        <w:rPr>
          <w:szCs w:val="22"/>
          <w:lang w:val="fr-FR"/>
        </w:rPr>
        <w:t>s manquantes dans les plus brefs délais</w:t>
      </w:r>
      <w:r>
        <w:rPr>
          <w:szCs w:val="22"/>
          <w:lang w:val="fr-CA"/>
        </w:rPr>
        <w:t>;</w:t>
      </w:r>
    </w:p>
    <w:p w14:paraId="3CC53FE3" w14:textId="190B2C48" w:rsidR="000201D1" w:rsidRPr="00B46564" w:rsidRDefault="000201D1" w:rsidP="00B46564">
      <w:pPr>
        <w:pStyle w:val="ListParagraph"/>
        <w:keepNext/>
        <w:spacing w:after="120"/>
        <w:ind w:left="0"/>
        <w:contextualSpacing w:val="0"/>
        <w:jc w:val="center"/>
        <w:rPr>
          <w:b/>
          <w:bCs/>
          <w:szCs w:val="22"/>
          <w:lang w:val="fr-FR"/>
        </w:rPr>
      </w:pPr>
      <w:r w:rsidRPr="00FD7967">
        <w:rPr>
          <w:b/>
          <w:bCs/>
          <w:szCs w:val="22"/>
          <w:lang w:val="fr-CA"/>
        </w:rPr>
        <w:t>B.</w:t>
      </w:r>
      <w:r w:rsidRPr="00FD7967">
        <w:rPr>
          <w:b/>
          <w:bCs/>
          <w:szCs w:val="22"/>
          <w:lang w:val="fr-CA"/>
        </w:rPr>
        <w:tab/>
      </w:r>
      <w:r w:rsidRPr="00FD7967">
        <w:rPr>
          <w:b/>
          <w:bCs/>
          <w:szCs w:val="22"/>
          <w:lang w:val="fr-FR"/>
        </w:rPr>
        <w:t>Cinquièmes rapports nationaux sur l’application du Protocole de Cartagena</w:t>
      </w:r>
    </w:p>
    <w:p w14:paraId="454F97B6" w14:textId="683698BC" w:rsidR="000201D1" w:rsidRPr="00B46564" w:rsidRDefault="000201D1" w:rsidP="00B46564">
      <w:pPr>
        <w:pStyle w:val="ListParagraph"/>
        <w:spacing w:after="120"/>
        <w:ind w:left="0" w:firstLine="720"/>
        <w:contextualSpacing w:val="0"/>
        <w:rPr>
          <w:lang w:val="fr-CA"/>
        </w:rPr>
      </w:pPr>
      <w:r w:rsidRPr="00FD7967">
        <w:rPr>
          <w:lang w:val="fr-CA"/>
        </w:rPr>
        <w:t>9.</w:t>
      </w:r>
      <w:r w:rsidRPr="00FD7967">
        <w:rPr>
          <w:lang w:val="fr-CA"/>
        </w:rPr>
        <w:tab/>
      </w:r>
      <w:r w:rsidRPr="00FD7967">
        <w:rPr>
          <w:i/>
          <w:iCs/>
          <w:lang w:val="fr-FR"/>
        </w:rPr>
        <w:t>Se félicite</w:t>
      </w:r>
      <w:r w:rsidRPr="00FD7967">
        <w:rPr>
          <w:lang w:val="fr-FR"/>
        </w:rPr>
        <w:t xml:space="preserve"> du projet de modèle pour le cinquième rapport national, tel qu’il figure dans l’annexe au document CBD/CP/MOP/10/5, et prie la Secrétaire exécutive de</w:t>
      </w:r>
      <w:r>
        <w:rPr>
          <w:lang w:val="fr-FR"/>
        </w:rPr>
        <w:t> </w:t>
      </w:r>
      <w:r w:rsidRPr="00FD7967">
        <w:rPr>
          <w:lang w:val="fr-CA"/>
        </w:rPr>
        <w:t xml:space="preserve">: </w:t>
      </w:r>
    </w:p>
    <w:p w14:paraId="4182FB44" w14:textId="4CDC6D2D" w:rsidR="000201D1" w:rsidRPr="0026466A" w:rsidRDefault="000201D1" w:rsidP="0026466A">
      <w:pPr>
        <w:pStyle w:val="ListParagraph"/>
        <w:numPr>
          <w:ilvl w:val="0"/>
          <w:numId w:val="19"/>
        </w:numPr>
        <w:spacing w:after="120"/>
        <w:ind w:left="0" w:firstLine="709"/>
        <w:contextualSpacing w:val="0"/>
        <w:rPr>
          <w:lang w:val="fr-CA"/>
        </w:rPr>
      </w:pPr>
      <w:r w:rsidRPr="00FD7967">
        <w:rPr>
          <w:lang w:val="fr-FR"/>
        </w:rPr>
        <w:t>Procéder à toute modification requise de</w:t>
      </w:r>
      <w:r w:rsidR="0026466A">
        <w:rPr>
          <w:lang w:val="fr-FR"/>
        </w:rPr>
        <w:t>s questions posées</w:t>
      </w:r>
      <w:r w:rsidRPr="00FD7967">
        <w:rPr>
          <w:lang w:val="fr-FR"/>
        </w:rPr>
        <w:t>, à la lumière du texte fina</w:t>
      </w:r>
      <w:r w:rsidR="0026466A">
        <w:rPr>
          <w:lang w:val="fr-FR"/>
        </w:rPr>
        <w:t>l des indicateurs du P</w:t>
      </w:r>
      <w:r w:rsidRPr="00FD7967">
        <w:rPr>
          <w:lang w:val="fr-FR"/>
        </w:rPr>
        <w:t>lan de mise en œuvre du Protocole de Cartagena sur la prévention des risques bio</w:t>
      </w:r>
      <w:r w:rsidR="0026466A">
        <w:rPr>
          <w:lang w:val="fr-FR"/>
        </w:rPr>
        <w:t>technologiques</w:t>
      </w:r>
      <w:r w:rsidRPr="00FD7967">
        <w:rPr>
          <w:lang w:val="fr-FR"/>
        </w:rPr>
        <w:t>, tel qu’adopté dans la décision</w:t>
      </w:r>
      <w:r>
        <w:rPr>
          <w:lang w:val="fr-FR"/>
        </w:rPr>
        <w:t> </w:t>
      </w:r>
      <w:r w:rsidR="0026466A">
        <w:rPr>
          <w:lang w:val="fr-FR"/>
        </w:rPr>
        <w:t>CP-10/3</w:t>
      </w:r>
      <w:r w:rsidRPr="00FD7967">
        <w:rPr>
          <w:lang w:val="fr-CA"/>
        </w:rPr>
        <w:t xml:space="preserve">; </w:t>
      </w:r>
    </w:p>
    <w:p w14:paraId="4678974A" w14:textId="2264D6F1" w:rsidR="000201D1" w:rsidRPr="0026466A" w:rsidRDefault="000201D1" w:rsidP="0026466A">
      <w:pPr>
        <w:pStyle w:val="ListParagraph"/>
        <w:numPr>
          <w:ilvl w:val="0"/>
          <w:numId w:val="19"/>
        </w:numPr>
        <w:spacing w:after="120"/>
        <w:ind w:left="0" w:firstLine="709"/>
        <w:contextualSpacing w:val="0"/>
        <w:rPr>
          <w:lang w:val="fr-CA"/>
        </w:rPr>
      </w:pPr>
      <w:r w:rsidRPr="00FD7967">
        <w:rPr>
          <w:lang w:val="fr-FR"/>
        </w:rPr>
        <w:t>Mettre à disposition en ligne le texte final du modèle de rapport</w:t>
      </w:r>
      <w:r w:rsidR="0026466A">
        <w:rPr>
          <w:lang w:val="fr-FR"/>
        </w:rPr>
        <w:t xml:space="preserve"> national par le biais du</w:t>
      </w:r>
      <w:r w:rsidRPr="00FD7967">
        <w:rPr>
          <w:lang w:val="fr-FR"/>
        </w:rPr>
        <w:t xml:space="preserve"> Centre d’échange pour la prévention des risques biotechnologiques</w:t>
      </w:r>
      <w:r w:rsidRPr="00FD7967">
        <w:rPr>
          <w:lang w:val="fr-CA"/>
        </w:rPr>
        <w:t xml:space="preserve">; </w:t>
      </w:r>
    </w:p>
    <w:p w14:paraId="044B5967" w14:textId="5A5EA971" w:rsidR="000201D1" w:rsidRPr="0026466A" w:rsidRDefault="000201D1" w:rsidP="0026466A">
      <w:pPr>
        <w:pStyle w:val="ListParagraph"/>
        <w:spacing w:after="120"/>
        <w:ind w:left="0" w:firstLine="720"/>
        <w:contextualSpacing w:val="0"/>
        <w:rPr>
          <w:lang w:val="fr-FR"/>
        </w:rPr>
      </w:pPr>
      <w:r w:rsidRPr="00FD7967">
        <w:rPr>
          <w:lang w:val="fr-CA"/>
        </w:rPr>
        <w:t>10.</w:t>
      </w:r>
      <w:r w:rsidRPr="00FD7967">
        <w:rPr>
          <w:lang w:val="fr-CA"/>
        </w:rPr>
        <w:tab/>
      </w:r>
      <w:r w:rsidRPr="00FD7967">
        <w:rPr>
          <w:i/>
          <w:iCs/>
          <w:lang w:val="fr-FR"/>
        </w:rPr>
        <w:t>Demande</w:t>
      </w:r>
      <w:r w:rsidRPr="00FD7967">
        <w:rPr>
          <w:lang w:val="fr-FR"/>
        </w:rPr>
        <w:t xml:space="preserve"> aux Parties d’utiliser le texte final du modèle de rapport </w:t>
      </w:r>
      <w:r w:rsidR="0026466A">
        <w:rPr>
          <w:lang w:val="fr-FR"/>
        </w:rPr>
        <w:t xml:space="preserve">national </w:t>
      </w:r>
      <w:r w:rsidRPr="00FD7967">
        <w:rPr>
          <w:lang w:val="fr-FR"/>
        </w:rPr>
        <w:t>pour la préparation de leur cinquième rapport national sur l’application du Protocole de Cartagena sur la prévention</w:t>
      </w:r>
      <w:r w:rsidR="0026466A">
        <w:rPr>
          <w:lang w:val="fr-FR"/>
        </w:rPr>
        <w:t xml:space="preserve"> des risques biotechnologiques</w:t>
      </w:r>
      <w:r w:rsidRPr="00FD7967">
        <w:rPr>
          <w:lang w:val="fr-FR"/>
        </w:rPr>
        <w:t>;</w:t>
      </w:r>
    </w:p>
    <w:p w14:paraId="079F25E3" w14:textId="5303F86F" w:rsidR="000201D1" w:rsidRPr="0026466A" w:rsidRDefault="000201D1" w:rsidP="0026466A">
      <w:pPr>
        <w:pStyle w:val="ListParagraph"/>
        <w:spacing w:after="120"/>
        <w:ind w:left="0" w:firstLine="720"/>
        <w:contextualSpacing w:val="0"/>
        <w:rPr>
          <w:lang w:val="fr-CA"/>
        </w:rPr>
      </w:pPr>
      <w:r w:rsidRPr="00FD7967">
        <w:rPr>
          <w:lang w:val="fr-CA"/>
        </w:rPr>
        <w:t>11.</w:t>
      </w:r>
      <w:r w:rsidRPr="00FD7967">
        <w:rPr>
          <w:lang w:val="fr-CA"/>
        </w:rPr>
        <w:tab/>
      </w:r>
      <w:r w:rsidRPr="00FD7967">
        <w:rPr>
          <w:i/>
          <w:iCs/>
          <w:lang w:val="fr-FR"/>
        </w:rPr>
        <w:t xml:space="preserve">Invite </w:t>
      </w:r>
      <w:r w:rsidRPr="00FD7967">
        <w:rPr>
          <w:lang w:val="fr-FR"/>
        </w:rPr>
        <w:t xml:space="preserve">les Parties à préparer leurs rapports dans le cadre d’un processus consultatif impliquant </w:t>
      </w:r>
      <w:r>
        <w:rPr>
          <w:lang w:val="fr-FR"/>
        </w:rPr>
        <w:t xml:space="preserve">les peuples autochtones et communautés locales, les femmes et les jeunes et </w:t>
      </w:r>
      <w:r w:rsidRPr="00FD7967">
        <w:rPr>
          <w:lang w:val="fr-FR"/>
        </w:rPr>
        <w:t>toutes les parties prenantes nationales concernées, selon qu’il convient</w:t>
      </w:r>
      <w:r w:rsidRPr="00FD7967">
        <w:rPr>
          <w:lang w:val="fr-CA"/>
        </w:rPr>
        <w:t>;</w:t>
      </w:r>
    </w:p>
    <w:p w14:paraId="7D930E7F" w14:textId="0A43B733" w:rsidR="000201D1" w:rsidRPr="0026466A" w:rsidRDefault="000201D1" w:rsidP="0026466A">
      <w:pPr>
        <w:pStyle w:val="ListParagraph"/>
        <w:spacing w:after="120"/>
        <w:ind w:left="0" w:firstLine="720"/>
        <w:contextualSpacing w:val="0"/>
        <w:rPr>
          <w:vertAlign w:val="superscript"/>
          <w:lang w:val="fr-CA"/>
        </w:rPr>
      </w:pPr>
      <w:r w:rsidRPr="00FD7967">
        <w:rPr>
          <w:lang w:val="fr-CA"/>
        </w:rPr>
        <w:t>12.</w:t>
      </w:r>
      <w:r w:rsidRPr="00FD7967">
        <w:rPr>
          <w:lang w:val="fr-CA"/>
        </w:rPr>
        <w:tab/>
      </w:r>
      <w:r w:rsidRPr="00FD7967">
        <w:rPr>
          <w:i/>
          <w:lang w:val="fr-FR"/>
        </w:rPr>
        <w:t>Encourage</w:t>
      </w:r>
      <w:r w:rsidRPr="00FD7967">
        <w:rPr>
          <w:lang w:val="fr-FR"/>
        </w:rPr>
        <w:t xml:space="preserve"> les Parties à répondre à toutes les questions du modèle de rapport</w:t>
      </w:r>
      <w:r w:rsidR="0026466A">
        <w:rPr>
          <w:lang w:val="fr-FR"/>
        </w:rPr>
        <w:t xml:space="preserve"> national</w:t>
      </w:r>
      <w:r w:rsidRPr="00FD7967">
        <w:rPr>
          <w:lang w:val="fr-FR"/>
        </w:rPr>
        <w:t>, et souligne l’importance d’une remise des cinquième</w:t>
      </w:r>
      <w:r>
        <w:rPr>
          <w:lang w:val="fr-FR"/>
        </w:rPr>
        <w:t>s</w:t>
      </w:r>
      <w:r w:rsidRPr="00FD7967">
        <w:rPr>
          <w:lang w:val="fr-FR"/>
        </w:rPr>
        <w:t xml:space="preserve"> rapports nationaux en temps voulu, pour faciliter</w:t>
      </w:r>
      <w:r w:rsidR="0026466A">
        <w:rPr>
          <w:lang w:val="fr-FR"/>
        </w:rPr>
        <w:t xml:space="preserve"> l’évaluation à mi-parcours du P</w:t>
      </w:r>
      <w:r w:rsidRPr="00FD7967">
        <w:rPr>
          <w:lang w:val="fr-FR"/>
        </w:rPr>
        <w:t>lan de mise en œuvre du Protocole de Cartagena sur la prévention des risques biotechnologiques</w:t>
      </w:r>
      <w:r w:rsidRPr="00FD7967">
        <w:rPr>
          <w:lang w:val="fr-CA"/>
        </w:rPr>
        <w:t>;</w:t>
      </w:r>
      <w:r w:rsidRPr="00FD7967" w:rsidDel="00DD16C6">
        <w:rPr>
          <w:vertAlign w:val="superscript"/>
          <w:lang w:val="fr-CA"/>
        </w:rPr>
        <w:t xml:space="preserve"> </w:t>
      </w:r>
    </w:p>
    <w:p w14:paraId="549BABA0" w14:textId="36B6AC64" w:rsidR="000201D1" w:rsidRPr="0026466A" w:rsidRDefault="000201D1" w:rsidP="0026466A">
      <w:pPr>
        <w:pStyle w:val="ListParagraph"/>
        <w:spacing w:after="120"/>
        <w:ind w:left="0" w:firstLine="720"/>
        <w:contextualSpacing w:val="0"/>
        <w:rPr>
          <w:lang w:val="fr-CA"/>
        </w:rPr>
      </w:pPr>
      <w:r w:rsidRPr="00FD7967">
        <w:rPr>
          <w:lang w:val="fr-CA"/>
        </w:rPr>
        <w:t>13.</w:t>
      </w:r>
      <w:r w:rsidRPr="00FD7967">
        <w:rPr>
          <w:lang w:val="fr-CA"/>
        </w:rPr>
        <w:tab/>
      </w:r>
      <w:r w:rsidRPr="00FD7967">
        <w:rPr>
          <w:i/>
          <w:lang w:val="fr-FR"/>
        </w:rPr>
        <w:t>Prie</w:t>
      </w:r>
      <w:r w:rsidRPr="00FD7967">
        <w:rPr>
          <w:lang w:val="fr-FR"/>
        </w:rPr>
        <w:t xml:space="preserve"> les Parties et invite les autres gouvernements à transmettre au Secrétariat leur cinquième rapport national sur l’application du Protocole de Cartagena sur la prévention des risques biotechnologiques</w:t>
      </w:r>
      <w:r>
        <w:rPr>
          <w:lang w:val="fr-FR"/>
        </w:rPr>
        <w:t> </w:t>
      </w:r>
      <w:r w:rsidRPr="00FD7967">
        <w:rPr>
          <w:lang w:val="fr-CA"/>
        </w:rPr>
        <w:t>:</w:t>
      </w:r>
    </w:p>
    <w:p w14:paraId="6011D741" w14:textId="0F1A607B" w:rsidR="000201D1" w:rsidRPr="0026466A" w:rsidRDefault="000201D1" w:rsidP="0026466A">
      <w:pPr>
        <w:pStyle w:val="ListParagraph"/>
        <w:spacing w:after="120"/>
        <w:ind w:left="0" w:firstLine="720"/>
        <w:contextualSpacing w:val="0"/>
        <w:rPr>
          <w:lang w:val="fr-CA"/>
        </w:rPr>
      </w:pPr>
      <w:r w:rsidRPr="00FD7967">
        <w:rPr>
          <w:lang w:val="fr-CA"/>
        </w:rPr>
        <w:t>a)</w:t>
      </w:r>
      <w:r w:rsidRPr="00FD7967">
        <w:rPr>
          <w:lang w:val="fr-CA"/>
        </w:rPr>
        <w:tab/>
      </w:r>
      <w:r w:rsidRPr="00FD7967">
        <w:rPr>
          <w:lang w:val="fr-FR"/>
        </w:rPr>
        <w:t>Dans l’une des langues officielle</w:t>
      </w:r>
      <w:r>
        <w:rPr>
          <w:lang w:val="fr-FR"/>
        </w:rPr>
        <w:t>s</w:t>
      </w:r>
      <w:r w:rsidRPr="00FD7967">
        <w:rPr>
          <w:lang w:val="fr-FR"/>
        </w:rPr>
        <w:t xml:space="preserve"> des Nations Unies</w:t>
      </w:r>
      <w:r w:rsidRPr="00FD7967">
        <w:rPr>
          <w:lang w:val="fr-CA"/>
        </w:rPr>
        <w:t>;</w:t>
      </w:r>
    </w:p>
    <w:p w14:paraId="50C18F12" w14:textId="33ECF328" w:rsidR="000201D1" w:rsidRPr="0026466A" w:rsidRDefault="000201D1" w:rsidP="0026466A">
      <w:pPr>
        <w:pStyle w:val="ListParagraph"/>
        <w:spacing w:after="120"/>
        <w:ind w:left="0" w:firstLine="720"/>
        <w:contextualSpacing w:val="0"/>
        <w:rPr>
          <w:lang w:val="fr-FR"/>
        </w:rPr>
      </w:pPr>
      <w:r w:rsidRPr="00FD7967">
        <w:rPr>
          <w:lang w:val="fr-CA"/>
        </w:rPr>
        <w:t>b)</w:t>
      </w:r>
      <w:r w:rsidRPr="00FD7967">
        <w:rPr>
          <w:lang w:val="fr-CA"/>
        </w:rPr>
        <w:tab/>
      </w:r>
      <w:r w:rsidRPr="00FD7967">
        <w:rPr>
          <w:lang w:val="fr-FR"/>
        </w:rPr>
        <w:t>Au même moment que l’échéance fixée pour la remise des septièmes rapports na</w:t>
      </w:r>
      <w:r w:rsidR="0026466A">
        <w:rPr>
          <w:lang w:val="fr-FR"/>
        </w:rPr>
        <w:t>tionaux au titre la Convention</w:t>
      </w:r>
      <w:r w:rsidRPr="00FD7967">
        <w:rPr>
          <w:rStyle w:val="FootnoteReference"/>
        </w:rPr>
        <w:footnoteReference w:id="3"/>
      </w:r>
      <w:r w:rsidR="0026466A" w:rsidRPr="0026466A">
        <w:rPr>
          <w:lang w:val="fr-FR"/>
        </w:rPr>
        <w:t>;</w:t>
      </w:r>
    </w:p>
    <w:p w14:paraId="3C9A0EFB" w14:textId="33235016" w:rsidR="000201D1" w:rsidRPr="0026466A" w:rsidRDefault="000201D1" w:rsidP="0026466A">
      <w:pPr>
        <w:pStyle w:val="ListParagraph"/>
        <w:spacing w:after="120"/>
        <w:ind w:left="0" w:firstLine="720"/>
        <w:contextualSpacing w:val="0"/>
        <w:rPr>
          <w:lang w:val="fr-CA"/>
        </w:rPr>
      </w:pPr>
      <w:r w:rsidRPr="00FD7967">
        <w:rPr>
          <w:lang w:val="fr-CA"/>
        </w:rPr>
        <w:t>c)</w:t>
      </w:r>
      <w:r w:rsidRPr="00FD7967">
        <w:rPr>
          <w:lang w:val="fr-CA"/>
        </w:rPr>
        <w:tab/>
      </w:r>
      <w:r w:rsidRPr="00FD7967">
        <w:rPr>
          <w:lang w:val="fr-FR"/>
        </w:rPr>
        <w:t>Par le biais du Centre d’échange pour la prévention des risques biotechnologiques</w:t>
      </w:r>
      <w:r w:rsidRPr="00FD7967">
        <w:rPr>
          <w:lang w:val="fr-CA"/>
        </w:rPr>
        <w:t>;</w:t>
      </w:r>
    </w:p>
    <w:p w14:paraId="7D3D9377" w14:textId="6CC43D3F" w:rsidR="000201D1" w:rsidRDefault="000201D1" w:rsidP="000201D1">
      <w:pPr>
        <w:pStyle w:val="ListParagraph"/>
        <w:ind w:left="0" w:firstLine="720"/>
        <w:contextualSpacing w:val="0"/>
        <w:rPr>
          <w:lang w:val="fr-CA"/>
        </w:rPr>
      </w:pPr>
      <w:r w:rsidRPr="00FD7967">
        <w:rPr>
          <w:lang w:val="fr-CA"/>
        </w:rPr>
        <w:t>14.</w:t>
      </w:r>
      <w:r w:rsidRPr="00FD7967">
        <w:rPr>
          <w:lang w:val="fr-CA"/>
        </w:rPr>
        <w:tab/>
      </w:r>
      <w:r w:rsidRPr="00FD7967">
        <w:rPr>
          <w:i/>
          <w:lang w:val="fr-FR"/>
        </w:rPr>
        <w:t>Prie</w:t>
      </w:r>
      <w:r w:rsidRPr="00FD7967">
        <w:rPr>
          <w:lang w:val="fr-FR"/>
        </w:rPr>
        <w:t xml:space="preserve"> les Parties qui ont des difficultés à remettre leur rapport national par le biais du Centre d’échange pour la prévention des risques biotechnologiques de coordonner leur action avec le Secrétariat pour faciliter la publication de leur rapport national dans le Centre d’échange pour la prévention des risques biotechnologiques</w:t>
      </w:r>
      <w:r w:rsidRPr="00FD7967">
        <w:rPr>
          <w:lang w:val="fr-CA"/>
        </w:rPr>
        <w:t>;</w:t>
      </w:r>
    </w:p>
    <w:p w14:paraId="3E4F25BB" w14:textId="77777777" w:rsidR="000201D1" w:rsidRPr="00FD7967" w:rsidRDefault="000201D1" w:rsidP="000201D1">
      <w:pPr>
        <w:pStyle w:val="ListParagraph"/>
        <w:ind w:left="0" w:firstLine="720"/>
        <w:contextualSpacing w:val="0"/>
        <w:rPr>
          <w:i/>
          <w:lang w:val="fr-CA"/>
        </w:rPr>
      </w:pPr>
    </w:p>
    <w:p w14:paraId="7E229E27" w14:textId="660F239D" w:rsidR="000201D1" w:rsidRPr="0026466A" w:rsidRDefault="000201D1" w:rsidP="0026466A">
      <w:pPr>
        <w:pStyle w:val="ListParagraph"/>
        <w:spacing w:after="120"/>
        <w:ind w:left="0" w:firstLine="720"/>
        <w:contextualSpacing w:val="0"/>
        <w:rPr>
          <w:lang w:val="fr-FR"/>
        </w:rPr>
      </w:pPr>
      <w:r w:rsidRPr="00FD7967">
        <w:rPr>
          <w:lang w:val="fr-CA"/>
        </w:rPr>
        <w:lastRenderedPageBreak/>
        <w:t>15.</w:t>
      </w:r>
      <w:r w:rsidRPr="00FD7967">
        <w:rPr>
          <w:lang w:val="fr-CA"/>
        </w:rPr>
        <w:tab/>
      </w:r>
      <w:r w:rsidRPr="00FD7967">
        <w:rPr>
          <w:i/>
          <w:iCs/>
          <w:lang w:val="fr-FR"/>
        </w:rPr>
        <w:t>Re</w:t>
      </w:r>
      <w:r>
        <w:rPr>
          <w:i/>
          <w:iCs/>
          <w:lang w:val="fr-FR"/>
        </w:rPr>
        <w:t xml:space="preserve">connaît </w:t>
      </w:r>
      <w:r>
        <w:rPr>
          <w:lang w:val="fr-FR"/>
        </w:rPr>
        <w:t>que les cinquièmes rapports nationaux seront également une source importante d’information, parallèlement à d’autres sources, pour mesurer l</w:t>
      </w:r>
      <w:r w:rsidR="0026466A">
        <w:rPr>
          <w:lang w:val="fr-FR"/>
        </w:rPr>
        <w:t xml:space="preserve">es progrès réalisés en vertu du Plan </w:t>
      </w:r>
      <w:r>
        <w:rPr>
          <w:iCs/>
          <w:kern w:val="22"/>
          <w:szCs w:val="22"/>
          <w:lang w:val="fr-CA"/>
        </w:rPr>
        <w:t>d’action pour le renforcement des cap</w:t>
      </w:r>
      <w:r w:rsidR="0026466A">
        <w:rPr>
          <w:iCs/>
          <w:kern w:val="22"/>
          <w:szCs w:val="22"/>
          <w:lang w:val="fr-CA"/>
        </w:rPr>
        <w:t>acités du Protocole de Cartag</w:t>
      </w:r>
      <w:r>
        <w:rPr>
          <w:iCs/>
          <w:kern w:val="22"/>
          <w:szCs w:val="22"/>
          <w:lang w:val="fr-CA"/>
        </w:rPr>
        <w:t>e</w:t>
      </w:r>
      <w:r w:rsidR="0026466A">
        <w:rPr>
          <w:iCs/>
          <w:kern w:val="22"/>
          <w:szCs w:val="22"/>
          <w:lang w:val="fr-CA"/>
        </w:rPr>
        <w:t>na sur la prévention des risques biotechnologiques</w:t>
      </w:r>
      <w:r>
        <w:rPr>
          <w:iCs/>
          <w:kern w:val="22"/>
          <w:szCs w:val="22"/>
          <w:lang w:val="fr-CA"/>
        </w:rPr>
        <w:t>, comme d</w:t>
      </w:r>
      <w:r w:rsidR="0026466A">
        <w:rPr>
          <w:iCs/>
          <w:kern w:val="22"/>
          <w:szCs w:val="22"/>
          <w:lang w:val="fr-CA"/>
        </w:rPr>
        <w:t>éfini au paragraphe 19 du P</w:t>
      </w:r>
      <w:r>
        <w:rPr>
          <w:iCs/>
          <w:kern w:val="22"/>
          <w:szCs w:val="22"/>
          <w:lang w:val="fr-CA"/>
        </w:rPr>
        <w:t>lan d’action pou</w:t>
      </w:r>
      <w:r w:rsidR="0026466A">
        <w:rPr>
          <w:iCs/>
          <w:kern w:val="22"/>
          <w:szCs w:val="22"/>
          <w:lang w:val="fr-CA"/>
        </w:rPr>
        <w:t>r le renforcement des capacités</w:t>
      </w:r>
      <w:r w:rsidR="0026466A">
        <w:rPr>
          <w:rStyle w:val="FootnoteReference"/>
          <w:iCs/>
          <w:kern w:val="22"/>
          <w:szCs w:val="22"/>
          <w:lang w:val="fr-CA"/>
        </w:rPr>
        <w:footnoteReference w:id="4"/>
      </w:r>
      <w:r>
        <w:rPr>
          <w:iCs/>
          <w:kern w:val="22"/>
          <w:szCs w:val="22"/>
          <w:lang w:val="fr-CA"/>
        </w:rPr>
        <w:t>;</w:t>
      </w:r>
    </w:p>
    <w:p w14:paraId="355C2555" w14:textId="2C230264" w:rsidR="000201D1" w:rsidRPr="0026466A" w:rsidRDefault="000201D1" w:rsidP="0026466A">
      <w:pPr>
        <w:pStyle w:val="ListParagraph"/>
        <w:shd w:val="clear" w:color="auto" w:fill="FFFFFF" w:themeFill="background1"/>
        <w:spacing w:after="120"/>
        <w:ind w:left="0" w:firstLine="720"/>
        <w:contextualSpacing w:val="0"/>
        <w:rPr>
          <w:lang w:val="fr-FR"/>
        </w:rPr>
      </w:pPr>
      <w:r w:rsidRPr="00FD7967">
        <w:rPr>
          <w:lang w:val="fr-CA"/>
        </w:rPr>
        <w:t>16.</w:t>
      </w:r>
      <w:r w:rsidRPr="00FD7967">
        <w:rPr>
          <w:lang w:val="fr-CA"/>
        </w:rPr>
        <w:tab/>
      </w:r>
      <w:r w:rsidRPr="00FD7967">
        <w:rPr>
          <w:i/>
          <w:iCs/>
          <w:lang w:val="fr-FR"/>
        </w:rPr>
        <w:t xml:space="preserve">Prie instamment </w:t>
      </w:r>
      <w:r w:rsidRPr="00FD7967">
        <w:rPr>
          <w:lang w:val="fr-FR"/>
        </w:rPr>
        <w:t>les Parties admissibles de transmettre leurs lettres d’engagement à l’organe d’exécution en temps opportun, de sorte que les projets visant à soutenir l’établissement des cinquièmes rapports nationaux puissent être transmis au Fonds pour l’environnement mondial, aux fins d’approbation, longtemps avant l’échéance fi</w:t>
      </w:r>
      <w:r w:rsidR="0026466A">
        <w:rPr>
          <w:lang w:val="fr-FR"/>
        </w:rPr>
        <w:t>xée pour la remise des rapports</w:t>
      </w:r>
      <w:r w:rsidRPr="00FD7967">
        <w:rPr>
          <w:lang w:val="fr-FR"/>
        </w:rPr>
        <w:t>;</w:t>
      </w:r>
    </w:p>
    <w:p w14:paraId="2B10EEC5" w14:textId="4169D0B6" w:rsidR="000201D1" w:rsidRPr="00EF7813" w:rsidRDefault="000201D1" w:rsidP="000201D1">
      <w:pPr>
        <w:shd w:val="clear" w:color="auto" w:fill="FFFFFF" w:themeFill="background1"/>
        <w:ind w:firstLine="720"/>
        <w:rPr>
          <w:i/>
          <w:iCs/>
          <w:lang w:val="fr-CA"/>
        </w:rPr>
      </w:pPr>
      <w:r w:rsidRPr="00FD7967">
        <w:rPr>
          <w:lang w:val="fr-CA"/>
        </w:rPr>
        <w:t>17.</w:t>
      </w:r>
      <w:r w:rsidRPr="00FD7967">
        <w:rPr>
          <w:lang w:val="fr-CA"/>
        </w:rPr>
        <w:tab/>
      </w:r>
      <w:r w:rsidRPr="00FD7967">
        <w:rPr>
          <w:i/>
          <w:iCs/>
          <w:lang w:val="fr-FR"/>
        </w:rPr>
        <w:t>Prend note</w:t>
      </w:r>
      <w:r w:rsidRPr="00FD7967">
        <w:rPr>
          <w:lang w:val="fr-FR"/>
        </w:rPr>
        <w:t xml:space="preserve"> de la décision</w:t>
      </w:r>
      <w:r>
        <w:rPr>
          <w:lang w:val="fr-FR"/>
        </w:rPr>
        <w:t> </w:t>
      </w:r>
      <w:r w:rsidRPr="00FD7967">
        <w:rPr>
          <w:lang w:val="fr-FR"/>
        </w:rPr>
        <w:t>1</w:t>
      </w:r>
      <w:r w:rsidR="00735CD5">
        <w:rPr>
          <w:lang w:val="fr-FR"/>
        </w:rPr>
        <w:t>5/6</w:t>
      </w:r>
      <w:r w:rsidRPr="00FD7967">
        <w:rPr>
          <w:lang w:val="fr-FR"/>
        </w:rPr>
        <w:t xml:space="preserve"> et de la décision</w:t>
      </w:r>
      <w:r>
        <w:rPr>
          <w:lang w:val="fr-FR"/>
        </w:rPr>
        <w:t> </w:t>
      </w:r>
      <w:r w:rsidRPr="00FD7967">
        <w:rPr>
          <w:lang w:val="fr-FR"/>
        </w:rPr>
        <w:t>1</w:t>
      </w:r>
      <w:r w:rsidR="00735CD5">
        <w:rPr>
          <w:lang w:val="fr-FR"/>
        </w:rPr>
        <w:t>5/4</w:t>
      </w:r>
      <w:r w:rsidRPr="00FD7967">
        <w:rPr>
          <w:lang w:val="fr-FR"/>
        </w:rPr>
        <w:t xml:space="preserve"> de la Conférence des Parties, et encourage les Parties au Protocole de Cartagena à contribuer aux processus nationaux d’établissement des septièmes rapports nationaux au titre de la Convention, y compris en fournissant des informations concernant les objectifs qui intéressent la prévention des risques biotechnologiques</w:t>
      </w:r>
      <w:r w:rsidRPr="00FD7967">
        <w:rPr>
          <w:lang w:val="fr-CA"/>
        </w:rPr>
        <w:t>.</w:t>
      </w:r>
      <w:r w:rsidRPr="00EF7813">
        <w:rPr>
          <w:lang w:val="fr-CA"/>
        </w:rPr>
        <w:t xml:space="preserve"> </w:t>
      </w:r>
    </w:p>
    <w:p w14:paraId="43A4BA95" w14:textId="77777777" w:rsidR="000201D1" w:rsidRPr="00EF7813" w:rsidRDefault="000201D1" w:rsidP="000201D1">
      <w:pPr>
        <w:rPr>
          <w:lang w:val="fr-CA"/>
        </w:rPr>
      </w:pPr>
    </w:p>
    <w:p w14:paraId="3093D971" w14:textId="055A74CC" w:rsidR="00B3369F" w:rsidRPr="00C9161D" w:rsidRDefault="00B0087D" w:rsidP="00B0087D">
      <w:pPr>
        <w:shd w:val="clear" w:color="auto" w:fill="FFFFFF" w:themeFill="background1"/>
        <w:jc w:val="center"/>
      </w:pPr>
      <w:r>
        <w:t>__________</w:t>
      </w:r>
    </w:p>
    <w:sectPr w:rsidR="00B3369F" w:rsidRPr="00C9161D" w:rsidSect="00DF75C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DC136" w14:textId="77777777" w:rsidR="002E2D1A" w:rsidRDefault="002E2D1A" w:rsidP="00CF1848">
      <w:r>
        <w:separator/>
      </w:r>
    </w:p>
  </w:endnote>
  <w:endnote w:type="continuationSeparator" w:id="0">
    <w:p w14:paraId="0FAE926F" w14:textId="77777777" w:rsidR="002E2D1A" w:rsidRDefault="002E2D1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58E63" w14:textId="77777777" w:rsidR="002E2D1A" w:rsidRDefault="002E2D1A" w:rsidP="00CF1848">
      <w:r>
        <w:separator/>
      </w:r>
    </w:p>
  </w:footnote>
  <w:footnote w:type="continuationSeparator" w:id="0">
    <w:p w14:paraId="570CC376" w14:textId="77777777" w:rsidR="002E2D1A" w:rsidRDefault="002E2D1A" w:rsidP="00CF1848">
      <w:r>
        <w:continuationSeparator/>
      </w:r>
    </w:p>
  </w:footnote>
  <w:footnote w:id="1">
    <w:p w14:paraId="2196B6C1" w14:textId="77777777" w:rsidR="000201D1" w:rsidRPr="0087371F" w:rsidRDefault="000201D1" w:rsidP="000201D1">
      <w:pPr>
        <w:pStyle w:val="FootnoteText"/>
        <w:suppressLineNumbers/>
        <w:suppressAutoHyphens/>
        <w:ind w:firstLine="0"/>
        <w:jc w:val="left"/>
        <w:rPr>
          <w:kern w:val="18"/>
          <w:szCs w:val="18"/>
          <w:lang w:val="fr-FR"/>
        </w:rPr>
      </w:pPr>
      <w:r w:rsidRPr="00564AB5">
        <w:rPr>
          <w:rStyle w:val="FootnoteReference"/>
          <w:rFonts w:eastAsiaTheme="majorEastAsia"/>
          <w:snapToGrid w:val="0"/>
          <w:kern w:val="18"/>
          <w:szCs w:val="18"/>
        </w:rPr>
        <w:footnoteRef/>
      </w:r>
      <w:r w:rsidRPr="00564AB5">
        <w:rPr>
          <w:kern w:val="18"/>
          <w:szCs w:val="18"/>
          <w:vertAlign w:val="superscript"/>
          <w:lang w:val="fr-FR"/>
        </w:rPr>
        <w:t xml:space="preserve"> </w:t>
      </w:r>
      <w:r>
        <w:rPr>
          <w:kern w:val="18"/>
          <w:szCs w:val="18"/>
          <w:lang w:val="fr-FR"/>
        </w:rPr>
        <w:t>Afghanistan, Albanie, Angola, Arabie saoudite, Azerbaïdjan, Belize, Bolivie, Cabo Verde, Djibouti, Dominique</w:t>
      </w:r>
      <w:r w:rsidRPr="00E24656">
        <w:rPr>
          <w:kern w:val="18"/>
          <w:szCs w:val="18"/>
          <w:lang w:val="fr-FR"/>
        </w:rPr>
        <w:t>, Fi</w:t>
      </w:r>
      <w:r>
        <w:rPr>
          <w:kern w:val="18"/>
          <w:szCs w:val="18"/>
          <w:lang w:val="fr-FR"/>
        </w:rPr>
        <w:t>d</w:t>
      </w:r>
      <w:r w:rsidRPr="00E24656">
        <w:rPr>
          <w:kern w:val="18"/>
          <w:szCs w:val="18"/>
          <w:lang w:val="fr-FR"/>
        </w:rPr>
        <w:t xml:space="preserve">ji, Honduras, </w:t>
      </w:r>
      <w:r>
        <w:rPr>
          <w:kern w:val="18"/>
          <w:szCs w:val="18"/>
          <w:lang w:val="fr-FR"/>
        </w:rPr>
        <w:t xml:space="preserve">Iles Marshall, </w:t>
      </w:r>
      <w:r w:rsidRPr="00E24656">
        <w:rPr>
          <w:kern w:val="18"/>
          <w:szCs w:val="18"/>
          <w:lang w:val="fr-FR"/>
        </w:rPr>
        <w:t>Jordan</w:t>
      </w:r>
      <w:r>
        <w:rPr>
          <w:kern w:val="18"/>
          <w:szCs w:val="18"/>
          <w:lang w:val="fr-FR"/>
        </w:rPr>
        <w:t>ie, Kiribati, Ki</w:t>
      </w:r>
      <w:r w:rsidRPr="00E24656">
        <w:rPr>
          <w:kern w:val="18"/>
          <w:szCs w:val="18"/>
          <w:lang w:val="fr-FR"/>
        </w:rPr>
        <w:t>rg</w:t>
      </w:r>
      <w:r>
        <w:rPr>
          <w:kern w:val="18"/>
          <w:szCs w:val="18"/>
          <w:lang w:val="fr-FR"/>
        </w:rPr>
        <w:t>hi</w:t>
      </w:r>
      <w:r w:rsidRPr="00E24656">
        <w:rPr>
          <w:kern w:val="18"/>
          <w:szCs w:val="18"/>
          <w:lang w:val="fr-FR"/>
        </w:rPr>
        <w:t>z</w:t>
      </w:r>
      <w:r>
        <w:rPr>
          <w:kern w:val="18"/>
          <w:szCs w:val="18"/>
          <w:lang w:val="fr-FR"/>
        </w:rPr>
        <w:t>istan, Libye, Maurice, Mongolie, Nauru, Niue, Papouasie-Nouvelle-</w:t>
      </w:r>
      <w:r w:rsidRPr="00E24656">
        <w:rPr>
          <w:kern w:val="18"/>
          <w:szCs w:val="18"/>
          <w:lang w:val="fr-FR"/>
        </w:rPr>
        <w:t>Guin</w:t>
      </w:r>
      <w:r>
        <w:rPr>
          <w:kern w:val="18"/>
          <w:szCs w:val="18"/>
          <w:lang w:val="fr-FR"/>
        </w:rPr>
        <w:t>ée</w:t>
      </w:r>
      <w:r w:rsidRPr="00E24656">
        <w:rPr>
          <w:kern w:val="18"/>
          <w:szCs w:val="18"/>
          <w:lang w:val="fr-FR"/>
        </w:rPr>
        <w:t xml:space="preserve">, Qatar, </w:t>
      </w:r>
      <w:r>
        <w:rPr>
          <w:kern w:val="18"/>
          <w:szCs w:val="18"/>
          <w:lang w:val="fr-FR"/>
        </w:rPr>
        <w:t>République arabe syrienne, République démocratique de Corée, Saint-Vincent-et-les-</w:t>
      </w:r>
      <w:r w:rsidRPr="00E24656">
        <w:rPr>
          <w:kern w:val="18"/>
          <w:szCs w:val="18"/>
          <w:lang w:val="fr-FR"/>
        </w:rPr>
        <w:t>G</w:t>
      </w:r>
      <w:r>
        <w:rPr>
          <w:kern w:val="18"/>
          <w:szCs w:val="18"/>
          <w:lang w:val="fr-FR"/>
        </w:rPr>
        <w:t>renadines, Samoa, Seychelles</w:t>
      </w:r>
      <w:r w:rsidRPr="00E24656">
        <w:rPr>
          <w:kern w:val="18"/>
          <w:szCs w:val="18"/>
          <w:lang w:val="fr-FR"/>
        </w:rPr>
        <w:t>, Ta</w:t>
      </w:r>
      <w:r>
        <w:rPr>
          <w:kern w:val="18"/>
          <w:szCs w:val="18"/>
          <w:lang w:val="fr-FR"/>
        </w:rPr>
        <w:t>djikistan, Trinidad-et-</w:t>
      </w:r>
      <w:r w:rsidRPr="00E24656">
        <w:rPr>
          <w:kern w:val="18"/>
          <w:szCs w:val="18"/>
          <w:lang w:val="fr-FR"/>
        </w:rPr>
        <w:t>Tobago</w:t>
      </w:r>
      <w:r>
        <w:rPr>
          <w:kern w:val="18"/>
          <w:szCs w:val="18"/>
          <w:lang w:val="fr-FR"/>
        </w:rPr>
        <w:t>, et Yé</w:t>
      </w:r>
      <w:r w:rsidRPr="00E24656">
        <w:rPr>
          <w:kern w:val="18"/>
          <w:szCs w:val="18"/>
          <w:lang w:val="fr-FR"/>
        </w:rPr>
        <w:t xml:space="preserve">men. </w:t>
      </w:r>
    </w:p>
  </w:footnote>
  <w:footnote w:id="2">
    <w:p w14:paraId="2DEDCEAD" w14:textId="77777777" w:rsidR="000201D1" w:rsidRPr="0087371F" w:rsidRDefault="000201D1" w:rsidP="000201D1">
      <w:pPr>
        <w:pStyle w:val="FootnoteText"/>
        <w:suppressLineNumbers/>
        <w:suppressAutoHyphens/>
        <w:ind w:firstLine="0"/>
        <w:jc w:val="left"/>
        <w:rPr>
          <w:kern w:val="18"/>
          <w:szCs w:val="18"/>
          <w:lang w:val="fr-FR"/>
        </w:rPr>
      </w:pPr>
      <w:r w:rsidRPr="00564AB5">
        <w:rPr>
          <w:rStyle w:val="FootnoteReference"/>
          <w:rFonts w:eastAsiaTheme="majorEastAsia"/>
          <w:snapToGrid w:val="0"/>
          <w:kern w:val="18"/>
          <w:szCs w:val="18"/>
        </w:rPr>
        <w:footnoteRef/>
      </w:r>
      <w:r w:rsidRPr="00564AB5">
        <w:rPr>
          <w:kern w:val="18"/>
          <w:szCs w:val="18"/>
          <w:vertAlign w:val="superscript"/>
          <w:lang w:val="fr-FR"/>
        </w:rPr>
        <w:t xml:space="preserve"> </w:t>
      </w:r>
      <w:r>
        <w:rPr>
          <w:kern w:val="18"/>
          <w:szCs w:val="18"/>
          <w:lang w:val="fr-FR"/>
        </w:rPr>
        <w:t>Arabie saoudite, Azerbaïdjan, Belize, Libye</w:t>
      </w:r>
      <w:r w:rsidRPr="0087371F">
        <w:rPr>
          <w:kern w:val="18"/>
          <w:szCs w:val="18"/>
          <w:lang w:val="fr-FR"/>
        </w:rPr>
        <w:t>,</w:t>
      </w:r>
      <w:r>
        <w:rPr>
          <w:kern w:val="18"/>
          <w:szCs w:val="18"/>
          <w:lang w:val="fr-FR"/>
        </w:rPr>
        <w:t xml:space="preserve"> Nauru, Papouasie-Nouvelle-</w:t>
      </w:r>
      <w:r w:rsidRPr="0087371F">
        <w:rPr>
          <w:kern w:val="18"/>
          <w:szCs w:val="18"/>
          <w:lang w:val="fr-FR"/>
        </w:rPr>
        <w:t>Guin</w:t>
      </w:r>
      <w:r>
        <w:rPr>
          <w:kern w:val="18"/>
          <w:szCs w:val="18"/>
          <w:lang w:val="fr-FR"/>
        </w:rPr>
        <w:t xml:space="preserve">ée, Qatar, République arabe syrienne, et </w:t>
      </w:r>
      <w:r w:rsidRPr="0087371F">
        <w:rPr>
          <w:kern w:val="18"/>
          <w:szCs w:val="18"/>
          <w:lang w:val="fr-FR"/>
        </w:rPr>
        <w:t>Se</w:t>
      </w:r>
      <w:r>
        <w:rPr>
          <w:kern w:val="18"/>
          <w:szCs w:val="18"/>
          <w:lang w:val="fr-FR"/>
        </w:rPr>
        <w:t>ychelles</w:t>
      </w:r>
      <w:r w:rsidRPr="0087371F">
        <w:rPr>
          <w:kern w:val="18"/>
          <w:szCs w:val="18"/>
          <w:lang w:val="fr-FR"/>
        </w:rPr>
        <w:t>.</w:t>
      </w:r>
    </w:p>
  </w:footnote>
  <w:footnote w:id="3">
    <w:p w14:paraId="171E7E0B" w14:textId="612594B4" w:rsidR="000201D1" w:rsidRPr="0087371F" w:rsidRDefault="000201D1" w:rsidP="000201D1">
      <w:pPr>
        <w:pStyle w:val="FootnoteText"/>
        <w:ind w:firstLine="0"/>
        <w:jc w:val="left"/>
        <w:rPr>
          <w:lang w:val="fr-FR"/>
        </w:rPr>
      </w:pPr>
      <w:r w:rsidRPr="00564AB5">
        <w:rPr>
          <w:rStyle w:val="FootnoteReference"/>
        </w:rPr>
        <w:footnoteRef/>
      </w:r>
      <w:r w:rsidRPr="0087371F">
        <w:rPr>
          <w:lang w:val="fr-FR"/>
        </w:rPr>
        <w:t xml:space="preserve"> </w:t>
      </w:r>
      <w:r>
        <w:rPr>
          <w:lang w:val="fr-FR"/>
        </w:rPr>
        <w:t>Décision </w:t>
      </w:r>
      <w:r w:rsidRPr="0087371F">
        <w:rPr>
          <w:lang w:val="fr-FR"/>
        </w:rPr>
        <w:t>15</w:t>
      </w:r>
      <w:r w:rsidR="0026466A">
        <w:rPr>
          <w:lang w:val="fr-FR"/>
        </w:rPr>
        <w:t>/6</w:t>
      </w:r>
      <w:r w:rsidRPr="0087371F">
        <w:rPr>
          <w:lang w:val="fr-FR"/>
        </w:rPr>
        <w:t xml:space="preserve"> </w:t>
      </w:r>
      <w:r>
        <w:rPr>
          <w:lang w:val="fr-FR"/>
        </w:rPr>
        <w:t>de la Con</w:t>
      </w:r>
      <w:r w:rsidRPr="0087371F">
        <w:rPr>
          <w:lang w:val="fr-FR"/>
        </w:rPr>
        <w:t>férence des Parties.</w:t>
      </w:r>
    </w:p>
  </w:footnote>
  <w:footnote w:id="4">
    <w:p w14:paraId="6DD62549" w14:textId="3DB17ED0" w:rsidR="0026466A" w:rsidRPr="0026466A" w:rsidRDefault="0026466A" w:rsidP="0026466A">
      <w:pPr>
        <w:pStyle w:val="FootnoteText"/>
        <w:ind w:firstLine="0"/>
        <w:rPr>
          <w:lang w:val="fr-FR"/>
        </w:rPr>
      </w:pPr>
      <w:r>
        <w:rPr>
          <w:rStyle w:val="FootnoteReference"/>
        </w:rPr>
        <w:footnoteRef/>
      </w:r>
      <w:r w:rsidRPr="0026466A">
        <w:rPr>
          <w:lang w:val="fr-FR"/>
        </w:rPr>
        <w:t xml:space="preserve"> Annexe à la </w:t>
      </w:r>
      <w:r>
        <w:rPr>
          <w:lang w:val="fr-FR"/>
        </w:rPr>
        <w:t>dé</w:t>
      </w:r>
      <w:r w:rsidRPr="0026466A">
        <w:rPr>
          <w:lang w:val="fr-FR"/>
        </w:rPr>
        <w:t>cision CP-</w:t>
      </w:r>
      <w:r>
        <w:rPr>
          <w:lang w:val="fr-FR"/>
        </w:rPr>
        <w:t>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586BBC4A" w:rsidR="00534681" w:rsidRPr="00134846" w:rsidRDefault="00B661FB" w:rsidP="00534681">
        <w:pPr>
          <w:pStyle w:val="Header"/>
          <w:rPr>
            <w:lang w:val="fr-FR"/>
          </w:rPr>
        </w:pPr>
        <w:r>
          <w:rPr>
            <w:lang w:val="fr-FR"/>
          </w:rPr>
          <w:t>CBD/CP/MOP/DEC/10/9</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1F3307">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3B30B321" w:rsidR="009505C9" w:rsidRPr="00134846" w:rsidRDefault="00B661FB" w:rsidP="009505C9">
        <w:pPr>
          <w:pStyle w:val="Header"/>
          <w:jc w:val="right"/>
          <w:rPr>
            <w:lang w:val="fr-FR"/>
          </w:rPr>
        </w:pPr>
        <w:r>
          <w:rPr>
            <w:lang w:val="fr-FR"/>
          </w:rPr>
          <w:t>CBD/CP/MOP/DEC/10/9</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1F3307">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20797"/>
    <w:multiLevelType w:val="hybridMultilevel"/>
    <w:tmpl w:val="82600574"/>
    <w:lvl w:ilvl="0" w:tplc="690A06A0">
      <w:start w:val="1"/>
      <w:numFmt w:val="lowerLetter"/>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1D1"/>
    <w:rsid w:val="00020A25"/>
    <w:rsid w:val="00052F0F"/>
    <w:rsid w:val="0007171B"/>
    <w:rsid w:val="000C64C2"/>
    <w:rsid w:val="000E5A18"/>
    <w:rsid w:val="000E673A"/>
    <w:rsid w:val="000F74F5"/>
    <w:rsid w:val="00105372"/>
    <w:rsid w:val="001312AD"/>
    <w:rsid w:val="00131E7A"/>
    <w:rsid w:val="00134846"/>
    <w:rsid w:val="00172AF6"/>
    <w:rsid w:val="00176CEE"/>
    <w:rsid w:val="00186DD8"/>
    <w:rsid w:val="001B13FE"/>
    <w:rsid w:val="001E6EB4"/>
    <w:rsid w:val="001F3307"/>
    <w:rsid w:val="00201591"/>
    <w:rsid w:val="0026466A"/>
    <w:rsid w:val="002D10FA"/>
    <w:rsid w:val="002E2D1A"/>
    <w:rsid w:val="0030169D"/>
    <w:rsid w:val="003060EB"/>
    <w:rsid w:val="003153EB"/>
    <w:rsid w:val="00321985"/>
    <w:rsid w:val="00351205"/>
    <w:rsid w:val="00372F74"/>
    <w:rsid w:val="003B7BB2"/>
    <w:rsid w:val="003C01BD"/>
    <w:rsid w:val="003C3193"/>
    <w:rsid w:val="003F7224"/>
    <w:rsid w:val="00427D21"/>
    <w:rsid w:val="004644C2"/>
    <w:rsid w:val="004666A7"/>
    <w:rsid w:val="00467F9C"/>
    <w:rsid w:val="004E3F80"/>
    <w:rsid w:val="00534681"/>
    <w:rsid w:val="00563442"/>
    <w:rsid w:val="00565B42"/>
    <w:rsid w:val="00592720"/>
    <w:rsid w:val="005B4ADC"/>
    <w:rsid w:val="005C4CE6"/>
    <w:rsid w:val="005E0ED3"/>
    <w:rsid w:val="00605408"/>
    <w:rsid w:val="006122BA"/>
    <w:rsid w:val="0063588C"/>
    <w:rsid w:val="006A6045"/>
    <w:rsid w:val="006B2290"/>
    <w:rsid w:val="00717D88"/>
    <w:rsid w:val="007273AF"/>
    <w:rsid w:val="00735CD5"/>
    <w:rsid w:val="007552CE"/>
    <w:rsid w:val="00786056"/>
    <w:rsid w:val="007942D3"/>
    <w:rsid w:val="007B2099"/>
    <w:rsid w:val="007B6C09"/>
    <w:rsid w:val="007B7741"/>
    <w:rsid w:val="007E09DA"/>
    <w:rsid w:val="008178B6"/>
    <w:rsid w:val="00865B74"/>
    <w:rsid w:val="008974F0"/>
    <w:rsid w:val="008B012A"/>
    <w:rsid w:val="008F22FE"/>
    <w:rsid w:val="00906E17"/>
    <w:rsid w:val="00930BA1"/>
    <w:rsid w:val="0093169E"/>
    <w:rsid w:val="00937130"/>
    <w:rsid w:val="00940186"/>
    <w:rsid w:val="009505C9"/>
    <w:rsid w:val="00950752"/>
    <w:rsid w:val="00966424"/>
    <w:rsid w:val="009C2DE6"/>
    <w:rsid w:val="009D50D3"/>
    <w:rsid w:val="00A1252A"/>
    <w:rsid w:val="00AA2B85"/>
    <w:rsid w:val="00AA6F92"/>
    <w:rsid w:val="00AB0FA7"/>
    <w:rsid w:val="00AB4A4B"/>
    <w:rsid w:val="00AB6934"/>
    <w:rsid w:val="00AD7FFC"/>
    <w:rsid w:val="00AF42DE"/>
    <w:rsid w:val="00B0087D"/>
    <w:rsid w:val="00B03833"/>
    <w:rsid w:val="00B26ACD"/>
    <w:rsid w:val="00B3369F"/>
    <w:rsid w:val="00B46564"/>
    <w:rsid w:val="00B661FB"/>
    <w:rsid w:val="00B8290E"/>
    <w:rsid w:val="00B94E6C"/>
    <w:rsid w:val="00BB4606"/>
    <w:rsid w:val="00BF11F9"/>
    <w:rsid w:val="00C23D2F"/>
    <w:rsid w:val="00C4115C"/>
    <w:rsid w:val="00C443BD"/>
    <w:rsid w:val="00C451C5"/>
    <w:rsid w:val="00C9161D"/>
    <w:rsid w:val="00CA0C1D"/>
    <w:rsid w:val="00CF1848"/>
    <w:rsid w:val="00D06CCE"/>
    <w:rsid w:val="00D12044"/>
    <w:rsid w:val="00D30264"/>
    <w:rsid w:val="00D33EFC"/>
    <w:rsid w:val="00D40DBC"/>
    <w:rsid w:val="00D67904"/>
    <w:rsid w:val="00D76A18"/>
    <w:rsid w:val="00D80849"/>
    <w:rsid w:val="00D82E8F"/>
    <w:rsid w:val="00DD118C"/>
    <w:rsid w:val="00DF75CC"/>
    <w:rsid w:val="00E46704"/>
    <w:rsid w:val="00E66235"/>
    <w:rsid w:val="00E83C24"/>
    <w:rsid w:val="00E9318D"/>
    <w:rsid w:val="00EC1F46"/>
    <w:rsid w:val="00ED60F7"/>
    <w:rsid w:val="00F53193"/>
    <w:rsid w:val="00F5357E"/>
    <w:rsid w:val="00F6586C"/>
    <w:rsid w:val="00F90D2B"/>
    <w:rsid w:val="00F94774"/>
    <w:rsid w:val="00FA0E9A"/>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0201D1"/>
    <w:pPr>
      <w:spacing w:before="120"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0201D1"/>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FBA4C5140444A9EB1C326E401F866B8"/>
        <w:category>
          <w:name w:val="Général"/>
          <w:gallery w:val="placeholder"/>
        </w:category>
        <w:types>
          <w:type w:val="bbPlcHdr"/>
        </w:types>
        <w:behaviors>
          <w:behavior w:val="content"/>
        </w:behaviors>
        <w:guid w:val="{1AF007B2-E862-444C-8244-710DD3E313D0}"/>
      </w:docPartPr>
      <w:docPartBody>
        <w:p w:rsidR="003F74BB" w:rsidRDefault="00674DC1" w:rsidP="00674DC1">
          <w:pPr>
            <w:pStyle w:val="7FBA4C5140444A9EB1C326E401F866B8"/>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6789F"/>
    <w:rsid w:val="003F74BB"/>
    <w:rsid w:val="0046422C"/>
    <w:rsid w:val="004760CF"/>
    <w:rsid w:val="004E092F"/>
    <w:rsid w:val="00500A2B"/>
    <w:rsid w:val="0058288D"/>
    <w:rsid w:val="00665C6B"/>
    <w:rsid w:val="00674DC1"/>
    <w:rsid w:val="006801B3"/>
    <w:rsid w:val="007126E4"/>
    <w:rsid w:val="007911CC"/>
    <w:rsid w:val="007E03AE"/>
    <w:rsid w:val="00810A55"/>
    <w:rsid w:val="0085047C"/>
    <w:rsid w:val="008C6619"/>
    <w:rsid w:val="008D420E"/>
    <w:rsid w:val="0098642F"/>
    <w:rsid w:val="00B27D2C"/>
    <w:rsid w:val="00C8104B"/>
    <w:rsid w:val="00CB0BE1"/>
    <w:rsid w:val="00D31D12"/>
    <w:rsid w:val="00E95B3B"/>
    <w:rsid w:val="00FF4A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4DC1"/>
    <w:rPr>
      <w:color w:val="808080"/>
    </w:rPr>
  </w:style>
  <w:style w:type="paragraph" w:customStyle="1" w:styleId="7FBA4C5140444A9EB1C326E401F866B8">
    <w:name w:val="7FBA4C5140444A9EB1C326E401F866B8"/>
    <w:rsid w:val="00674DC1"/>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BEC7F48-48CC-4622-B3A9-4D5F479A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3374FC-4DC9-406A-B2F6-A19FDD6C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961</Words>
  <Characters>5286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Suivi et établissement des rapports (article 33)</vt:lpstr>
      <vt:lpstr>Monitoring and reporting (Article 33)</vt:lpstr>
    </vt:vector>
  </TitlesOfParts>
  <Company>SCBD</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CP-10/9.        Suivi et établissement des rapports (article 33)</dc:title>
  <dc:subject>CBD/CP/MOP/DEC/10/9</dc:subject>
  <dc:creator>SCBD</dc:creator>
  <cp:keywords>Conference of the Parties serving as the meeting of the parties to the Cartagena Protocol on Biosafety, tenth meeting</cp:keywords>
  <cp:lastModifiedBy>Finn Kinley</cp:lastModifiedBy>
  <cp:revision>14</cp:revision>
  <cp:lastPrinted>2020-01-21T16:56:00Z</cp:lastPrinted>
  <dcterms:created xsi:type="dcterms:W3CDTF">2022-12-09T22:03:00Z</dcterms:created>
  <dcterms:modified xsi:type="dcterms:W3CDTF">2023-03-26T23:46:00Z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