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5580"/>
        <w:gridCol w:w="3697"/>
      </w:tblGrid>
      <w:tr w:rsidR="0066475E" w:rsidRPr="007A1B84" w14:paraId="07F6750D" w14:textId="77777777" w:rsidTr="00891C7D">
        <w:trPr>
          <w:trHeight w:val="851"/>
        </w:trPr>
        <w:tc>
          <w:tcPr>
            <w:tcW w:w="948" w:type="dxa"/>
            <w:tcBorders>
              <w:bottom w:val="single" w:sz="12" w:space="0" w:color="auto"/>
            </w:tcBorders>
          </w:tcPr>
          <w:p w14:paraId="1DEFF495" w14:textId="77777777" w:rsidR="00C9161D" w:rsidRPr="007A1B84" w:rsidRDefault="00C9161D" w:rsidP="00321985">
            <w:r w:rsidRPr="007A1B84">
              <w:rPr>
                <w:noProof/>
                <w:lang w:val="fr-FR" w:eastAsia="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580" w:type="dxa"/>
            <w:tcBorders>
              <w:bottom w:val="single" w:sz="12" w:space="0" w:color="auto"/>
            </w:tcBorders>
            <w:shd w:val="clear" w:color="auto" w:fill="auto"/>
            <w:tcFitText/>
          </w:tcPr>
          <w:p w14:paraId="1986B63F" w14:textId="60ACCA76" w:rsidR="00FA663B" w:rsidRPr="007A1B84" w:rsidRDefault="004F7D50" w:rsidP="00321985">
            <w:r w:rsidRPr="004F7D50">
              <w:rPr>
                <w:noProof/>
                <w:lang w:val="fr-FR" w:eastAsia="fr-FR"/>
              </w:rPr>
              <w:drawing>
                <wp:inline distT="0" distB="0" distL="0" distR="0" wp14:anchorId="5FE00C46" wp14:editId="3143B97D">
                  <wp:extent cx="593090" cy="340360"/>
                  <wp:effectExtent l="0" t="0" r="0" b="0"/>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3697" w:type="dxa"/>
            <w:tcBorders>
              <w:bottom w:val="single" w:sz="12" w:space="0" w:color="auto"/>
            </w:tcBorders>
          </w:tcPr>
          <w:p w14:paraId="600A589D" w14:textId="77777777" w:rsidR="00C9161D" w:rsidRPr="007A1B84" w:rsidRDefault="00C9161D" w:rsidP="00891C7D">
            <w:pPr>
              <w:ind w:right="-105"/>
              <w:jc w:val="right"/>
              <w:rPr>
                <w:rFonts w:ascii="Arial" w:hAnsi="Arial" w:cs="Arial"/>
                <w:b/>
                <w:sz w:val="32"/>
                <w:szCs w:val="32"/>
              </w:rPr>
            </w:pPr>
            <w:r w:rsidRPr="007A1B84">
              <w:rPr>
                <w:rFonts w:ascii="Arial" w:hAnsi="Arial" w:cs="Arial"/>
                <w:b/>
                <w:sz w:val="32"/>
                <w:szCs w:val="32"/>
              </w:rPr>
              <w:t>CBD</w:t>
            </w:r>
          </w:p>
        </w:tc>
      </w:tr>
      <w:tr w:rsidR="0066475E" w14:paraId="6F751905" w14:textId="77777777" w:rsidTr="00891C7D">
        <w:tc>
          <w:tcPr>
            <w:tcW w:w="6528" w:type="dxa"/>
            <w:gridSpan w:val="2"/>
            <w:tcBorders>
              <w:top w:val="single" w:sz="12" w:space="0" w:color="auto"/>
              <w:bottom w:val="single" w:sz="36" w:space="0" w:color="auto"/>
            </w:tcBorders>
            <w:vAlign w:val="center"/>
          </w:tcPr>
          <w:p w14:paraId="14F52A6C" w14:textId="4E302CA6" w:rsidR="00C9161D" w:rsidRPr="007A1B84" w:rsidRDefault="004F7D50" w:rsidP="00C9161D">
            <w:r w:rsidRPr="00AE7119">
              <w:rPr>
                <w:noProof/>
                <w:lang w:val="fr-FR" w:eastAsia="fr-FR"/>
              </w:rPr>
              <w:drawing>
                <wp:inline distT="0" distB="0" distL="0" distR="0" wp14:anchorId="292DA8A9" wp14:editId="3B7E869C">
                  <wp:extent cx="2694709" cy="1100994"/>
                  <wp:effectExtent l="0" t="0" r="0" b="4445"/>
                  <wp:docPr id="7"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5941" cy="1121926"/>
                          </a:xfrm>
                          <a:prstGeom prst="rect">
                            <a:avLst/>
                          </a:prstGeom>
                          <a:noFill/>
                          <a:ln>
                            <a:noFill/>
                          </a:ln>
                        </pic:spPr>
                      </pic:pic>
                    </a:graphicData>
                  </a:graphic>
                </wp:inline>
              </w:drawing>
            </w:r>
          </w:p>
        </w:tc>
        <w:tc>
          <w:tcPr>
            <w:tcW w:w="3697" w:type="dxa"/>
            <w:tcBorders>
              <w:top w:val="single" w:sz="12" w:space="0" w:color="auto"/>
              <w:bottom w:val="single" w:sz="36" w:space="0" w:color="auto"/>
            </w:tcBorders>
          </w:tcPr>
          <w:p w14:paraId="1C693BA4" w14:textId="77777777" w:rsidR="00C9161D" w:rsidRPr="007F6F32" w:rsidRDefault="00C9161D" w:rsidP="00176CEE">
            <w:pPr>
              <w:ind w:left="840"/>
              <w:rPr>
                <w:szCs w:val="22"/>
                <w:lang w:val="fr-FR"/>
              </w:rPr>
            </w:pPr>
            <w:r w:rsidRPr="007F6F32">
              <w:rPr>
                <w:szCs w:val="22"/>
                <w:lang w:val="fr-FR"/>
              </w:rPr>
              <w:t>Distr.</w:t>
            </w:r>
          </w:p>
          <w:p w14:paraId="0C21C438" w14:textId="5C3ADDE7" w:rsidR="00C9161D" w:rsidRPr="007F6F32" w:rsidRDefault="004F7D50" w:rsidP="00176CEE">
            <w:pPr>
              <w:ind w:left="840"/>
              <w:rPr>
                <w:szCs w:val="22"/>
                <w:lang w:val="fr-FR"/>
              </w:rPr>
            </w:pPr>
            <w:r w:rsidRPr="007F6F32">
              <w:rPr>
                <w:caps/>
                <w:szCs w:val="22"/>
                <w:lang w:val="fr-FR"/>
              </w:rPr>
              <w:t>GÉnÉ</w:t>
            </w:r>
            <w:r w:rsidR="00010C93" w:rsidRPr="007F6F32">
              <w:rPr>
                <w:caps/>
                <w:szCs w:val="22"/>
                <w:lang w:val="fr-FR"/>
              </w:rPr>
              <w:t>ral</w:t>
            </w:r>
            <w:r w:rsidRPr="007F6F32">
              <w:rPr>
                <w:caps/>
                <w:szCs w:val="22"/>
                <w:lang w:val="fr-FR"/>
              </w:rPr>
              <w:t>e</w:t>
            </w:r>
          </w:p>
          <w:p w14:paraId="06715052" w14:textId="77777777" w:rsidR="00C9161D" w:rsidRPr="007F6F32" w:rsidRDefault="00C9161D" w:rsidP="00176CEE">
            <w:pPr>
              <w:ind w:left="840"/>
              <w:rPr>
                <w:szCs w:val="22"/>
                <w:lang w:val="fr-FR"/>
              </w:rPr>
            </w:pPr>
          </w:p>
          <w:p w14:paraId="44230134" w14:textId="06F2AEB1" w:rsidR="00C9161D" w:rsidRPr="007F6F32" w:rsidRDefault="00F74463" w:rsidP="00176CEE">
            <w:pPr>
              <w:ind w:left="840"/>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10C93" w:rsidRPr="007F6F32">
                  <w:rPr>
                    <w:lang w:val="fr-FR"/>
                  </w:rPr>
                  <w:t>CBD/CP/MOP/DEC/10/5</w:t>
                </w:r>
              </w:sdtContent>
            </w:sdt>
          </w:p>
          <w:p w14:paraId="0DF1F033" w14:textId="0BCB1DC8" w:rsidR="00C9161D" w:rsidRPr="007A1B84" w:rsidRDefault="00010C93" w:rsidP="00176CEE">
            <w:pPr>
              <w:ind w:left="840"/>
              <w:rPr>
                <w:szCs w:val="22"/>
              </w:rPr>
            </w:pPr>
            <w:r w:rsidRPr="007A1B84">
              <w:rPr>
                <w:szCs w:val="22"/>
                <w:lang w:val="en-US"/>
              </w:rPr>
              <w:t>1</w:t>
            </w:r>
            <w:r w:rsidR="004F7D50">
              <w:rPr>
                <w:szCs w:val="22"/>
                <w:lang w:val="en-US"/>
              </w:rPr>
              <w:t>9 décemb</w:t>
            </w:r>
            <w:r w:rsidR="00515F4E" w:rsidRPr="007A1B84">
              <w:rPr>
                <w:szCs w:val="22"/>
                <w:lang w:val="en-US"/>
              </w:rPr>
              <w:t>r</w:t>
            </w:r>
            <w:r w:rsidR="004F7D50">
              <w:rPr>
                <w:szCs w:val="22"/>
                <w:lang w:val="en-US"/>
              </w:rPr>
              <w:t>e</w:t>
            </w:r>
            <w:r w:rsidR="00F6586C" w:rsidRPr="007A1B84">
              <w:rPr>
                <w:szCs w:val="22"/>
                <w:lang w:val="en-US"/>
              </w:rPr>
              <w:t xml:space="preserve"> 20</w:t>
            </w:r>
            <w:r w:rsidR="00FC25F8" w:rsidRPr="007A1B84">
              <w:rPr>
                <w:szCs w:val="22"/>
                <w:lang w:val="en-US"/>
              </w:rPr>
              <w:t>2</w:t>
            </w:r>
            <w:r w:rsidR="00B26ACD" w:rsidRPr="007A1B84">
              <w:rPr>
                <w:szCs w:val="22"/>
                <w:lang w:val="en-US"/>
              </w:rPr>
              <w:t>2</w:t>
            </w:r>
          </w:p>
          <w:p w14:paraId="159892DF" w14:textId="77777777" w:rsidR="00C9161D" w:rsidRPr="007A1B84" w:rsidRDefault="00C9161D" w:rsidP="00176CEE">
            <w:pPr>
              <w:ind w:left="840"/>
              <w:rPr>
                <w:szCs w:val="22"/>
              </w:rPr>
            </w:pPr>
          </w:p>
          <w:p w14:paraId="0A42488B" w14:textId="1867546B" w:rsidR="004F7D50" w:rsidRDefault="004F7D50" w:rsidP="00176CEE">
            <w:pPr>
              <w:ind w:left="840"/>
              <w:rPr>
                <w:szCs w:val="22"/>
              </w:rPr>
            </w:pPr>
            <w:r>
              <w:rPr>
                <w:szCs w:val="22"/>
              </w:rPr>
              <w:t>FRANÇAIS</w:t>
            </w:r>
          </w:p>
          <w:p w14:paraId="19472D49" w14:textId="6522D813" w:rsidR="00C9161D" w:rsidRPr="00C9161D" w:rsidRDefault="006B2290" w:rsidP="00176CEE">
            <w:pPr>
              <w:ind w:left="840"/>
              <w:rPr>
                <w:szCs w:val="22"/>
              </w:rPr>
            </w:pPr>
            <w:r w:rsidRPr="007A1B84">
              <w:rPr>
                <w:szCs w:val="22"/>
              </w:rPr>
              <w:t>ORIGINAL</w:t>
            </w:r>
            <w:r w:rsidR="004F7D50">
              <w:rPr>
                <w:szCs w:val="22"/>
              </w:rPr>
              <w:t xml:space="preserve"> </w:t>
            </w:r>
            <w:r w:rsidRPr="007A1B84">
              <w:rPr>
                <w:szCs w:val="22"/>
              </w:rPr>
              <w:t xml:space="preserve">: </w:t>
            </w:r>
            <w:r w:rsidR="004F7D50">
              <w:rPr>
                <w:szCs w:val="22"/>
              </w:rPr>
              <w:t>A</w:t>
            </w:r>
            <w:r w:rsidR="00C9161D" w:rsidRPr="007A1B84">
              <w:rPr>
                <w:szCs w:val="22"/>
              </w:rPr>
              <w:t>NGL</w:t>
            </w:r>
            <w:r w:rsidR="004F7D50">
              <w:rPr>
                <w:szCs w:val="22"/>
              </w:rPr>
              <w:t>AIS</w:t>
            </w:r>
          </w:p>
          <w:p w14:paraId="5AA10CCE" w14:textId="77777777" w:rsidR="00C9161D" w:rsidRDefault="00C9161D"/>
        </w:tc>
      </w:tr>
    </w:tbl>
    <w:p w14:paraId="0E5FF349" w14:textId="77777777" w:rsidR="004F7D50" w:rsidRPr="00AE7119" w:rsidRDefault="004F7D50" w:rsidP="004F7D50">
      <w:pPr>
        <w:pStyle w:val="Cornernotation"/>
        <w:kinsoku w:val="0"/>
        <w:overflowPunct w:val="0"/>
        <w:autoSpaceDE w:val="0"/>
        <w:autoSpaceDN w:val="0"/>
        <w:spacing w:before="60"/>
        <w:ind w:left="142" w:right="4302" w:hanging="142"/>
        <w:rPr>
          <w:snapToGrid w:val="0"/>
          <w:kern w:val="22"/>
          <w:lang w:val="fr-CA"/>
        </w:rPr>
      </w:pPr>
      <w:r w:rsidRPr="00AE7119">
        <w:rPr>
          <w:snapToGrid w:val="0"/>
          <w:kern w:val="22"/>
          <w:lang w:val="fr-CA"/>
        </w:rPr>
        <w:t>CONFÉRENCE DES PARTIES À LA CONVENTION SUR LA DIVERSITÉ BIOLOGIQUE SIÉGEANT EN TANT QUE RÉUNION DES PARTIES AU PROTOCOLE DE CARTAGENA SUR LA PRÉVENTION DES RISQUES BIOTECHNOLOGIQUES</w:t>
      </w:r>
    </w:p>
    <w:p w14:paraId="1204F616" w14:textId="59F2A1A5" w:rsidR="004F7D50" w:rsidRPr="00AE7119" w:rsidRDefault="007F6F32" w:rsidP="004F7D50">
      <w:pPr>
        <w:pStyle w:val="Cornernotation"/>
        <w:kinsoku w:val="0"/>
        <w:overflowPunct w:val="0"/>
        <w:autoSpaceDE w:val="0"/>
        <w:autoSpaceDN w:val="0"/>
        <w:ind w:left="0" w:right="4512" w:firstLine="0"/>
        <w:rPr>
          <w:snapToGrid w:val="0"/>
          <w:kern w:val="22"/>
          <w:lang w:val="fr-CA"/>
        </w:rPr>
      </w:pPr>
      <w:r>
        <w:rPr>
          <w:snapToGrid w:val="0"/>
          <w:kern w:val="22"/>
          <w:lang w:val="fr-CA"/>
        </w:rPr>
        <w:t>Dixième réunion,</w:t>
      </w:r>
      <w:r w:rsidR="00D83A63">
        <w:rPr>
          <w:snapToGrid w:val="0"/>
          <w:kern w:val="22"/>
          <w:lang w:val="fr-CA"/>
        </w:rPr>
        <w:t xml:space="preserve"> d</w:t>
      </w:r>
      <w:r w:rsidR="004F7D50">
        <w:rPr>
          <w:snapToGrid w:val="0"/>
          <w:kern w:val="22"/>
          <w:lang w:val="fr-CA"/>
        </w:rPr>
        <w:t>euxième partie</w:t>
      </w:r>
    </w:p>
    <w:p w14:paraId="6361772B" w14:textId="77777777" w:rsidR="004F7D50" w:rsidRPr="00AE7119" w:rsidRDefault="004F7D50" w:rsidP="004F7D50">
      <w:pPr>
        <w:pStyle w:val="Cornernotation"/>
        <w:kinsoku w:val="0"/>
        <w:overflowPunct w:val="0"/>
        <w:autoSpaceDE w:val="0"/>
        <w:autoSpaceDN w:val="0"/>
        <w:ind w:left="227" w:right="4512" w:hanging="227"/>
        <w:rPr>
          <w:snapToGrid w:val="0"/>
          <w:kern w:val="22"/>
          <w:szCs w:val="22"/>
          <w:lang w:val="fr-CA" w:eastAsia="nb-NO"/>
        </w:rPr>
      </w:pPr>
      <w:r w:rsidRPr="00AE7119">
        <w:rPr>
          <w:snapToGrid w:val="0"/>
          <w:kern w:val="22"/>
          <w:szCs w:val="22"/>
          <w:lang w:val="fr-CA" w:eastAsia="nb-NO"/>
        </w:rPr>
        <w:t>Montréal (Canada), 7</w:t>
      </w:r>
      <w:r>
        <w:rPr>
          <w:snapToGrid w:val="0"/>
          <w:kern w:val="22"/>
          <w:szCs w:val="22"/>
          <w:lang w:val="fr-CA" w:eastAsia="nb-NO"/>
        </w:rPr>
        <w:noBreakHyphen/>
      </w:r>
      <w:r w:rsidRPr="00AE7119">
        <w:rPr>
          <w:snapToGrid w:val="0"/>
          <w:kern w:val="22"/>
          <w:szCs w:val="22"/>
          <w:lang w:val="fr-CA" w:eastAsia="nb-NO"/>
        </w:rPr>
        <w:t>19 décembre 2022</w:t>
      </w:r>
    </w:p>
    <w:p w14:paraId="2D2589E9" w14:textId="77777777" w:rsidR="004F7D50" w:rsidRPr="007F6F32" w:rsidRDefault="004F7D50" w:rsidP="004F7D50">
      <w:pPr>
        <w:rPr>
          <w:lang w:val="fr-FR"/>
        </w:rPr>
      </w:pPr>
      <w:r w:rsidRPr="007F6F32">
        <w:rPr>
          <w:snapToGrid w:val="0"/>
          <w:kern w:val="22"/>
          <w:szCs w:val="22"/>
          <w:lang w:val="fr-FR"/>
        </w:rPr>
        <w:t>Point 11 de l’ordre du jour</w:t>
      </w:r>
    </w:p>
    <w:p w14:paraId="43A3B1C5" w14:textId="79E7AAAE" w:rsidR="00D83A63" w:rsidRPr="00431EC8" w:rsidRDefault="00D83A63" w:rsidP="00D83A63">
      <w:pPr>
        <w:spacing w:before="240" w:after="240"/>
        <w:ind w:right="-288"/>
        <w:jc w:val="center"/>
        <w:rPr>
          <w:rFonts w:ascii="Times New Roman Bold" w:hAnsi="Times New Roman Bold"/>
          <w:b/>
          <w:caps/>
          <w:lang w:val="fr-FR"/>
        </w:rPr>
      </w:pPr>
      <w:r w:rsidRPr="00C976D0">
        <w:rPr>
          <w:rFonts w:ascii="Times New Roman Bold" w:hAnsi="Times New Roman Bold"/>
          <w:b/>
          <w:caps/>
          <w:lang w:val="fr-FR"/>
        </w:rPr>
        <w:t>DÉcision adoptÉ</w:t>
      </w:r>
      <w:r>
        <w:rPr>
          <w:rFonts w:ascii="Times New Roman Bold" w:hAnsi="Times New Roman Bold"/>
          <w:b/>
          <w:caps/>
          <w:lang w:val="fr-FR"/>
        </w:rPr>
        <w:t>e PAR LES Parties AU PROTOCOLE DE Cartagena SUR LA PRÉVENTION des risques biotechnologiques</w:t>
      </w:r>
    </w:p>
    <w:p w14:paraId="46371163" w14:textId="7993F2C1" w:rsidR="00515F4E" w:rsidRPr="00D83A63" w:rsidRDefault="00F74463" w:rsidP="007F6F32">
      <w:pPr>
        <w:shd w:val="clear" w:color="auto" w:fill="FFFFFF" w:themeFill="background1"/>
        <w:spacing w:before="240" w:after="240"/>
        <w:ind w:left="1843" w:hanging="1134"/>
        <w:jc w:val="left"/>
        <w:outlineLvl w:val="1"/>
        <w:rPr>
          <w:b/>
          <w:caps/>
          <w:shd w:val="pct15" w:color="auto" w:fill="FFFFFF"/>
          <w:lang w:val="fr-FR"/>
        </w:rPr>
      </w:pPr>
      <w:sdt>
        <w:sdtPr>
          <w:rPr>
            <w:b/>
            <w:snapToGrid w:val="0"/>
            <w:kern w:val="22"/>
            <w:szCs w:val="22"/>
            <w:lang w:val="fr-CA"/>
          </w:rPr>
          <w:alias w:val="Title"/>
          <w:tag w:val=""/>
          <w:id w:val="1866856822"/>
          <w:placeholder>
            <w:docPart w:val="EA0CB49B72C14941B5892E9C2F6C8CF8"/>
          </w:placeholder>
          <w:dataBinding w:prefixMappings="xmlns:ns0='http://purl.org/dc/elements/1.1/' xmlns:ns1='http://schemas.openxmlformats.org/package/2006/metadata/core-properties' " w:xpath="/ns1:coreProperties[1]/ns0:title[1]" w:storeItemID="{6C3C8BC8-F283-45AE-878A-BAB7291924A1}"/>
          <w:text/>
        </w:sdtPr>
        <w:sdtEndPr/>
        <w:sdtContent>
          <w:r w:rsidR="00D83A63" w:rsidRPr="00D83A63">
            <w:rPr>
              <w:b/>
              <w:snapToGrid w:val="0"/>
              <w:kern w:val="22"/>
              <w:szCs w:val="22"/>
              <w:lang w:val="fr-CA"/>
            </w:rPr>
            <w:t>CP-10/5.</w:t>
          </w:r>
          <w:r w:rsidR="00D83A63" w:rsidRPr="00D83A63">
            <w:rPr>
              <w:b/>
              <w:snapToGrid w:val="0"/>
              <w:kern w:val="22"/>
              <w:szCs w:val="22"/>
              <w:lang w:val="fr-CA"/>
            </w:rPr>
            <w:tab/>
            <w:t>Fonctionnement et activités du Centre d’échange pour la prévention des risque</w:t>
          </w:r>
          <w:r w:rsidR="00D83A63">
            <w:rPr>
              <w:b/>
              <w:snapToGrid w:val="0"/>
              <w:kern w:val="22"/>
              <w:szCs w:val="22"/>
              <w:lang w:val="fr-CA"/>
            </w:rPr>
            <w:t>s biotechnologiques (article 20</w:t>
          </w:r>
          <w:r w:rsidR="00D83A63" w:rsidRPr="00D83A63">
            <w:rPr>
              <w:b/>
              <w:snapToGrid w:val="0"/>
              <w:kern w:val="22"/>
              <w:szCs w:val="22"/>
              <w:lang w:val="fr-CA"/>
            </w:rPr>
            <w:t>)</w:t>
          </w:r>
        </w:sdtContent>
      </w:sdt>
      <w:r w:rsidR="00515F4E" w:rsidRPr="00D83A63">
        <w:rPr>
          <w:b/>
          <w:caps/>
          <w:shd w:val="pct15" w:color="auto" w:fill="FFFFFF"/>
          <w:lang w:val="fr-FR"/>
        </w:rPr>
        <w:t xml:space="preserve"> </w:t>
      </w:r>
    </w:p>
    <w:p w14:paraId="57114D87" w14:textId="77777777" w:rsidR="00D83A63" w:rsidRPr="00AE7119" w:rsidRDefault="00D83A63" w:rsidP="00D83A63">
      <w:pPr>
        <w:pStyle w:val="Para1"/>
        <w:numPr>
          <w:ilvl w:val="0"/>
          <w:numId w:val="0"/>
        </w:numPr>
        <w:shd w:val="clear" w:color="auto" w:fill="FFFFFF" w:themeFill="background1"/>
        <w:ind w:firstLine="720"/>
        <w:rPr>
          <w:i/>
          <w:iCs/>
          <w:szCs w:val="22"/>
          <w:lang w:val="fr-CA"/>
        </w:rPr>
      </w:pPr>
      <w:r w:rsidRPr="00AE7119">
        <w:rPr>
          <w:rStyle w:val="None"/>
          <w:i/>
          <w:iCs/>
          <w:szCs w:val="22"/>
          <w:lang w:val="fr-CA"/>
        </w:rPr>
        <w:t>La Conférence des Parties siégeant en tant que réunion des Parties au Protocole de Cartagena sur la prévention des risques biotechnologiques</w:t>
      </w:r>
      <w:r w:rsidRPr="00AE7119">
        <w:rPr>
          <w:i/>
          <w:iCs/>
          <w:szCs w:val="22"/>
          <w:lang w:val="fr-CA"/>
        </w:rPr>
        <w:t>,</w:t>
      </w:r>
    </w:p>
    <w:p w14:paraId="4DD80723" w14:textId="190A639A" w:rsidR="00D83A63" w:rsidRPr="00AE7119" w:rsidRDefault="00D83A63" w:rsidP="00D83A63">
      <w:pPr>
        <w:pStyle w:val="Para1"/>
        <w:numPr>
          <w:ilvl w:val="0"/>
          <w:numId w:val="0"/>
        </w:numPr>
        <w:shd w:val="clear" w:color="auto" w:fill="FFFFFF" w:themeFill="background1"/>
        <w:ind w:firstLine="720"/>
        <w:rPr>
          <w:i/>
          <w:iCs/>
          <w:snapToGrid/>
          <w:szCs w:val="22"/>
          <w:lang w:val="fr-CA"/>
        </w:rPr>
      </w:pPr>
      <w:r w:rsidRPr="00AE7119">
        <w:rPr>
          <w:rStyle w:val="None"/>
          <w:i/>
          <w:iCs/>
          <w:szCs w:val="22"/>
          <w:lang w:val="fr-CA"/>
        </w:rPr>
        <w:t xml:space="preserve">Réaffirmant </w:t>
      </w:r>
      <w:r w:rsidRPr="00AE7119">
        <w:rPr>
          <w:rStyle w:val="None"/>
          <w:szCs w:val="22"/>
          <w:lang w:val="fr-CA"/>
        </w:rPr>
        <w:t xml:space="preserve">le </w:t>
      </w:r>
      <w:r w:rsidRPr="00AE7119">
        <w:rPr>
          <w:rStyle w:val="None"/>
          <w:iCs/>
          <w:szCs w:val="22"/>
          <w:lang w:val="fr-CA"/>
        </w:rPr>
        <w:t>rôle clé du Centre d</w:t>
      </w:r>
      <w:r>
        <w:rPr>
          <w:rStyle w:val="None"/>
          <w:iCs/>
          <w:szCs w:val="22"/>
          <w:lang w:val="fr-CA"/>
        </w:rPr>
        <w:t>’</w:t>
      </w:r>
      <w:r w:rsidRPr="00AE7119">
        <w:rPr>
          <w:rStyle w:val="None"/>
          <w:iCs/>
          <w:szCs w:val="22"/>
          <w:lang w:val="fr-CA"/>
        </w:rPr>
        <w:t>échange pour la prévention des risques biotechnologiques en tant que mécanisme d</w:t>
      </w:r>
      <w:r>
        <w:rPr>
          <w:rStyle w:val="None"/>
          <w:iCs/>
          <w:szCs w:val="22"/>
          <w:lang w:val="fr-CA"/>
        </w:rPr>
        <w:t>’</w:t>
      </w:r>
      <w:r w:rsidRPr="00AE7119">
        <w:rPr>
          <w:rStyle w:val="None"/>
          <w:iCs/>
          <w:szCs w:val="22"/>
          <w:lang w:val="fr-CA"/>
        </w:rPr>
        <w:t>échange d</w:t>
      </w:r>
      <w:r>
        <w:rPr>
          <w:rStyle w:val="None"/>
          <w:iCs/>
          <w:szCs w:val="22"/>
          <w:lang w:val="fr-CA"/>
        </w:rPr>
        <w:t>’</w:t>
      </w:r>
      <w:r w:rsidRPr="00AE7119">
        <w:rPr>
          <w:rStyle w:val="None"/>
          <w:iCs/>
          <w:szCs w:val="22"/>
          <w:lang w:val="fr-CA"/>
        </w:rPr>
        <w:t>informations facilitant la mise en œuvre du Protocole de Cartagena sur la prévention des risques biotechnologiques et des actions de renforcement des capacités</w:t>
      </w:r>
      <w:r w:rsidR="007F6F32" w:rsidRPr="007F6F32">
        <w:rPr>
          <w:rStyle w:val="None"/>
          <w:iCs/>
          <w:szCs w:val="22"/>
          <w:lang w:val="fr-CA"/>
        </w:rPr>
        <w:t xml:space="preserve"> </w:t>
      </w:r>
      <w:r w:rsidR="007F6F32" w:rsidRPr="00AE7119">
        <w:rPr>
          <w:rStyle w:val="None"/>
          <w:iCs/>
          <w:szCs w:val="22"/>
          <w:lang w:val="fr-CA"/>
        </w:rPr>
        <w:t>connexes</w:t>
      </w:r>
      <w:r w:rsidR="007F6F32">
        <w:rPr>
          <w:rStyle w:val="None"/>
          <w:iCs/>
          <w:szCs w:val="22"/>
          <w:lang w:val="fr-CA"/>
        </w:rPr>
        <w:t>, et notant la pertinence cro</w:t>
      </w:r>
      <w:r w:rsidR="003214A0">
        <w:rPr>
          <w:rStyle w:val="None"/>
          <w:iCs/>
          <w:szCs w:val="22"/>
          <w:lang w:val="fr-CA"/>
        </w:rPr>
        <w:t xml:space="preserve">issante </w:t>
      </w:r>
      <w:bookmarkStart w:id="0" w:name="_GoBack"/>
      <w:bookmarkEnd w:id="0"/>
      <w:r w:rsidR="003214A0">
        <w:rPr>
          <w:rStyle w:val="None"/>
          <w:iCs/>
          <w:szCs w:val="22"/>
          <w:lang w:val="fr-CA"/>
        </w:rPr>
        <w:t xml:space="preserve">du Centre </w:t>
      </w:r>
      <w:r w:rsidRPr="00AE7119">
        <w:rPr>
          <w:rStyle w:val="None"/>
          <w:iCs/>
          <w:szCs w:val="22"/>
          <w:lang w:val="fr-CA"/>
        </w:rPr>
        <w:t>d</w:t>
      </w:r>
      <w:r>
        <w:rPr>
          <w:rStyle w:val="None"/>
          <w:iCs/>
          <w:szCs w:val="22"/>
          <w:lang w:val="fr-CA"/>
        </w:rPr>
        <w:t>’</w:t>
      </w:r>
      <w:r w:rsidRPr="00AE7119">
        <w:rPr>
          <w:rStyle w:val="None"/>
          <w:iCs/>
          <w:szCs w:val="22"/>
          <w:lang w:val="fr-CA"/>
        </w:rPr>
        <w:t>échange pour la prévention des risques biotechnologiques pour les forums en ligne</w:t>
      </w:r>
      <w:r w:rsidRPr="00AE7119">
        <w:rPr>
          <w:szCs w:val="22"/>
          <w:lang w:val="fr-CA"/>
        </w:rPr>
        <w:t>,</w:t>
      </w:r>
    </w:p>
    <w:p w14:paraId="7396B469" w14:textId="30122292" w:rsidR="00D83A63" w:rsidRPr="00AE7119" w:rsidRDefault="00D83A63" w:rsidP="00D83A63">
      <w:pPr>
        <w:shd w:val="clear" w:color="auto" w:fill="FFFFFF" w:themeFill="background1"/>
        <w:snapToGrid w:val="0"/>
        <w:spacing w:before="120" w:after="120"/>
        <w:ind w:firstLine="720"/>
        <w:rPr>
          <w:snapToGrid w:val="0"/>
          <w:szCs w:val="22"/>
          <w:lang w:val="fr-CA"/>
        </w:rPr>
      </w:pPr>
      <w:r w:rsidRPr="00AE7119">
        <w:rPr>
          <w:snapToGrid w:val="0"/>
          <w:color w:val="000000" w:themeColor="text1"/>
          <w:szCs w:val="22"/>
          <w:lang w:val="fr-CA"/>
        </w:rPr>
        <w:t>1.</w:t>
      </w:r>
      <w:r w:rsidRPr="00AE7119">
        <w:rPr>
          <w:snapToGrid w:val="0"/>
          <w:color w:val="000000" w:themeColor="text1"/>
          <w:szCs w:val="22"/>
          <w:lang w:val="fr-CA"/>
        </w:rPr>
        <w:tab/>
      </w:r>
      <w:r w:rsidRPr="00A87C55">
        <w:rPr>
          <w:rStyle w:val="None"/>
          <w:i/>
          <w:iCs/>
          <w:szCs w:val="22"/>
          <w:lang w:val="fr-CA"/>
        </w:rPr>
        <w:t xml:space="preserve">Se réjouit </w:t>
      </w:r>
      <w:r w:rsidRPr="00A87C55">
        <w:rPr>
          <w:rStyle w:val="None"/>
          <w:iCs/>
          <w:szCs w:val="22"/>
          <w:lang w:val="fr-CA"/>
        </w:rPr>
        <w:t>du transfert du portail central du Centre d</w:t>
      </w:r>
      <w:r>
        <w:rPr>
          <w:rStyle w:val="None"/>
          <w:iCs/>
          <w:szCs w:val="22"/>
          <w:lang w:val="fr-CA"/>
        </w:rPr>
        <w:t>’</w:t>
      </w:r>
      <w:r w:rsidRPr="00A87C55">
        <w:rPr>
          <w:rStyle w:val="None"/>
          <w:iCs/>
          <w:szCs w:val="22"/>
          <w:lang w:val="fr-CA"/>
        </w:rPr>
        <w:t>échange pour la prévention des r</w:t>
      </w:r>
      <w:r w:rsidR="003214A0">
        <w:rPr>
          <w:rStyle w:val="None"/>
          <w:iCs/>
          <w:szCs w:val="22"/>
          <w:lang w:val="fr-CA"/>
        </w:rPr>
        <w:t>isques biotechnologiques vers sa</w:t>
      </w:r>
      <w:r w:rsidRPr="00A87C55">
        <w:rPr>
          <w:rStyle w:val="None"/>
          <w:iCs/>
          <w:szCs w:val="22"/>
          <w:lang w:val="fr-CA"/>
        </w:rPr>
        <w:t xml:space="preserve"> nouvelle plateforme et des améli</w:t>
      </w:r>
      <w:r w:rsidR="007F6F32">
        <w:rPr>
          <w:rStyle w:val="None"/>
          <w:iCs/>
          <w:szCs w:val="22"/>
          <w:lang w:val="fr-CA"/>
        </w:rPr>
        <w:t xml:space="preserve">orations apportées dans le cadre des </w:t>
      </w:r>
      <w:r w:rsidRPr="00A87C55">
        <w:rPr>
          <w:rStyle w:val="None"/>
          <w:iCs/>
          <w:szCs w:val="22"/>
          <w:lang w:val="fr-CA"/>
        </w:rPr>
        <w:t>modalités de fonctionn</w:t>
      </w:r>
      <w:r w:rsidR="007F6F32">
        <w:rPr>
          <w:rStyle w:val="None"/>
          <w:iCs/>
          <w:szCs w:val="22"/>
          <w:lang w:val="fr-CA"/>
        </w:rPr>
        <w:t>ement conjointes du</w:t>
      </w:r>
      <w:r w:rsidRPr="00A87C55">
        <w:rPr>
          <w:rStyle w:val="None"/>
          <w:iCs/>
          <w:szCs w:val="22"/>
          <w:lang w:val="fr-CA"/>
        </w:rPr>
        <w:t xml:space="preserve"> Centre d</w:t>
      </w:r>
      <w:r>
        <w:rPr>
          <w:rStyle w:val="None"/>
          <w:iCs/>
          <w:szCs w:val="22"/>
          <w:lang w:val="fr-CA"/>
        </w:rPr>
        <w:t>’</w:t>
      </w:r>
      <w:r w:rsidRPr="00A87C55">
        <w:rPr>
          <w:rStyle w:val="None"/>
          <w:iCs/>
          <w:szCs w:val="22"/>
          <w:lang w:val="fr-CA"/>
        </w:rPr>
        <w:t>échange de la Convention, du Centre d</w:t>
      </w:r>
      <w:r>
        <w:rPr>
          <w:rStyle w:val="None"/>
          <w:iCs/>
          <w:szCs w:val="22"/>
          <w:lang w:val="fr-CA"/>
        </w:rPr>
        <w:t>’</w:t>
      </w:r>
      <w:r w:rsidRPr="00A87C55">
        <w:rPr>
          <w:rStyle w:val="None"/>
          <w:iCs/>
          <w:szCs w:val="22"/>
          <w:lang w:val="fr-CA"/>
        </w:rPr>
        <w:t>échange pour la prévention des risques biotechnologiques et du Centre d</w:t>
      </w:r>
      <w:r>
        <w:rPr>
          <w:rStyle w:val="None"/>
          <w:iCs/>
          <w:szCs w:val="22"/>
          <w:lang w:val="fr-CA"/>
        </w:rPr>
        <w:t>’</w:t>
      </w:r>
      <w:r w:rsidRPr="00A87C55">
        <w:rPr>
          <w:rStyle w:val="None"/>
          <w:iCs/>
          <w:szCs w:val="22"/>
          <w:lang w:val="fr-CA"/>
        </w:rPr>
        <w:t>échange sur l</w:t>
      </w:r>
      <w:r>
        <w:rPr>
          <w:rStyle w:val="None"/>
          <w:iCs/>
          <w:szCs w:val="22"/>
          <w:lang w:val="fr-CA"/>
        </w:rPr>
        <w:t>’</w:t>
      </w:r>
      <w:r w:rsidRPr="00A87C55">
        <w:rPr>
          <w:rStyle w:val="None"/>
          <w:iCs/>
          <w:szCs w:val="22"/>
          <w:lang w:val="fr-CA"/>
        </w:rPr>
        <w:t xml:space="preserve">accès et </w:t>
      </w:r>
      <w:r w:rsidR="007F6F32">
        <w:rPr>
          <w:rStyle w:val="None"/>
          <w:iCs/>
          <w:szCs w:val="22"/>
          <w:lang w:val="fr-CA"/>
        </w:rPr>
        <w:t>le partage des avantages, approuvé</w:t>
      </w:r>
      <w:r w:rsidRPr="00A87C55">
        <w:rPr>
          <w:rStyle w:val="None"/>
          <w:iCs/>
          <w:szCs w:val="22"/>
          <w:lang w:val="fr-CA"/>
        </w:rPr>
        <w:t>s dans la décision COP</w:t>
      </w:r>
      <w:r>
        <w:rPr>
          <w:rStyle w:val="None"/>
          <w:iCs/>
          <w:szCs w:val="22"/>
          <w:lang w:val="fr-CA"/>
        </w:rPr>
        <w:noBreakHyphen/>
      </w:r>
      <w:r w:rsidRPr="00A87C55">
        <w:rPr>
          <w:rStyle w:val="None"/>
          <w:iCs/>
          <w:szCs w:val="22"/>
          <w:lang w:val="fr-CA"/>
        </w:rPr>
        <w:t>9/2</w:t>
      </w:r>
      <w:r w:rsidRPr="00AE7119">
        <w:rPr>
          <w:snapToGrid w:val="0"/>
          <w:szCs w:val="22"/>
          <w:lang w:val="fr-CA"/>
        </w:rPr>
        <w:t xml:space="preserve">; </w:t>
      </w:r>
    </w:p>
    <w:p w14:paraId="77941328" w14:textId="6B870266" w:rsidR="00D83A63" w:rsidRPr="00AE7119" w:rsidDel="00EF45A3" w:rsidRDefault="00D83A63" w:rsidP="000E33F3">
      <w:pPr>
        <w:shd w:val="clear" w:color="auto" w:fill="FFFFFF" w:themeFill="background1"/>
        <w:snapToGrid w:val="0"/>
        <w:spacing w:before="120" w:after="120"/>
        <w:ind w:firstLine="720"/>
        <w:rPr>
          <w:snapToGrid w:val="0"/>
          <w:szCs w:val="22"/>
          <w:lang w:val="fr-CA"/>
        </w:rPr>
      </w:pPr>
      <w:r w:rsidRPr="00AE7119">
        <w:rPr>
          <w:snapToGrid w:val="0"/>
          <w:color w:val="000000" w:themeColor="text1"/>
          <w:szCs w:val="22"/>
          <w:lang w:val="fr-CA"/>
        </w:rPr>
        <w:t>2.</w:t>
      </w:r>
      <w:r w:rsidRPr="00AE7119">
        <w:rPr>
          <w:snapToGrid w:val="0"/>
          <w:color w:val="000000" w:themeColor="text1"/>
          <w:szCs w:val="22"/>
          <w:lang w:val="fr-CA"/>
        </w:rPr>
        <w:tab/>
      </w:r>
      <w:r w:rsidRPr="00A87C55">
        <w:rPr>
          <w:rStyle w:val="None"/>
          <w:i/>
          <w:iCs/>
          <w:szCs w:val="22"/>
          <w:lang w:val="fr-CA"/>
        </w:rPr>
        <w:t xml:space="preserve">Invite </w:t>
      </w:r>
      <w:r w:rsidRPr="00A87C55">
        <w:rPr>
          <w:rStyle w:val="None"/>
          <w:iCs/>
          <w:szCs w:val="22"/>
          <w:lang w:val="fr-CA"/>
        </w:rPr>
        <w:t>les Parties et les autres gouvernements à publier l</w:t>
      </w:r>
      <w:r w:rsidR="00542FC3">
        <w:rPr>
          <w:rStyle w:val="None"/>
          <w:iCs/>
          <w:szCs w:val="22"/>
          <w:lang w:val="fr-CA"/>
        </w:rPr>
        <w:t xml:space="preserve">es </w:t>
      </w:r>
      <w:r w:rsidRPr="00A87C55">
        <w:rPr>
          <w:rStyle w:val="None"/>
          <w:iCs/>
          <w:szCs w:val="22"/>
          <w:lang w:val="fr-CA"/>
        </w:rPr>
        <w:t>information</w:t>
      </w:r>
      <w:r w:rsidR="00542FC3">
        <w:rPr>
          <w:rStyle w:val="None"/>
          <w:iCs/>
          <w:szCs w:val="22"/>
          <w:lang w:val="fr-CA"/>
        </w:rPr>
        <w:t>s disponibles au</w:t>
      </w:r>
      <w:r w:rsidRPr="00A87C55">
        <w:rPr>
          <w:rStyle w:val="None"/>
          <w:iCs/>
          <w:szCs w:val="22"/>
          <w:lang w:val="fr-CA"/>
        </w:rPr>
        <w:t xml:space="preserve"> niveau national dans le Centre d</w:t>
      </w:r>
      <w:r>
        <w:rPr>
          <w:rStyle w:val="None"/>
          <w:iCs/>
          <w:szCs w:val="22"/>
          <w:lang w:val="fr-CA"/>
        </w:rPr>
        <w:t>’</w:t>
      </w:r>
      <w:r w:rsidRPr="00A87C55">
        <w:rPr>
          <w:rStyle w:val="None"/>
          <w:iCs/>
          <w:szCs w:val="22"/>
          <w:lang w:val="fr-CA"/>
        </w:rPr>
        <w:t>échange pour la prévention des risques bi</w:t>
      </w:r>
      <w:r w:rsidR="00542FC3">
        <w:rPr>
          <w:rStyle w:val="None"/>
          <w:iCs/>
          <w:szCs w:val="22"/>
          <w:lang w:val="fr-CA"/>
        </w:rPr>
        <w:t>otechnologiques</w:t>
      </w:r>
      <w:r w:rsidR="007F6F32">
        <w:rPr>
          <w:rStyle w:val="None"/>
          <w:iCs/>
          <w:szCs w:val="22"/>
          <w:lang w:val="fr-CA"/>
        </w:rPr>
        <w:t>,</w:t>
      </w:r>
      <w:r w:rsidR="00542FC3">
        <w:rPr>
          <w:rStyle w:val="None"/>
          <w:iCs/>
          <w:szCs w:val="22"/>
          <w:lang w:val="fr-CA"/>
        </w:rPr>
        <w:t xml:space="preserve"> conformément à </w:t>
      </w:r>
      <w:r w:rsidRPr="00A87C55">
        <w:rPr>
          <w:rStyle w:val="None"/>
          <w:iCs/>
          <w:szCs w:val="22"/>
          <w:lang w:val="fr-CA"/>
        </w:rPr>
        <w:t>leurs obligations au titre du Protocole</w:t>
      </w:r>
      <w:r w:rsidRPr="00AE7119">
        <w:rPr>
          <w:snapToGrid w:val="0"/>
          <w:szCs w:val="22"/>
          <w:lang w:val="fr-CA"/>
        </w:rPr>
        <w:t>;</w:t>
      </w:r>
      <w:r w:rsidRPr="00AE7119" w:rsidDel="00EF45A3">
        <w:rPr>
          <w:snapToGrid w:val="0"/>
          <w:szCs w:val="22"/>
          <w:lang w:val="fr-CA"/>
        </w:rPr>
        <w:t xml:space="preserve"> </w:t>
      </w:r>
    </w:p>
    <w:p w14:paraId="06AFDED8" w14:textId="4DC3BECA" w:rsidR="00D83A63" w:rsidRPr="00AE7119" w:rsidDel="00EF45A3" w:rsidRDefault="00D83A63" w:rsidP="000E33F3">
      <w:pPr>
        <w:shd w:val="clear" w:color="auto" w:fill="FFFFFF" w:themeFill="background1"/>
        <w:snapToGrid w:val="0"/>
        <w:spacing w:before="120" w:after="120"/>
        <w:ind w:firstLine="720"/>
        <w:rPr>
          <w:snapToGrid w:val="0"/>
          <w:szCs w:val="22"/>
          <w:lang w:val="fr-CA"/>
        </w:rPr>
      </w:pPr>
      <w:r w:rsidRPr="00AE7119">
        <w:rPr>
          <w:snapToGrid w:val="0"/>
          <w:color w:val="000000" w:themeColor="text1"/>
          <w:szCs w:val="22"/>
          <w:lang w:val="fr-CA"/>
        </w:rPr>
        <w:t>3.</w:t>
      </w:r>
      <w:r w:rsidRPr="00AE7119">
        <w:rPr>
          <w:snapToGrid w:val="0"/>
          <w:color w:val="000000" w:themeColor="text1"/>
          <w:szCs w:val="22"/>
          <w:lang w:val="fr-CA"/>
        </w:rPr>
        <w:tab/>
      </w:r>
      <w:r w:rsidRPr="00A87C55">
        <w:rPr>
          <w:rStyle w:val="None"/>
          <w:i/>
          <w:iCs/>
          <w:szCs w:val="22"/>
          <w:lang w:val="fr-CA"/>
        </w:rPr>
        <w:t xml:space="preserve">Invite </w:t>
      </w:r>
      <w:r w:rsidRPr="00A87C55">
        <w:rPr>
          <w:rStyle w:val="None"/>
          <w:iCs/>
          <w:szCs w:val="22"/>
          <w:lang w:val="fr-CA"/>
        </w:rPr>
        <w:t>les Parties, les autres gouvernements et les organisations co</w:t>
      </w:r>
      <w:r w:rsidR="00542FC3">
        <w:rPr>
          <w:rStyle w:val="None"/>
          <w:iCs/>
          <w:szCs w:val="22"/>
          <w:lang w:val="fr-CA"/>
        </w:rPr>
        <w:t>mpétentes à examiner les donnée</w:t>
      </w:r>
      <w:r w:rsidRPr="00A87C55">
        <w:rPr>
          <w:rStyle w:val="None"/>
          <w:iCs/>
          <w:szCs w:val="22"/>
          <w:lang w:val="fr-CA"/>
        </w:rPr>
        <w:t>s qu</w:t>
      </w:r>
      <w:r>
        <w:rPr>
          <w:rStyle w:val="None"/>
          <w:iCs/>
          <w:szCs w:val="22"/>
          <w:lang w:val="fr-CA"/>
        </w:rPr>
        <w:t>’</w:t>
      </w:r>
      <w:r w:rsidRPr="00A87C55">
        <w:rPr>
          <w:rStyle w:val="None"/>
          <w:iCs/>
          <w:szCs w:val="22"/>
          <w:lang w:val="fr-CA"/>
        </w:rPr>
        <w:t>ils ont déjà publiés dans le Centre d</w:t>
      </w:r>
      <w:r>
        <w:rPr>
          <w:rStyle w:val="None"/>
          <w:iCs/>
          <w:szCs w:val="22"/>
          <w:lang w:val="fr-CA"/>
        </w:rPr>
        <w:t>’</w:t>
      </w:r>
      <w:r w:rsidRPr="00A87C55">
        <w:rPr>
          <w:rStyle w:val="None"/>
          <w:iCs/>
          <w:szCs w:val="22"/>
          <w:lang w:val="fr-CA"/>
        </w:rPr>
        <w:t>échange pour la prévention des risques biotechnologiques, afin d</w:t>
      </w:r>
      <w:r>
        <w:rPr>
          <w:rStyle w:val="None"/>
          <w:iCs/>
          <w:szCs w:val="22"/>
          <w:lang w:val="fr-CA"/>
        </w:rPr>
        <w:t>’</w:t>
      </w:r>
      <w:r w:rsidRPr="00A87C55">
        <w:rPr>
          <w:rStyle w:val="None"/>
          <w:iCs/>
          <w:szCs w:val="22"/>
          <w:lang w:val="fr-CA"/>
        </w:rPr>
        <w:t>en vérifier l</w:t>
      </w:r>
      <w:r>
        <w:rPr>
          <w:rStyle w:val="None"/>
          <w:iCs/>
          <w:szCs w:val="22"/>
          <w:lang w:val="fr-CA"/>
        </w:rPr>
        <w:t>’</w:t>
      </w:r>
      <w:r w:rsidRPr="00A87C55">
        <w:rPr>
          <w:rStyle w:val="None"/>
          <w:iCs/>
          <w:szCs w:val="22"/>
          <w:lang w:val="fr-CA"/>
        </w:rPr>
        <w:t>exactitude sur la nouvelle plateforme et d</w:t>
      </w:r>
      <w:r>
        <w:rPr>
          <w:rStyle w:val="None"/>
          <w:iCs/>
          <w:szCs w:val="22"/>
          <w:lang w:val="fr-CA"/>
        </w:rPr>
        <w:t>’</w:t>
      </w:r>
      <w:r w:rsidRPr="00A87C55">
        <w:rPr>
          <w:rStyle w:val="None"/>
          <w:iCs/>
          <w:szCs w:val="22"/>
          <w:lang w:val="fr-CA"/>
        </w:rPr>
        <w:t>y apporter les révisions ou les mises à jour nécessaires</w:t>
      </w:r>
      <w:r w:rsidR="007F6F32" w:rsidRPr="007F6F32">
        <w:rPr>
          <w:rStyle w:val="None"/>
          <w:iCs/>
          <w:szCs w:val="22"/>
          <w:lang w:val="fr-CA"/>
        </w:rPr>
        <w:t xml:space="preserve"> </w:t>
      </w:r>
      <w:r w:rsidR="007F6F32">
        <w:rPr>
          <w:rStyle w:val="None"/>
          <w:iCs/>
          <w:szCs w:val="22"/>
          <w:lang w:val="fr-CA"/>
        </w:rPr>
        <w:t>en temps voulu</w:t>
      </w:r>
      <w:r w:rsidRPr="00AE7119">
        <w:rPr>
          <w:snapToGrid w:val="0"/>
          <w:szCs w:val="22"/>
          <w:lang w:val="fr-CA"/>
        </w:rPr>
        <w:t>;</w:t>
      </w:r>
    </w:p>
    <w:p w14:paraId="2404BAF2" w14:textId="70163361" w:rsidR="00D83A63" w:rsidRPr="00AE7119" w:rsidRDefault="00D83A63" w:rsidP="000E33F3">
      <w:pPr>
        <w:ind w:firstLine="720"/>
        <w:rPr>
          <w:sz w:val="24"/>
          <w:lang w:val="fr-CA" w:eastAsia="zh-CN"/>
        </w:rPr>
      </w:pPr>
      <w:r w:rsidRPr="00AE7119">
        <w:rPr>
          <w:snapToGrid w:val="0"/>
          <w:color w:val="000000" w:themeColor="text1"/>
          <w:szCs w:val="22"/>
          <w:lang w:val="fr-CA"/>
        </w:rPr>
        <w:t>4.</w:t>
      </w:r>
      <w:r w:rsidRPr="00AE7119">
        <w:rPr>
          <w:snapToGrid w:val="0"/>
          <w:color w:val="000000" w:themeColor="text1"/>
          <w:szCs w:val="22"/>
          <w:lang w:val="fr-CA"/>
        </w:rPr>
        <w:tab/>
      </w:r>
      <w:r w:rsidRPr="00A87C55">
        <w:rPr>
          <w:i/>
          <w:iCs/>
          <w:szCs w:val="22"/>
          <w:lang w:val="fr-CA"/>
        </w:rPr>
        <w:t xml:space="preserve">Prend note </w:t>
      </w:r>
      <w:r w:rsidR="00542FC3">
        <w:rPr>
          <w:iCs/>
          <w:szCs w:val="22"/>
          <w:lang w:val="fr-CA"/>
        </w:rPr>
        <w:t xml:space="preserve">du but A.2 et des activités </w:t>
      </w:r>
      <w:r w:rsidRPr="00A87C55">
        <w:rPr>
          <w:iCs/>
          <w:szCs w:val="22"/>
          <w:lang w:val="fr-CA"/>
        </w:rPr>
        <w:t xml:space="preserve">de renforcement des capacités </w:t>
      </w:r>
      <w:r w:rsidR="007F6F32">
        <w:rPr>
          <w:iCs/>
          <w:szCs w:val="22"/>
          <w:lang w:val="fr-CA"/>
        </w:rPr>
        <w:t>connexes indiqué</w:t>
      </w:r>
      <w:r w:rsidR="00542FC3">
        <w:rPr>
          <w:iCs/>
          <w:szCs w:val="22"/>
          <w:lang w:val="fr-CA"/>
        </w:rPr>
        <w:t>s dans le Plan de mise en œuvre du</w:t>
      </w:r>
      <w:r w:rsidR="00542FC3" w:rsidRPr="00A87C55">
        <w:rPr>
          <w:iCs/>
          <w:szCs w:val="22"/>
          <w:lang w:val="fr-CA"/>
        </w:rPr>
        <w:t xml:space="preserve"> Protocole de Cartagena sur la prévention des risques biotechnologiques</w:t>
      </w:r>
      <w:r w:rsidR="000E33F3">
        <w:rPr>
          <w:rStyle w:val="FootnoteReference"/>
          <w:iCs/>
          <w:szCs w:val="22"/>
          <w:lang w:val="fr-CA"/>
        </w:rPr>
        <w:footnoteReference w:id="1"/>
      </w:r>
      <w:r w:rsidR="00542FC3">
        <w:rPr>
          <w:iCs/>
          <w:szCs w:val="22"/>
          <w:lang w:val="fr-CA"/>
        </w:rPr>
        <w:t xml:space="preserve"> et le P</w:t>
      </w:r>
      <w:r w:rsidRPr="00A87C55">
        <w:rPr>
          <w:iCs/>
          <w:szCs w:val="22"/>
          <w:lang w:val="fr-CA"/>
        </w:rPr>
        <w:t>lan d</w:t>
      </w:r>
      <w:r>
        <w:rPr>
          <w:iCs/>
          <w:szCs w:val="22"/>
          <w:lang w:val="fr-CA"/>
        </w:rPr>
        <w:t>’</w:t>
      </w:r>
      <w:r w:rsidRPr="00A87C55">
        <w:rPr>
          <w:iCs/>
          <w:szCs w:val="22"/>
          <w:lang w:val="fr-CA"/>
        </w:rPr>
        <w:t>action pour le re</w:t>
      </w:r>
      <w:r w:rsidR="00542FC3">
        <w:rPr>
          <w:iCs/>
          <w:szCs w:val="22"/>
          <w:lang w:val="fr-CA"/>
        </w:rPr>
        <w:t>nforcement des capacités du</w:t>
      </w:r>
      <w:r w:rsidRPr="00A87C55">
        <w:rPr>
          <w:iCs/>
          <w:szCs w:val="22"/>
          <w:lang w:val="fr-CA"/>
        </w:rPr>
        <w:t xml:space="preserve"> Protocole de Cartagena sur la prévention des</w:t>
      </w:r>
      <w:r w:rsidR="000E33F3">
        <w:rPr>
          <w:iCs/>
          <w:szCs w:val="22"/>
          <w:lang w:val="fr-CA"/>
        </w:rPr>
        <w:t xml:space="preserve"> </w:t>
      </w:r>
      <w:r w:rsidRPr="00A87C55">
        <w:rPr>
          <w:iCs/>
          <w:szCs w:val="22"/>
          <w:lang w:val="fr-CA"/>
        </w:rPr>
        <w:lastRenderedPageBreak/>
        <w:t>risques biotechnologiques</w:t>
      </w:r>
      <w:r w:rsidR="000E33F3">
        <w:rPr>
          <w:rStyle w:val="FootnoteReference"/>
          <w:iCs/>
          <w:szCs w:val="22"/>
          <w:lang w:val="fr-CA"/>
        </w:rPr>
        <w:footnoteReference w:id="2"/>
      </w:r>
      <w:r w:rsidR="000E33F3">
        <w:rPr>
          <w:iCs/>
          <w:szCs w:val="22"/>
          <w:lang w:val="fr-CA"/>
        </w:rPr>
        <w:t>,</w:t>
      </w:r>
      <w:r w:rsidRPr="00A87C55">
        <w:rPr>
          <w:szCs w:val="22"/>
          <w:lang w:val="fr-CA"/>
        </w:rPr>
        <w:t xml:space="preserve"> et invite les Parties, les autres gouvernements et le</w:t>
      </w:r>
      <w:r w:rsidR="000E33F3">
        <w:rPr>
          <w:szCs w:val="22"/>
          <w:lang w:val="fr-CA"/>
        </w:rPr>
        <w:t>s orga</w:t>
      </w:r>
      <w:r w:rsidR="007F6F32">
        <w:rPr>
          <w:szCs w:val="22"/>
          <w:lang w:val="fr-CA"/>
        </w:rPr>
        <w:t>nisations compétentes à entreprendre l</w:t>
      </w:r>
      <w:r w:rsidRPr="00A87C55">
        <w:rPr>
          <w:szCs w:val="22"/>
          <w:lang w:val="fr-CA"/>
        </w:rPr>
        <w:t>e</w:t>
      </w:r>
      <w:r w:rsidR="007F6F32">
        <w:rPr>
          <w:szCs w:val="22"/>
          <w:lang w:val="fr-CA"/>
        </w:rPr>
        <w:t>s activités connexes en vue</w:t>
      </w:r>
      <w:r w:rsidRPr="00A87C55">
        <w:rPr>
          <w:szCs w:val="22"/>
          <w:lang w:val="fr-CA"/>
        </w:rPr>
        <w:t xml:space="preserve"> de renforcer le rôle du Centre d</w:t>
      </w:r>
      <w:r>
        <w:rPr>
          <w:szCs w:val="22"/>
          <w:lang w:val="fr-CA"/>
        </w:rPr>
        <w:t>’</w:t>
      </w:r>
      <w:r w:rsidRPr="00A87C55">
        <w:rPr>
          <w:szCs w:val="22"/>
          <w:lang w:val="fr-CA"/>
        </w:rPr>
        <w:t>échange pour la prévention des risques biotechnologiques dans la mise en œuvre du Protocole de Cartagena</w:t>
      </w:r>
      <w:r w:rsidRPr="00AE7119">
        <w:rPr>
          <w:szCs w:val="22"/>
          <w:lang w:val="fr-CA"/>
        </w:rPr>
        <w:t>;</w:t>
      </w:r>
    </w:p>
    <w:p w14:paraId="64848B69" w14:textId="7D782623" w:rsidR="00D83A63" w:rsidRPr="00AE7119" w:rsidRDefault="00D83A63" w:rsidP="000E33F3">
      <w:pPr>
        <w:shd w:val="clear" w:color="auto" w:fill="FFFFFF" w:themeFill="background1"/>
        <w:snapToGrid w:val="0"/>
        <w:spacing w:before="120" w:after="120"/>
        <w:ind w:firstLine="720"/>
        <w:rPr>
          <w:szCs w:val="22"/>
          <w:lang w:val="fr-CA"/>
        </w:rPr>
      </w:pPr>
      <w:r w:rsidRPr="00AE7119">
        <w:rPr>
          <w:snapToGrid w:val="0"/>
          <w:color w:val="000000" w:themeColor="text1"/>
          <w:szCs w:val="22"/>
          <w:lang w:val="fr-CA"/>
        </w:rPr>
        <w:t>5.</w:t>
      </w:r>
      <w:r w:rsidRPr="00AE7119">
        <w:rPr>
          <w:snapToGrid w:val="0"/>
          <w:color w:val="000000" w:themeColor="text1"/>
          <w:szCs w:val="22"/>
          <w:lang w:val="fr-CA"/>
        </w:rPr>
        <w:tab/>
      </w:r>
      <w:r w:rsidRPr="00A87C55">
        <w:rPr>
          <w:rStyle w:val="None"/>
          <w:i/>
          <w:iCs/>
          <w:szCs w:val="22"/>
          <w:lang w:val="fr-CA"/>
        </w:rPr>
        <w:t xml:space="preserve">Se réjouit </w:t>
      </w:r>
      <w:r w:rsidRPr="00A87C55">
        <w:rPr>
          <w:rStyle w:val="None"/>
          <w:iCs/>
          <w:szCs w:val="22"/>
          <w:lang w:val="fr-CA"/>
        </w:rPr>
        <w:t xml:space="preserve">de la mise en œuvre réussie du projet Renforcer les capacités pour </w:t>
      </w:r>
      <w:r w:rsidR="007F6F32">
        <w:rPr>
          <w:rStyle w:val="None"/>
          <w:iCs/>
          <w:szCs w:val="22"/>
          <w:lang w:val="fr-CA"/>
        </w:rPr>
        <w:t xml:space="preserve">assurer </w:t>
      </w:r>
      <w:r w:rsidRPr="00A87C55">
        <w:rPr>
          <w:rStyle w:val="None"/>
          <w:iCs/>
          <w:szCs w:val="22"/>
          <w:lang w:val="fr-CA"/>
        </w:rPr>
        <w:t>une participation effective au Centre d</w:t>
      </w:r>
      <w:r>
        <w:rPr>
          <w:rStyle w:val="None"/>
          <w:iCs/>
          <w:szCs w:val="22"/>
          <w:lang w:val="fr-CA"/>
        </w:rPr>
        <w:t>’</w:t>
      </w:r>
      <w:r w:rsidRPr="00A87C55">
        <w:rPr>
          <w:rStyle w:val="None"/>
          <w:iCs/>
          <w:szCs w:val="22"/>
          <w:lang w:val="fr-CA"/>
        </w:rPr>
        <w:t>échange pour la prévention des risques biotechnologiques du Protocole de Cartagena (CEPRB III)</w:t>
      </w:r>
      <w:r w:rsidR="007F6F32">
        <w:rPr>
          <w:rStyle w:val="None"/>
          <w:iCs/>
          <w:szCs w:val="22"/>
          <w:lang w:val="fr-CA"/>
        </w:rPr>
        <w:t>,</w:t>
      </w:r>
      <w:r w:rsidRPr="00A87C55">
        <w:rPr>
          <w:rStyle w:val="None"/>
          <w:iCs/>
          <w:szCs w:val="22"/>
          <w:lang w:val="fr-CA"/>
        </w:rPr>
        <w:t xml:space="preserve"> et invite le Programme des Nations Unies pour l</w:t>
      </w:r>
      <w:r>
        <w:rPr>
          <w:rStyle w:val="None"/>
          <w:iCs/>
          <w:szCs w:val="22"/>
          <w:lang w:val="fr-CA"/>
        </w:rPr>
        <w:t>’</w:t>
      </w:r>
      <w:r w:rsidRPr="00A87C55">
        <w:rPr>
          <w:rStyle w:val="None"/>
          <w:iCs/>
          <w:szCs w:val="22"/>
          <w:lang w:val="fr-CA"/>
        </w:rPr>
        <w:t>environnement à développer d</w:t>
      </w:r>
      <w:r>
        <w:rPr>
          <w:rStyle w:val="None"/>
          <w:iCs/>
          <w:szCs w:val="22"/>
          <w:lang w:val="fr-CA"/>
        </w:rPr>
        <w:t>’</w:t>
      </w:r>
      <w:r w:rsidRPr="00A87C55">
        <w:rPr>
          <w:rStyle w:val="None"/>
          <w:iCs/>
          <w:szCs w:val="22"/>
          <w:lang w:val="fr-CA"/>
        </w:rPr>
        <w:t>autres projets de renforcement des capacités pour le Centre d</w:t>
      </w:r>
      <w:r>
        <w:rPr>
          <w:rStyle w:val="None"/>
          <w:iCs/>
          <w:szCs w:val="22"/>
          <w:lang w:val="fr-CA"/>
        </w:rPr>
        <w:t>’</w:t>
      </w:r>
      <w:r w:rsidRPr="00A87C55">
        <w:rPr>
          <w:rStyle w:val="None"/>
          <w:iCs/>
          <w:szCs w:val="22"/>
          <w:lang w:val="fr-CA"/>
        </w:rPr>
        <w:t>échange pour la prévention des risques biotechnologiques</w:t>
      </w:r>
      <w:r w:rsidRPr="00AE7119">
        <w:rPr>
          <w:snapToGrid w:val="0"/>
          <w:szCs w:val="22"/>
          <w:lang w:val="fr-CA"/>
        </w:rPr>
        <w:t>;</w:t>
      </w:r>
      <w:r w:rsidRPr="00AE7119">
        <w:rPr>
          <w:i/>
          <w:iCs/>
          <w:snapToGrid w:val="0"/>
          <w:szCs w:val="22"/>
          <w:lang w:val="fr-CA"/>
        </w:rPr>
        <w:t xml:space="preserve"> </w:t>
      </w:r>
    </w:p>
    <w:p w14:paraId="4BE52F82" w14:textId="3429AA92" w:rsidR="00D83A63" w:rsidRPr="00AE7119" w:rsidRDefault="00D83A63" w:rsidP="00D83A63">
      <w:pPr>
        <w:shd w:val="clear" w:color="auto" w:fill="FFFFFF" w:themeFill="background1"/>
        <w:snapToGrid w:val="0"/>
        <w:spacing w:before="120" w:after="120"/>
        <w:ind w:firstLine="720"/>
        <w:rPr>
          <w:snapToGrid w:val="0"/>
          <w:szCs w:val="22"/>
          <w:lang w:val="fr-CA"/>
        </w:rPr>
      </w:pPr>
      <w:r w:rsidRPr="00AE7119">
        <w:rPr>
          <w:snapToGrid w:val="0"/>
          <w:color w:val="000000" w:themeColor="text1"/>
          <w:szCs w:val="22"/>
          <w:lang w:val="fr-CA"/>
        </w:rPr>
        <w:t>6.</w:t>
      </w:r>
      <w:r w:rsidRPr="00AE7119">
        <w:rPr>
          <w:snapToGrid w:val="0"/>
          <w:color w:val="000000" w:themeColor="text1"/>
          <w:szCs w:val="22"/>
          <w:lang w:val="fr-CA"/>
        </w:rPr>
        <w:tab/>
      </w:r>
      <w:r w:rsidRPr="00A87C55">
        <w:rPr>
          <w:rStyle w:val="None"/>
          <w:i/>
          <w:iCs/>
          <w:szCs w:val="22"/>
          <w:lang w:val="fr-CA"/>
        </w:rPr>
        <w:t>Se réjouit</w:t>
      </w:r>
      <w:r w:rsidR="000E33F3">
        <w:rPr>
          <w:rStyle w:val="None"/>
          <w:i/>
          <w:iCs/>
          <w:szCs w:val="22"/>
          <w:lang w:val="fr-CA"/>
        </w:rPr>
        <w:t xml:space="preserve"> également</w:t>
      </w:r>
      <w:r w:rsidRPr="00A87C55">
        <w:rPr>
          <w:rStyle w:val="None"/>
          <w:i/>
          <w:iCs/>
          <w:szCs w:val="22"/>
          <w:lang w:val="fr-CA"/>
        </w:rPr>
        <w:t xml:space="preserve"> </w:t>
      </w:r>
      <w:r w:rsidRPr="00A87C55">
        <w:rPr>
          <w:rStyle w:val="None"/>
          <w:iCs/>
          <w:szCs w:val="22"/>
          <w:lang w:val="fr-CA"/>
        </w:rPr>
        <w:t>des activités de collaboratio</w:t>
      </w:r>
      <w:r w:rsidR="007F6F32">
        <w:rPr>
          <w:rStyle w:val="None"/>
          <w:iCs/>
          <w:szCs w:val="22"/>
          <w:lang w:val="fr-CA"/>
        </w:rPr>
        <w:t>n menée</w:t>
      </w:r>
      <w:r w:rsidR="000E33F3">
        <w:rPr>
          <w:rStyle w:val="None"/>
          <w:iCs/>
          <w:szCs w:val="22"/>
          <w:lang w:val="fr-CA"/>
        </w:rPr>
        <w:t>s entre l</w:t>
      </w:r>
      <w:r w:rsidRPr="00A87C55">
        <w:rPr>
          <w:rStyle w:val="None"/>
          <w:iCs/>
          <w:szCs w:val="22"/>
          <w:lang w:val="fr-CA"/>
        </w:rPr>
        <w:t>es bases de données</w:t>
      </w:r>
      <w:r w:rsidR="000E33F3">
        <w:rPr>
          <w:rStyle w:val="None"/>
          <w:iCs/>
          <w:szCs w:val="22"/>
          <w:lang w:val="fr-CA"/>
        </w:rPr>
        <w:t xml:space="preserve"> sur la prévention des risques biotechnologiques</w:t>
      </w:r>
      <w:r w:rsidRPr="00A87C55">
        <w:rPr>
          <w:rStyle w:val="None"/>
          <w:iCs/>
          <w:szCs w:val="22"/>
          <w:lang w:val="fr-CA"/>
        </w:rPr>
        <w:t xml:space="preserve"> de l</w:t>
      </w:r>
      <w:r>
        <w:rPr>
          <w:rStyle w:val="None"/>
          <w:iCs/>
          <w:szCs w:val="22"/>
          <w:lang w:val="fr-CA"/>
        </w:rPr>
        <w:t>’</w:t>
      </w:r>
      <w:r w:rsidRPr="00A87C55">
        <w:rPr>
          <w:rStyle w:val="None"/>
          <w:iCs/>
          <w:szCs w:val="22"/>
          <w:lang w:val="fr-CA"/>
        </w:rPr>
        <w:t>Organisation des Nations Unies pour l</w:t>
      </w:r>
      <w:r>
        <w:rPr>
          <w:rStyle w:val="None"/>
          <w:iCs/>
          <w:szCs w:val="22"/>
          <w:lang w:val="fr-CA"/>
        </w:rPr>
        <w:t>’</w:t>
      </w:r>
      <w:r w:rsidRPr="00A87C55">
        <w:rPr>
          <w:rStyle w:val="None"/>
          <w:iCs/>
          <w:szCs w:val="22"/>
          <w:lang w:val="fr-CA"/>
        </w:rPr>
        <w:t>alimentation et l</w:t>
      </w:r>
      <w:r>
        <w:rPr>
          <w:rStyle w:val="None"/>
          <w:iCs/>
          <w:szCs w:val="22"/>
          <w:lang w:val="fr-CA"/>
        </w:rPr>
        <w:t>’</w:t>
      </w:r>
      <w:r w:rsidRPr="00A87C55">
        <w:rPr>
          <w:rStyle w:val="None"/>
          <w:iCs/>
          <w:szCs w:val="22"/>
          <w:lang w:val="fr-CA"/>
        </w:rPr>
        <w:t>agriculture, de l</w:t>
      </w:r>
      <w:r>
        <w:rPr>
          <w:rStyle w:val="None"/>
          <w:iCs/>
          <w:szCs w:val="22"/>
          <w:lang w:val="fr-CA"/>
        </w:rPr>
        <w:t>’</w:t>
      </w:r>
      <w:r w:rsidRPr="00A87C55">
        <w:rPr>
          <w:rStyle w:val="None"/>
          <w:iCs/>
          <w:szCs w:val="22"/>
          <w:lang w:val="fr-CA"/>
        </w:rPr>
        <w:t>Organisation de coopération et de développement économiques et du Centre d</w:t>
      </w:r>
      <w:r>
        <w:rPr>
          <w:rStyle w:val="None"/>
          <w:iCs/>
          <w:szCs w:val="22"/>
          <w:lang w:val="fr-CA"/>
        </w:rPr>
        <w:t>’</w:t>
      </w:r>
      <w:r w:rsidRPr="00A87C55">
        <w:rPr>
          <w:rStyle w:val="None"/>
          <w:iCs/>
          <w:szCs w:val="22"/>
          <w:lang w:val="fr-CA"/>
        </w:rPr>
        <w:t>échange pour la prévention des risques biotechnologiques</w:t>
      </w:r>
      <w:r w:rsidRPr="00AE7119">
        <w:rPr>
          <w:snapToGrid w:val="0"/>
          <w:szCs w:val="22"/>
          <w:lang w:val="fr-CA"/>
        </w:rPr>
        <w:t>;</w:t>
      </w:r>
    </w:p>
    <w:p w14:paraId="325C6B70" w14:textId="0ED447A1" w:rsidR="00D83A63" w:rsidRPr="00AE7119" w:rsidRDefault="00D83A63" w:rsidP="00D83A63">
      <w:pPr>
        <w:shd w:val="clear" w:color="auto" w:fill="FFFFFF" w:themeFill="background1"/>
        <w:snapToGrid w:val="0"/>
        <w:spacing w:before="120" w:after="120"/>
        <w:ind w:firstLine="720"/>
        <w:rPr>
          <w:snapToGrid w:val="0"/>
          <w:color w:val="000000" w:themeColor="text1"/>
          <w:szCs w:val="22"/>
          <w:lang w:val="fr-CA"/>
        </w:rPr>
      </w:pPr>
      <w:r w:rsidRPr="00AE7119">
        <w:rPr>
          <w:snapToGrid w:val="0"/>
          <w:color w:val="000000" w:themeColor="text1"/>
          <w:szCs w:val="22"/>
          <w:lang w:val="fr-CA"/>
        </w:rPr>
        <w:t>7.</w:t>
      </w:r>
      <w:r w:rsidRPr="00AE7119">
        <w:rPr>
          <w:snapToGrid w:val="0"/>
          <w:color w:val="000000" w:themeColor="text1"/>
          <w:szCs w:val="22"/>
          <w:lang w:val="fr-CA"/>
        </w:rPr>
        <w:tab/>
      </w:r>
      <w:r w:rsidRPr="00A87C55">
        <w:rPr>
          <w:i/>
          <w:iCs/>
          <w:color w:val="000000" w:themeColor="text1"/>
          <w:szCs w:val="22"/>
          <w:lang w:val="fr-CA"/>
        </w:rPr>
        <w:t xml:space="preserve">Prie </w:t>
      </w:r>
      <w:r w:rsidRPr="00A87C55">
        <w:rPr>
          <w:iCs/>
          <w:color w:val="000000" w:themeColor="text1"/>
          <w:szCs w:val="22"/>
          <w:lang w:val="fr-CA"/>
        </w:rPr>
        <w:t>la Secrétaire ex</w:t>
      </w:r>
      <w:r w:rsidR="005D5E3F">
        <w:rPr>
          <w:iCs/>
          <w:color w:val="000000" w:themeColor="text1"/>
          <w:szCs w:val="22"/>
          <w:lang w:val="fr-CA"/>
        </w:rPr>
        <w:t>écutive de continuer à assurer le maintien</w:t>
      </w:r>
      <w:r w:rsidRPr="00A87C55">
        <w:rPr>
          <w:iCs/>
          <w:color w:val="000000" w:themeColor="text1"/>
          <w:szCs w:val="22"/>
          <w:lang w:val="fr-CA"/>
        </w:rPr>
        <w:t xml:space="preserve"> et à apporter les améliorations nécessaires au Centre d</w:t>
      </w:r>
      <w:r>
        <w:rPr>
          <w:iCs/>
          <w:color w:val="000000" w:themeColor="text1"/>
          <w:szCs w:val="22"/>
          <w:lang w:val="fr-CA"/>
        </w:rPr>
        <w:t>’</w:t>
      </w:r>
      <w:r w:rsidRPr="00A87C55">
        <w:rPr>
          <w:iCs/>
          <w:color w:val="000000" w:themeColor="text1"/>
          <w:szCs w:val="22"/>
          <w:lang w:val="fr-CA"/>
        </w:rPr>
        <w:t>échange pour la prévention des risques biotechnologiques, à savoir </w:t>
      </w:r>
      <w:r w:rsidRPr="00A87C55">
        <w:rPr>
          <w:color w:val="000000" w:themeColor="text1"/>
          <w:szCs w:val="22"/>
          <w:lang w:val="fr-CA"/>
        </w:rPr>
        <w:t>:</w:t>
      </w:r>
    </w:p>
    <w:p w14:paraId="1E928008" w14:textId="1F7B76CA" w:rsidR="00D83A63" w:rsidRPr="00AE7119" w:rsidRDefault="00D83A63" w:rsidP="00D83A63">
      <w:pPr>
        <w:suppressLineNumbers/>
        <w:shd w:val="clear" w:color="auto" w:fill="FFFFFF" w:themeFill="background1"/>
        <w:suppressAutoHyphens/>
        <w:spacing w:before="120" w:after="120"/>
        <w:ind w:firstLine="720"/>
        <w:rPr>
          <w:color w:val="000000" w:themeColor="text1"/>
          <w:szCs w:val="22"/>
          <w:lang w:val="fr-CA"/>
        </w:rPr>
      </w:pPr>
      <w:r w:rsidRPr="00AE7119">
        <w:rPr>
          <w:color w:val="000000" w:themeColor="text1"/>
          <w:szCs w:val="22"/>
          <w:lang w:val="fr-CA"/>
        </w:rPr>
        <w:t>a)</w:t>
      </w:r>
      <w:r w:rsidRPr="00AE7119">
        <w:rPr>
          <w:color w:val="000000" w:themeColor="text1"/>
          <w:szCs w:val="22"/>
          <w:lang w:val="fr-CA"/>
        </w:rPr>
        <w:tab/>
      </w:r>
      <w:r>
        <w:rPr>
          <w:color w:val="000000" w:themeColor="text1"/>
          <w:szCs w:val="22"/>
          <w:lang w:val="fr-CA"/>
        </w:rPr>
        <w:t>Traduire</w:t>
      </w:r>
      <w:r w:rsidR="00EB7191">
        <w:rPr>
          <w:color w:val="000000" w:themeColor="text1"/>
          <w:szCs w:val="22"/>
          <w:lang w:val="fr-CA"/>
        </w:rPr>
        <w:t xml:space="preserve"> plus avant les</w:t>
      </w:r>
      <w:r w:rsidRPr="00A87C55">
        <w:rPr>
          <w:color w:val="000000" w:themeColor="text1"/>
          <w:szCs w:val="22"/>
          <w:lang w:val="fr-CA"/>
        </w:rPr>
        <w:t xml:space="preserve"> pages du Centre d</w:t>
      </w:r>
      <w:r>
        <w:rPr>
          <w:color w:val="000000" w:themeColor="text1"/>
          <w:szCs w:val="22"/>
          <w:lang w:val="fr-CA"/>
        </w:rPr>
        <w:t>’</w:t>
      </w:r>
      <w:r w:rsidRPr="00A87C55">
        <w:rPr>
          <w:color w:val="000000" w:themeColor="text1"/>
          <w:szCs w:val="22"/>
          <w:lang w:val="fr-CA"/>
        </w:rPr>
        <w:t>échange pour la prévention des risques biotechnologiques, y compris les nouvelles caractéristiq</w:t>
      </w:r>
      <w:r w:rsidR="00EB7191">
        <w:rPr>
          <w:color w:val="000000" w:themeColor="text1"/>
          <w:szCs w:val="22"/>
          <w:lang w:val="fr-CA"/>
        </w:rPr>
        <w:t>ues et le nouveau contenu au fur et à mesure de leur élaboration</w:t>
      </w:r>
      <w:r w:rsidRPr="00A87C55">
        <w:rPr>
          <w:color w:val="000000" w:themeColor="text1"/>
          <w:szCs w:val="22"/>
          <w:lang w:val="fr-CA"/>
        </w:rPr>
        <w:t>, afin que le Centre d</w:t>
      </w:r>
      <w:r>
        <w:rPr>
          <w:color w:val="000000" w:themeColor="text1"/>
          <w:szCs w:val="22"/>
          <w:lang w:val="fr-CA"/>
        </w:rPr>
        <w:t>’</w:t>
      </w:r>
      <w:r w:rsidRPr="00A87C55">
        <w:rPr>
          <w:color w:val="000000" w:themeColor="text1"/>
          <w:szCs w:val="22"/>
          <w:lang w:val="fr-CA"/>
        </w:rPr>
        <w:t>échange pour la prévention des risques biotechnologiques soit disponible dans les six langues officielles des Nations Unies</w:t>
      </w:r>
      <w:r w:rsidRPr="00AE7119">
        <w:rPr>
          <w:color w:val="000000" w:themeColor="text1"/>
          <w:szCs w:val="22"/>
          <w:lang w:val="fr-CA"/>
        </w:rPr>
        <w:t xml:space="preserve">; </w:t>
      </w:r>
    </w:p>
    <w:p w14:paraId="29B5A50F" w14:textId="353A51CE" w:rsidR="00D83A63" w:rsidRPr="00AE7119" w:rsidRDefault="00D83A63" w:rsidP="000E33F3">
      <w:pPr>
        <w:suppressLineNumbers/>
        <w:shd w:val="clear" w:color="auto" w:fill="FFFFFF" w:themeFill="background1"/>
        <w:suppressAutoHyphens/>
        <w:spacing w:before="120" w:after="120"/>
        <w:ind w:firstLine="720"/>
        <w:rPr>
          <w:color w:val="000000" w:themeColor="text1"/>
          <w:szCs w:val="22"/>
          <w:lang w:val="fr-CA"/>
        </w:rPr>
      </w:pPr>
      <w:r w:rsidRPr="00AE7119">
        <w:rPr>
          <w:color w:val="000000" w:themeColor="text1"/>
          <w:szCs w:val="22"/>
          <w:lang w:val="fr-CA"/>
        </w:rPr>
        <w:t>b)</w:t>
      </w:r>
      <w:r w:rsidRPr="00AE7119">
        <w:rPr>
          <w:color w:val="000000" w:themeColor="text1"/>
          <w:szCs w:val="22"/>
          <w:lang w:val="fr-CA"/>
        </w:rPr>
        <w:tab/>
      </w:r>
      <w:r>
        <w:rPr>
          <w:color w:val="000000" w:themeColor="text1"/>
          <w:szCs w:val="22"/>
          <w:lang w:val="fr-CA"/>
        </w:rPr>
        <w:t>Examiner</w:t>
      </w:r>
      <w:r w:rsidRPr="00A87C55">
        <w:rPr>
          <w:color w:val="000000" w:themeColor="text1"/>
          <w:szCs w:val="22"/>
          <w:lang w:val="fr-CA"/>
        </w:rPr>
        <w:t xml:space="preserve"> les moyens d</w:t>
      </w:r>
      <w:r>
        <w:rPr>
          <w:color w:val="000000" w:themeColor="text1"/>
          <w:szCs w:val="22"/>
          <w:lang w:val="fr-CA"/>
        </w:rPr>
        <w:t>’</w:t>
      </w:r>
      <w:r w:rsidRPr="00A87C55">
        <w:rPr>
          <w:color w:val="000000" w:themeColor="text1"/>
          <w:szCs w:val="22"/>
          <w:lang w:val="fr-CA"/>
        </w:rPr>
        <w:t xml:space="preserve">utiliser </w:t>
      </w:r>
      <w:r w:rsidRPr="00A87C55">
        <w:rPr>
          <w:noProof/>
          <w:color w:val="000000" w:themeColor="text1"/>
          <w:szCs w:val="22"/>
          <w:lang w:val="fr-CA"/>
        </w:rPr>
        <w:t>l</w:t>
      </w:r>
      <w:r>
        <w:rPr>
          <w:noProof/>
          <w:color w:val="000000" w:themeColor="text1"/>
          <w:szCs w:val="22"/>
          <w:lang w:val="fr-CA"/>
        </w:rPr>
        <w:t>’</w:t>
      </w:r>
      <w:r w:rsidRPr="00A87C55">
        <w:rPr>
          <w:noProof/>
          <w:color w:val="000000" w:themeColor="text1"/>
          <w:szCs w:val="22"/>
          <w:lang w:val="fr-CA"/>
        </w:rPr>
        <w:t xml:space="preserve">outil </w:t>
      </w:r>
      <w:r w:rsidRPr="000E33F3">
        <w:rPr>
          <w:noProof/>
          <w:color w:val="000000" w:themeColor="text1"/>
          <w:szCs w:val="22"/>
          <w:lang w:val="fr-CA"/>
        </w:rPr>
        <w:t xml:space="preserve">Bioland </w:t>
      </w:r>
      <w:r w:rsidR="00EB7191">
        <w:rPr>
          <w:noProof/>
          <w:color w:val="000000" w:themeColor="text1"/>
          <w:szCs w:val="22"/>
          <w:lang w:val="fr-CA"/>
        </w:rPr>
        <w:t xml:space="preserve">pour faciliter les liens créés </w:t>
      </w:r>
      <w:r w:rsidRPr="00A87C55">
        <w:rPr>
          <w:noProof/>
          <w:color w:val="000000" w:themeColor="text1"/>
          <w:szCs w:val="22"/>
          <w:lang w:val="fr-CA"/>
        </w:rPr>
        <w:t>entre les sites Web nationaux et le Centre d</w:t>
      </w:r>
      <w:r>
        <w:rPr>
          <w:noProof/>
          <w:color w:val="000000" w:themeColor="text1"/>
          <w:szCs w:val="22"/>
          <w:lang w:val="fr-CA"/>
        </w:rPr>
        <w:t>’</w:t>
      </w:r>
      <w:r w:rsidRPr="00A87C55">
        <w:rPr>
          <w:noProof/>
          <w:color w:val="000000" w:themeColor="text1"/>
          <w:szCs w:val="22"/>
          <w:lang w:val="fr-CA"/>
        </w:rPr>
        <w:t>échange pour la prévention des risques</w:t>
      </w:r>
      <w:r w:rsidRPr="00A87C55">
        <w:rPr>
          <w:color w:val="000000" w:themeColor="text1"/>
          <w:szCs w:val="22"/>
          <w:lang w:val="fr-CA"/>
        </w:rPr>
        <w:t xml:space="preserve"> bio</w:t>
      </w:r>
      <w:r w:rsidR="00EB7191">
        <w:rPr>
          <w:color w:val="000000" w:themeColor="text1"/>
          <w:szCs w:val="22"/>
          <w:lang w:val="fr-CA"/>
        </w:rPr>
        <w:t>technologiques, et d’</w:t>
      </w:r>
      <w:r w:rsidRPr="00A87C55">
        <w:rPr>
          <w:color w:val="000000" w:themeColor="text1"/>
          <w:szCs w:val="22"/>
          <w:lang w:val="fr-CA"/>
        </w:rPr>
        <w:t>autres mécanismes qui permettent aux centres d</w:t>
      </w:r>
      <w:r>
        <w:rPr>
          <w:color w:val="000000" w:themeColor="text1"/>
          <w:szCs w:val="22"/>
          <w:lang w:val="fr-CA"/>
        </w:rPr>
        <w:t>’</w:t>
      </w:r>
      <w:r w:rsidR="00EB7191">
        <w:rPr>
          <w:color w:val="000000" w:themeColor="text1"/>
          <w:szCs w:val="22"/>
          <w:lang w:val="fr-CA"/>
        </w:rPr>
        <w:t xml:space="preserve">échange nationaux de récupérer des </w:t>
      </w:r>
      <w:r w:rsidRPr="00A87C55">
        <w:rPr>
          <w:color w:val="000000" w:themeColor="text1"/>
          <w:szCs w:val="22"/>
          <w:lang w:val="fr-CA"/>
        </w:rPr>
        <w:t>information</w:t>
      </w:r>
      <w:r w:rsidR="00EB7191">
        <w:rPr>
          <w:color w:val="000000" w:themeColor="text1"/>
          <w:szCs w:val="22"/>
          <w:lang w:val="fr-CA"/>
        </w:rPr>
        <w:t>s</w:t>
      </w:r>
      <w:r w:rsidRPr="00A87C55">
        <w:rPr>
          <w:color w:val="000000" w:themeColor="text1"/>
          <w:szCs w:val="22"/>
          <w:lang w:val="fr-CA"/>
        </w:rPr>
        <w:t xml:space="preserve"> dans le Centre d</w:t>
      </w:r>
      <w:r>
        <w:rPr>
          <w:color w:val="000000" w:themeColor="text1"/>
          <w:szCs w:val="22"/>
          <w:lang w:val="fr-CA"/>
        </w:rPr>
        <w:t>’</w:t>
      </w:r>
      <w:r w:rsidRPr="00A87C55">
        <w:rPr>
          <w:color w:val="000000" w:themeColor="text1"/>
          <w:szCs w:val="22"/>
          <w:lang w:val="fr-CA"/>
        </w:rPr>
        <w:t>échange pour la prévention des risques biotechnologiques</w:t>
      </w:r>
      <w:r w:rsidRPr="00AE7119">
        <w:rPr>
          <w:color w:val="000000" w:themeColor="text1"/>
          <w:szCs w:val="22"/>
          <w:lang w:val="fr-CA"/>
        </w:rPr>
        <w:t>;</w:t>
      </w:r>
    </w:p>
    <w:p w14:paraId="3889F742" w14:textId="48AC4140" w:rsidR="00D83A63" w:rsidRPr="00AE7119" w:rsidRDefault="000E33F3" w:rsidP="00D83A63">
      <w:pPr>
        <w:suppressLineNumbers/>
        <w:shd w:val="clear" w:color="auto" w:fill="FFFFFF" w:themeFill="background1"/>
        <w:suppressAutoHyphens/>
        <w:spacing w:before="120" w:after="120"/>
        <w:ind w:firstLine="720"/>
        <w:rPr>
          <w:color w:val="000000" w:themeColor="text1"/>
          <w:szCs w:val="22"/>
          <w:lang w:val="fr-CA"/>
        </w:rPr>
      </w:pPr>
      <w:r>
        <w:rPr>
          <w:color w:val="000000" w:themeColor="text1"/>
          <w:szCs w:val="22"/>
          <w:lang w:val="fr-CA"/>
        </w:rPr>
        <w:t>c</w:t>
      </w:r>
      <w:r w:rsidR="00D83A63" w:rsidRPr="00AE7119">
        <w:rPr>
          <w:color w:val="000000" w:themeColor="text1"/>
          <w:szCs w:val="22"/>
          <w:lang w:val="fr-CA"/>
        </w:rPr>
        <w:t>)</w:t>
      </w:r>
      <w:r w:rsidR="00D83A63" w:rsidRPr="00AE7119">
        <w:rPr>
          <w:color w:val="000000" w:themeColor="text1"/>
          <w:szCs w:val="22"/>
          <w:lang w:val="fr-CA"/>
        </w:rPr>
        <w:tab/>
      </w:r>
      <w:r w:rsidR="00D83A63">
        <w:rPr>
          <w:color w:val="000000" w:themeColor="text1"/>
          <w:szCs w:val="22"/>
          <w:lang w:val="fr-CA"/>
        </w:rPr>
        <w:t>Continuer à</w:t>
      </w:r>
      <w:r w:rsidR="00D83A63" w:rsidRPr="00A87C55">
        <w:rPr>
          <w:color w:val="000000" w:themeColor="text1"/>
          <w:szCs w:val="22"/>
          <w:lang w:val="fr-CA"/>
        </w:rPr>
        <w:t xml:space="preserve"> veill</w:t>
      </w:r>
      <w:r>
        <w:rPr>
          <w:color w:val="000000" w:themeColor="text1"/>
          <w:szCs w:val="22"/>
          <w:lang w:val="fr-CA"/>
        </w:rPr>
        <w:t>er à ce que les informations publiées dans</w:t>
      </w:r>
      <w:r w:rsidR="00D83A63" w:rsidRPr="00A87C55">
        <w:rPr>
          <w:color w:val="000000" w:themeColor="text1"/>
          <w:szCs w:val="22"/>
          <w:lang w:val="fr-CA"/>
        </w:rPr>
        <w:t xml:space="preserve"> le Centre d</w:t>
      </w:r>
      <w:r w:rsidR="00D83A63">
        <w:rPr>
          <w:color w:val="000000" w:themeColor="text1"/>
          <w:szCs w:val="22"/>
          <w:lang w:val="fr-CA"/>
        </w:rPr>
        <w:t>’</w:t>
      </w:r>
      <w:r w:rsidR="00D83A63" w:rsidRPr="00A87C55">
        <w:rPr>
          <w:color w:val="000000" w:themeColor="text1"/>
          <w:szCs w:val="22"/>
          <w:lang w:val="fr-CA"/>
        </w:rPr>
        <w:t>échange soient à jour</w:t>
      </w:r>
      <w:r>
        <w:rPr>
          <w:color w:val="000000" w:themeColor="text1"/>
          <w:szCs w:val="22"/>
          <w:lang w:val="fr-CA"/>
        </w:rPr>
        <w:t>;</w:t>
      </w:r>
    </w:p>
    <w:p w14:paraId="1FDF6B68" w14:textId="19610BD4" w:rsidR="00D83A63" w:rsidRPr="00AE7119" w:rsidRDefault="00D83A63" w:rsidP="00D83A63">
      <w:pPr>
        <w:keepNext/>
        <w:suppressLineNumbers/>
        <w:shd w:val="clear" w:color="auto" w:fill="FFFFFF" w:themeFill="background1"/>
        <w:suppressAutoHyphens/>
        <w:snapToGrid w:val="0"/>
        <w:spacing w:before="120" w:after="120"/>
        <w:ind w:firstLine="720"/>
        <w:rPr>
          <w:snapToGrid w:val="0"/>
          <w:color w:val="000000" w:themeColor="text1"/>
          <w:szCs w:val="22"/>
          <w:lang w:val="fr-CA"/>
        </w:rPr>
      </w:pPr>
      <w:r w:rsidRPr="00AE7119">
        <w:rPr>
          <w:snapToGrid w:val="0"/>
          <w:color w:val="000000" w:themeColor="text1"/>
          <w:szCs w:val="22"/>
          <w:lang w:val="fr-CA"/>
        </w:rPr>
        <w:t>8</w:t>
      </w:r>
      <w:r w:rsidRPr="00AE7119">
        <w:rPr>
          <w:i/>
          <w:iCs/>
          <w:snapToGrid w:val="0"/>
          <w:color w:val="000000" w:themeColor="text1"/>
          <w:szCs w:val="22"/>
          <w:lang w:val="fr-CA"/>
        </w:rPr>
        <w:t>.</w:t>
      </w:r>
      <w:r w:rsidRPr="00AE7119">
        <w:rPr>
          <w:i/>
          <w:iCs/>
          <w:snapToGrid w:val="0"/>
          <w:color w:val="000000" w:themeColor="text1"/>
          <w:szCs w:val="22"/>
          <w:lang w:val="fr-CA"/>
        </w:rPr>
        <w:tab/>
      </w:r>
      <w:r w:rsidRPr="00A87C55">
        <w:rPr>
          <w:i/>
          <w:iCs/>
          <w:color w:val="000000" w:themeColor="text1"/>
          <w:szCs w:val="22"/>
          <w:lang w:val="fr-CA"/>
        </w:rPr>
        <w:t xml:space="preserve">Prie également </w:t>
      </w:r>
      <w:r w:rsidRPr="00A87C55">
        <w:rPr>
          <w:iCs/>
          <w:color w:val="000000" w:themeColor="text1"/>
          <w:szCs w:val="22"/>
          <w:lang w:val="fr-CA"/>
        </w:rPr>
        <w:t>la Secrétaire exécutive</w:t>
      </w:r>
      <w:r w:rsidR="00EB7191">
        <w:rPr>
          <w:iCs/>
          <w:color w:val="000000" w:themeColor="text1"/>
          <w:szCs w:val="22"/>
          <w:lang w:val="fr-CA"/>
        </w:rPr>
        <w:t xml:space="preserve"> de</w:t>
      </w:r>
      <w:r w:rsidRPr="00A87C55">
        <w:rPr>
          <w:iCs/>
          <w:color w:val="000000" w:themeColor="text1"/>
          <w:szCs w:val="22"/>
          <w:lang w:val="fr-CA"/>
        </w:rPr>
        <w:t> </w:t>
      </w:r>
      <w:r w:rsidRPr="00A87C55">
        <w:rPr>
          <w:color w:val="000000" w:themeColor="text1"/>
          <w:szCs w:val="22"/>
          <w:lang w:val="fr-CA"/>
        </w:rPr>
        <w:t>:</w:t>
      </w:r>
    </w:p>
    <w:p w14:paraId="592832BF" w14:textId="06C8BB44" w:rsidR="00D83A63" w:rsidRPr="00AE7119" w:rsidRDefault="00D83A63" w:rsidP="0082010C">
      <w:pPr>
        <w:suppressLineNumbers/>
        <w:shd w:val="clear" w:color="auto" w:fill="FFFFFF" w:themeFill="background1"/>
        <w:suppressAutoHyphens/>
        <w:spacing w:before="120" w:after="120"/>
        <w:ind w:firstLine="720"/>
        <w:rPr>
          <w:color w:val="000000" w:themeColor="text1"/>
          <w:szCs w:val="22"/>
          <w:lang w:val="fr-CA"/>
        </w:rPr>
      </w:pPr>
      <w:r w:rsidRPr="00AE7119">
        <w:rPr>
          <w:color w:val="000000" w:themeColor="text1"/>
          <w:szCs w:val="22"/>
          <w:lang w:val="fr-CA"/>
        </w:rPr>
        <w:t>a)</w:t>
      </w:r>
      <w:r w:rsidRPr="00AE7119">
        <w:rPr>
          <w:color w:val="000000" w:themeColor="text1"/>
          <w:szCs w:val="22"/>
          <w:lang w:val="fr-CA"/>
        </w:rPr>
        <w:tab/>
      </w:r>
      <w:r w:rsidR="00EB7191">
        <w:rPr>
          <w:color w:val="000000" w:themeColor="text1"/>
          <w:szCs w:val="22"/>
          <w:lang w:val="fr-CA"/>
        </w:rPr>
        <w:t>É</w:t>
      </w:r>
      <w:r w:rsidRPr="00A87C55">
        <w:rPr>
          <w:color w:val="000000" w:themeColor="text1"/>
          <w:szCs w:val="22"/>
          <w:lang w:val="fr-CA"/>
        </w:rPr>
        <w:t>laborer du matériel de renforce</w:t>
      </w:r>
      <w:r w:rsidR="000E33F3">
        <w:rPr>
          <w:color w:val="000000" w:themeColor="text1"/>
          <w:szCs w:val="22"/>
          <w:lang w:val="fr-CA"/>
        </w:rPr>
        <w:t>ment des capacités basé sur l</w:t>
      </w:r>
      <w:r w:rsidRPr="00A87C55">
        <w:rPr>
          <w:color w:val="000000" w:themeColor="text1"/>
          <w:szCs w:val="22"/>
          <w:lang w:val="fr-CA"/>
        </w:rPr>
        <w:t>es priorités identifiée</w:t>
      </w:r>
      <w:r w:rsidR="00EB7191">
        <w:rPr>
          <w:color w:val="000000" w:themeColor="text1"/>
          <w:szCs w:val="22"/>
          <w:lang w:val="fr-CA"/>
        </w:rPr>
        <w:t xml:space="preserve">s par les Parties et </w:t>
      </w:r>
      <w:r w:rsidR="00E608BA">
        <w:rPr>
          <w:color w:val="000000" w:themeColor="text1"/>
          <w:szCs w:val="22"/>
          <w:lang w:val="fr-CA"/>
        </w:rPr>
        <w:t>assurer une</w:t>
      </w:r>
      <w:r w:rsidRPr="00A87C55">
        <w:rPr>
          <w:color w:val="000000" w:themeColor="text1"/>
          <w:szCs w:val="22"/>
          <w:lang w:val="fr-CA"/>
        </w:rPr>
        <w:t xml:space="preserve"> formation sur les nouvelles fonctionnalités du Centre d</w:t>
      </w:r>
      <w:r>
        <w:rPr>
          <w:color w:val="000000" w:themeColor="text1"/>
          <w:szCs w:val="22"/>
          <w:lang w:val="fr-CA"/>
        </w:rPr>
        <w:t>’</w:t>
      </w:r>
      <w:r w:rsidRPr="00A87C55">
        <w:rPr>
          <w:color w:val="000000" w:themeColor="text1"/>
          <w:szCs w:val="22"/>
          <w:lang w:val="fr-CA"/>
        </w:rPr>
        <w:t>échange pour la prévention des risques biotechn</w:t>
      </w:r>
      <w:r w:rsidR="00EB7191">
        <w:rPr>
          <w:color w:val="000000" w:themeColor="text1"/>
          <w:szCs w:val="22"/>
          <w:lang w:val="fr-CA"/>
        </w:rPr>
        <w:t>ologiques, notamment comme</w:t>
      </w:r>
      <w:r w:rsidRPr="00A87C55">
        <w:rPr>
          <w:color w:val="000000" w:themeColor="text1"/>
          <w:szCs w:val="22"/>
          <w:lang w:val="fr-CA"/>
        </w:rPr>
        <w:t xml:space="preserve"> contribution aux principales activ</w:t>
      </w:r>
      <w:r w:rsidR="00EB7191">
        <w:rPr>
          <w:color w:val="000000" w:themeColor="text1"/>
          <w:szCs w:val="22"/>
          <w:lang w:val="fr-CA"/>
        </w:rPr>
        <w:t>ités mises en exergue</w:t>
      </w:r>
      <w:r w:rsidR="000E33F3">
        <w:rPr>
          <w:color w:val="000000" w:themeColor="text1"/>
          <w:szCs w:val="22"/>
          <w:lang w:val="fr-CA"/>
        </w:rPr>
        <w:t xml:space="preserve"> dans le P</w:t>
      </w:r>
      <w:r w:rsidRPr="00A87C55">
        <w:rPr>
          <w:color w:val="000000" w:themeColor="text1"/>
          <w:szCs w:val="22"/>
          <w:lang w:val="fr-CA"/>
        </w:rPr>
        <w:t>lan d</w:t>
      </w:r>
      <w:r>
        <w:rPr>
          <w:color w:val="000000" w:themeColor="text1"/>
          <w:szCs w:val="22"/>
          <w:lang w:val="fr-CA"/>
        </w:rPr>
        <w:t>’</w:t>
      </w:r>
      <w:r w:rsidRPr="00A87C55">
        <w:rPr>
          <w:color w:val="000000" w:themeColor="text1"/>
          <w:szCs w:val="22"/>
          <w:lang w:val="fr-CA"/>
        </w:rPr>
        <w:t>action pour le renforcement des capacités</w:t>
      </w:r>
      <w:r w:rsidR="000E33F3" w:rsidRPr="000E33F3">
        <w:rPr>
          <w:iCs/>
          <w:szCs w:val="22"/>
          <w:lang w:val="fr-CA"/>
        </w:rPr>
        <w:t xml:space="preserve"> </w:t>
      </w:r>
      <w:r w:rsidR="000E33F3">
        <w:rPr>
          <w:iCs/>
          <w:szCs w:val="22"/>
          <w:lang w:val="fr-CA"/>
        </w:rPr>
        <w:t>du</w:t>
      </w:r>
      <w:r w:rsidR="000E33F3" w:rsidRPr="00A87C55">
        <w:rPr>
          <w:iCs/>
          <w:szCs w:val="22"/>
          <w:lang w:val="fr-CA"/>
        </w:rPr>
        <w:t xml:space="preserve"> Protocole de Cartagena sur la prévention des</w:t>
      </w:r>
      <w:r w:rsidR="000E33F3">
        <w:rPr>
          <w:iCs/>
          <w:szCs w:val="22"/>
          <w:lang w:val="fr-CA"/>
        </w:rPr>
        <w:t xml:space="preserve"> </w:t>
      </w:r>
      <w:r w:rsidR="000E33F3" w:rsidRPr="00A87C55">
        <w:rPr>
          <w:iCs/>
          <w:szCs w:val="22"/>
          <w:lang w:val="fr-CA"/>
        </w:rPr>
        <w:t>risques biotechnologiques</w:t>
      </w:r>
      <w:r w:rsidR="00EB7191">
        <w:rPr>
          <w:iCs/>
          <w:szCs w:val="22"/>
          <w:lang w:val="fr-CA"/>
        </w:rPr>
        <w:t>,</w:t>
      </w:r>
      <w:r w:rsidR="000E33F3">
        <w:rPr>
          <w:iCs/>
          <w:szCs w:val="22"/>
          <w:lang w:val="fr-CA"/>
        </w:rPr>
        <w:t xml:space="preserve"> adopté dans la décision CP-10/4</w:t>
      </w:r>
      <w:r>
        <w:rPr>
          <w:color w:val="000000" w:themeColor="text1"/>
          <w:szCs w:val="22"/>
          <w:lang w:val="fr-CA"/>
        </w:rPr>
        <w:t>;</w:t>
      </w:r>
    </w:p>
    <w:p w14:paraId="762FAB8A" w14:textId="22E5AD0A" w:rsidR="00D83A63" w:rsidRPr="00AE7119" w:rsidRDefault="00D83A63" w:rsidP="0082010C">
      <w:pPr>
        <w:suppressLineNumbers/>
        <w:shd w:val="clear" w:color="auto" w:fill="FFFFFF" w:themeFill="background1"/>
        <w:suppressAutoHyphens/>
        <w:spacing w:before="120" w:after="120"/>
        <w:ind w:firstLine="720"/>
        <w:rPr>
          <w:color w:val="000000" w:themeColor="text1"/>
          <w:szCs w:val="22"/>
          <w:lang w:val="fr-CA"/>
        </w:rPr>
      </w:pPr>
      <w:r w:rsidRPr="00AE7119">
        <w:rPr>
          <w:color w:val="000000" w:themeColor="text1"/>
          <w:szCs w:val="22"/>
          <w:lang w:val="fr-CA"/>
        </w:rPr>
        <w:t>b)</w:t>
      </w:r>
      <w:r w:rsidRPr="00AE7119">
        <w:rPr>
          <w:color w:val="000000" w:themeColor="text1"/>
          <w:szCs w:val="22"/>
          <w:lang w:val="fr-CA"/>
        </w:rPr>
        <w:tab/>
      </w:r>
      <w:r w:rsidR="00EB7191">
        <w:rPr>
          <w:color w:val="000000" w:themeColor="text1"/>
          <w:szCs w:val="22"/>
          <w:lang w:val="fr-CA"/>
        </w:rPr>
        <w:t>Étudi</w:t>
      </w:r>
      <w:r w:rsidRPr="00A87C55">
        <w:rPr>
          <w:color w:val="000000" w:themeColor="text1"/>
          <w:szCs w:val="22"/>
          <w:lang w:val="fr-CA"/>
        </w:rPr>
        <w:t>e</w:t>
      </w:r>
      <w:r w:rsidR="00EB7191">
        <w:rPr>
          <w:color w:val="000000" w:themeColor="text1"/>
          <w:szCs w:val="22"/>
          <w:lang w:val="fr-CA"/>
        </w:rPr>
        <w:t>r les options et mettre en œuvre une approch</w:t>
      </w:r>
      <w:r w:rsidRPr="00A87C55">
        <w:rPr>
          <w:color w:val="000000" w:themeColor="text1"/>
          <w:szCs w:val="22"/>
          <w:lang w:val="fr-CA"/>
        </w:rPr>
        <w:t>e coordonnée concernant l</w:t>
      </w:r>
      <w:r>
        <w:rPr>
          <w:color w:val="000000" w:themeColor="text1"/>
          <w:szCs w:val="22"/>
          <w:lang w:val="fr-CA"/>
        </w:rPr>
        <w:t>’</w:t>
      </w:r>
      <w:r w:rsidRPr="00A87C55">
        <w:rPr>
          <w:color w:val="000000" w:themeColor="text1"/>
          <w:szCs w:val="22"/>
          <w:lang w:val="fr-CA"/>
        </w:rPr>
        <w:t>infrastructure Web pour les forums en ligne dans tous les centres d</w:t>
      </w:r>
      <w:r>
        <w:rPr>
          <w:color w:val="000000" w:themeColor="text1"/>
          <w:szCs w:val="22"/>
          <w:lang w:val="fr-CA"/>
        </w:rPr>
        <w:t>’</w:t>
      </w:r>
      <w:r w:rsidRPr="00A87C55">
        <w:rPr>
          <w:color w:val="000000" w:themeColor="text1"/>
          <w:szCs w:val="22"/>
          <w:lang w:val="fr-CA"/>
        </w:rPr>
        <w:t>échange</w:t>
      </w:r>
      <w:r>
        <w:rPr>
          <w:color w:val="000000" w:themeColor="text1"/>
          <w:szCs w:val="22"/>
          <w:lang w:val="fr-CA"/>
        </w:rPr>
        <w:t>;</w:t>
      </w:r>
    </w:p>
    <w:p w14:paraId="078B715B" w14:textId="19A4C8A0" w:rsidR="00D83A63" w:rsidRPr="00D83A63" w:rsidRDefault="00D83A63" w:rsidP="0082010C">
      <w:pPr>
        <w:suppressLineNumbers/>
        <w:shd w:val="clear" w:color="auto" w:fill="FFFFFF" w:themeFill="background1"/>
        <w:suppressAutoHyphens/>
        <w:spacing w:before="120" w:after="360"/>
        <w:ind w:firstLine="720"/>
        <w:rPr>
          <w:color w:val="000000" w:themeColor="text1"/>
          <w:szCs w:val="22"/>
          <w:lang w:val="fr-CA"/>
        </w:rPr>
      </w:pPr>
      <w:r w:rsidRPr="00AE7119">
        <w:rPr>
          <w:color w:val="000000" w:themeColor="text1"/>
          <w:szCs w:val="22"/>
          <w:lang w:val="fr-CA"/>
        </w:rPr>
        <w:t>c)</w:t>
      </w:r>
      <w:r w:rsidRPr="00AE7119">
        <w:rPr>
          <w:color w:val="000000" w:themeColor="text1"/>
          <w:szCs w:val="22"/>
          <w:lang w:val="fr-CA"/>
        </w:rPr>
        <w:tab/>
      </w:r>
      <w:r w:rsidR="00EB7191">
        <w:rPr>
          <w:color w:val="000000" w:themeColor="text1"/>
          <w:szCs w:val="22"/>
          <w:lang w:val="fr-CA"/>
        </w:rPr>
        <w:t>C</w:t>
      </w:r>
      <w:r w:rsidRPr="00A87C55">
        <w:rPr>
          <w:color w:val="000000" w:themeColor="text1"/>
          <w:szCs w:val="22"/>
          <w:lang w:val="fr-CA"/>
        </w:rPr>
        <w:t>ontinuer à collaborer avec les autres bases de données et organisations relatives à la prévention des risques biotechnologiques</w:t>
      </w:r>
      <w:r>
        <w:rPr>
          <w:color w:val="000000" w:themeColor="text1"/>
          <w:szCs w:val="22"/>
          <w:lang w:val="fr-CA"/>
        </w:rPr>
        <w:t>.</w:t>
      </w:r>
    </w:p>
    <w:p w14:paraId="0B88621D" w14:textId="77777777" w:rsidR="00D83A63" w:rsidRPr="00D83A63" w:rsidRDefault="00D83A63" w:rsidP="00D83A63">
      <w:pPr>
        <w:shd w:val="clear" w:color="auto" w:fill="FFFFFF" w:themeFill="background1"/>
        <w:jc w:val="center"/>
        <w:rPr>
          <w:lang w:val="en-AU"/>
        </w:rPr>
      </w:pPr>
      <w:r w:rsidRPr="00D83A63">
        <w:rPr>
          <w:lang w:val="en-AU"/>
        </w:rPr>
        <w:t>__________</w:t>
      </w:r>
    </w:p>
    <w:p w14:paraId="77913080" w14:textId="411A1036" w:rsidR="00E76FD2" w:rsidRPr="00E76FD2" w:rsidRDefault="00E76FD2" w:rsidP="00166372">
      <w:pPr>
        <w:shd w:val="clear" w:color="auto" w:fill="FFFFFF" w:themeFill="background1"/>
        <w:jc w:val="center"/>
      </w:pPr>
    </w:p>
    <w:sectPr w:rsidR="00E76FD2" w:rsidRPr="00E76FD2" w:rsidSect="001B1D8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19020" w14:textId="77777777" w:rsidR="00F74463" w:rsidRDefault="00F74463" w:rsidP="00CF1848">
      <w:r>
        <w:separator/>
      </w:r>
    </w:p>
  </w:endnote>
  <w:endnote w:type="continuationSeparator" w:id="0">
    <w:p w14:paraId="659281B2" w14:textId="77777777" w:rsidR="00F74463" w:rsidRDefault="00F7446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7A0A3" w14:textId="77777777" w:rsidR="00F74463" w:rsidRDefault="00F74463" w:rsidP="00CF1848">
      <w:r>
        <w:separator/>
      </w:r>
    </w:p>
  </w:footnote>
  <w:footnote w:type="continuationSeparator" w:id="0">
    <w:p w14:paraId="65D7C08C" w14:textId="77777777" w:rsidR="00F74463" w:rsidRDefault="00F74463" w:rsidP="00CF1848">
      <w:r>
        <w:continuationSeparator/>
      </w:r>
    </w:p>
  </w:footnote>
  <w:footnote w:id="1">
    <w:p w14:paraId="230DCF2D" w14:textId="7929E734" w:rsidR="000E33F3" w:rsidRPr="000E33F3" w:rsidRDefault="000E33F3" w:rsidP="000E33F3">
      <w:pPr>
        <w:pStyle w:val="FootnoteText"/>
        <w:ind w:firstLine="0"/>
        <w:rPr>
          <w:lang w:val="fr-FR"/>
        </w:rPr>
      </w:pPr>
      <w:r>
        <w:rPr>
          <w:rStyle w:val="FootnoteReference"/>
        </w:rPr>
        <w:footnoteRef/>
      </w:r>
      <w:r w:rsidRPr="000E33F3">
        <w:rPr>
          <w:lang w:val="fr-FR"/>
        </w:rPr>
        <w:t xml:space="preserve"> </w:t>
      </w:r>
      <w:r>
        <w:rPr>
          <w:lang w:val="fr-FR"/>
        </w:rPr>
        <w:t>Annexe à la décision CP-10/3.</w:t>
      </w:r>
    </w:p>
  </w:footnote>
  <w:footnote w:id="2">
    <w:p w14:paraId="0DD0653F" w14:textId="5D6EF598" w:rsidR="000E33F3" w:rsidRPr="000E33F3" w:rsidRDefault="000E33F3" w:rsidP="000E33F3">
      <w:pPr>
        <w:pStyle w:val="FootnoteText"/>
        <w:ind w:firstLine="0"/>
        <w:rPr>
          <w:lang w:val="fr-FR"/>
        </w:rPr>
      </w:pPr>
      <w:r>
        <w:rPr>
          <w:rStyle w:val="FootnoteReference"/>
        </w:rPr>
        <w:footnoteRef/>
      </w:r>
      <w:r>
        <w:rPr>
          <w:lang w:val="fr-FR"/>
        </w:rPr>
        <w:t xml:space="preserve"> Annexe à la décision CP-10/4.</w:t>
      </w:r>
      <w:r w:rsidRPr="000E33F3">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3469BE4" w:rsidR="00534681" w:rsidRPr="00134846" w:rsidRDefault="00010C93" w:rsidP="00534681">
        <w:pPr>
          <w:pStyle w:val="Header"/>
          <w:rPr>
            <w:lang w:val="fr-FR"/>
          </w:rPr>
        </w:pPr>
        <w:r>
          <w:rPr>
            <w:lang w:val="fr-FR"/>
          </w:rPr>
          <w:t>CBD/CP/MOP/DEC/10/5</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3214A0">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6D72FA0" w:rsidR="009505C9" w:rsidRPr="00134846" w:rsidRDefault="00010C93" w:rsidP="009505C9">
        <w:pPr>
          <w:pStyle w:val="Header"/>
          <w:jc w:val="right"/>
          <w:rPr>
            <w:lang w:val="fr-FR"/>
          </w:rPr>
        </w:pPr>
        <w:r>
          <w:rPr>
            <w:lang w:val="fr-FR"/>
          </w:rPr>
          <w:t>CBD/CP/MOP/DEC/10/5</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D83A63">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09D7"/>
    <w:rsid w:val="00010C93"/>
    <w:rsid w:val="00020A25"/>
    <w:rsid w:val="00051F74"/>
    <w:rsid w:val="000523F3"/>
    <w:rsid w:val="0007171B"/>
    <w:rsid w:val="00076DC4"/>
    <w:rsid w:val="000C64C2"/>
    <w:rsid w:val="000E33F3"/>
    <w:rsid w:val="000E673A"/>
    <w:rsid w:val="000F74F5"/>
    <w:rsid w:val="00105372"/>
    <w:rsid w:val="001312AD"/>
    <w:rsid w:val="00131E7A"/>
    <w:rsid w:val="00134846"/>
    <w:rsid w:val="00166372"/>
    <w:rsid w:val="00172AF6"/>
    <w:rsid w:val="00176CEE"/>
    <w:rsid w:val="0018081A"/>
    <w:rsid w:val="00186DD8"/>
    <w:rsid w:val="00191F10"/>
    <w:rsid w:val="001B13FE"/>
    <w:rsid w:val="001B1D8F"/>
    <w:rsid w:val="001E20E2"/>
    <w:rsid w:val="001F0EAA"/>
    <w:rsid w:val="00201591"/>
    <w:rsid w:val="0022736C"/>
    <w:rsid w:val="00246675"/>
    <w:rsid w:val="00247E03"/>
    <w:rsid w:val="00262B2A"/>
    <w:rsid w:val="002661BD"/>
    <w:rsid w:val="002A7E7D"/>
    <w:rsid w:val="002B1356"/>
    <w:rsid w:val="002B398D"/>
    <w:rsid w:val="002C3C82"/>
    <w:rsid w:val="002D61B1"/>
    <w:rsid w:val="002E5A39"/>
    <w:rsid w:val="002F454F"/>
    <w:rsid w:val="0030169D"/>
    <w:rsid w:val="003060EB"/>
    <w:rsid w:val="003153EB"/>
    <w:rsid w:val="003214A0"/>
    <w:rsid w:val="00321985"/>
    <w:rsid w:val="00351205"/>
    <w:rsid w:val="00372F74"/>
    <w:rsid w:val="003A0057"/>
    <w:rsid w:val="003A6633"/>
    <w:rsid w:val="003B7BB2"/>
    <w:rsid w:val="003E64E9"/>
    <w:rsid w:val="003F7224"/>
    <w:rsid w:val="00427D21"/>
    <w:rsid w:val="004357A8"/>
    <w:rsid w:val="004607ED"/>
    <w:rsid w:val="004632AF"/>
    <w:rsid w:val="004644C2"/>
    <w:rsid w:val="00467F9C"/>
    <w:rsid w:val="00487DEF"/>
    <w:rsid w:val="004C2B04"/>
    <w:rsid w:val="004D4839"/>
    <w:rsid w:val="004F21DE"/>
    <w:rsid w:val="004F4A4F"/>
    <w:rsid w:val="004F7D50"/>
    <w:rsid w:val="005007A1"/>
    <w:rsid w:val="00515F4E"/>
    <w:rsid w:val="00534681"/>
    <w:rsid w:val="00542FC3"/>
    <w:rsid w:val="00546C64"/>
    <w:rsid w:val="00563442"/>
    <w:rsid w:val="005648B8"/>
    <w:rsid w:val="00565B42"/>
    <w:rsid w:val="005B3557"/>
    <w:rsid w:val="005B4ADC"/>
    <w:rsid w:val="005B6BA6"/>
    <w:rsid w:val="005C4CE6"/>
    <w:rsid w:val="005C5E12"/>
    <w:rsid w:val="005D5E3F"/>
    <w:rsid w:val="005E0ED3"/>
    <w:rsid w:val="006122BA"/>
    <w:rsid w:val="00617EDC"/>
    <w:rsid w:val="00630A44"/>
    <w:rsid w:val="0063588C"/>
    <w:rsid w:val="00660946"/>
    <w:rsid w:val="0066475E"/>
    <w:rsid w:val="006A03E5"/>
    <w:rsid w:val="006A244C"/>
    <w:rsid w:val="006A5673"/>
    <w:rsid w:val="006B2290"/>
    <w:rsid w:val="006C0DD2"/>
    <w:rsid w:val="006C6891"/>
    <w:rsid w:val="006D6C11"/>
    <w:rsid w:val="00717D88"/>
    <w:rsid w:val="00786056"/>
    <w:rsid w:val="007942D3"/>
    <w:rsid w:val="007A1B84"/>
    <w:rsid w:val="007B2099"/>
    <w:rsid w:val="007B2E21"/>
    <w:rsid w:val="007B6C09"/>
    <w:rsid w:val="007B7741"/>
    <w:rsid w:val="007E09DA"/>
    <w:rsid w:val="007F5814"/>
    <w:rsid w:val="007F595F"/>
    <w:rsid w:val="007F6F32"/>
    <w:rsid w:val="007F7824"/>
    <w:rsid w:val="008024DF"/>
    <w:rsid w:val="00803C59"/>
    <w:rsid w:val="008178B6"/>
    <w:rsid w:val="0082010C"/>
    <w:rsid w:val="00865B74"/>
    <w:rsid w:val="00891C7D"/>
    <w:rsid w:val="008974F0"/>
    <w:rsid w:val="008A1AAA"/>
    <w:rsid w:val="008B012A"/>
    <w:rsid w:val="008B3B7E"/>
    <w:rsid w:val="008C7391"/>
    <w:rsid w:val="009045CD"/>
    <w:rsid w:val="00906E17"/>
    <w:rsid w:val="009072D2"/>
    <w:rsid w:val="00912CC1"/>
    <w:rsid w:val="00930BA1"/>
    <w:rsid w:val="0093169E"/>
    <w:rsid w:val="00931CB0"/>
    <w:rsid w:val="00937130"/>
    <w:rsid w:val="009505C9"/>
    <w:rsid w:val="00950752"/>
    <w:rsid w:val="00966424"/>
    <w:rsid w:val="009C2DE6"/>
    <w:rsid w:val="009F5A6C"/>
    <w:rsid w:val="00A1252A"/>
    <w:rsid w:val="00A373BD"/>
    <w:rsid w:val="00A80F63"/>
    <w:rsid w:val="00A824F1"/>
    <w:rsid w:val="00A83646"/>
    <w:rsid w:val="00A8640D"/>
    <w:rsid w:val="00A86772"/>
    <w:rsid w:val="00A970C0"/>
    <w:rsid w:val="00AA6F92"/>
    <w:rsid w:val="00AB6934"/>
    <w:rsid w:val="00AD7FFC"/>
    <w:rsid w:val="00AF42DE"/>
    <w:rsid w:val="00B26ACD"/>
    <w:rsid w:val="00B3369F"/>
    <w:rsid w:val="00B4773B"/>
    <w:rsid w:val="00B80E96"/>
    <w:rsid w:val="00B85D79"/>
    <w:rsid w:val="00B94E6C"/>
    <w:rsid w:val="00BB4606"/>
    <w:rsid w:val="00BC03C9"/>
    <w:rsid w:val="00BD6205"/>
    <w:rsid w:val="00BF11F9"/>
    <w:rsid w:val="00C141DB"/>
    <w:rsid w:val="00C23D2F"/>
    <w:rsid w:val="00C24C8F"/>
    <w:rsid w:val="00C443BD"/>
    <w:rsid w:val="00C451C5"/>
    <w:rsid w:val="00C9161D"/>
    <w:rsid w:val="00CA0C1D"/>
    <w:rsid w:val="00CA383E"/>
    <w:rsid w:val="00CD65FC"/>
    <w:rsid w:val="00CF1848"/>
    <w:rsid w:val="00D105AF"/>
    <w:rsid w:val="00D12044"/>
    <w:rsid w:val="00D27D33"/>
    <w:rsid w:val="00D30264"/>
    <w:rsid w:val="00D33EFC"/>
    <w:rsid w:val="00D40B1E"/>
    <w:rsid w:val="00D40DBC"/>
    <w:rsid w:val="00D67904"/>
    <w:rsid w:val="00D76A18"/>
    <w:rsid w:val="00D80849"/>
    <w:rsid w:val="00D809AD"/>
    <w:rsid w:val="00D82E8F"/>
    <w:rsid w:val="00D83A63"/>
    <w:rsid w:val="00D91803"/>
    <w:rsid w:val="00DC1413"/>
    <w:rsid w:val="00DC3395"/>
    <w:rsid w:val="00DD0D84"/>
    <w:rsid w:val="00DD118C"/>
    <w:rsid w:val="00DE6EA8"/>
    <w:rsid w:val="00E00A09"/>
    <w:rsid w:val="00E02251"/>
    <w:rsid w:val="00E21F89"/>
    <w:rsid w:val="00E50A63"/>
    <w:rsid w:val="00E553FD"/>
    <w:rsid w:val="00E608BA"/>
    <w:rsid w:val="00E6531A"/>
    <w:rsid w:val="00E66235"/>
    <w:rsid w:val="00E6648C"/>
    <w:rsid w:val="00E76FD2"/>
    <w:rsid w:val="00E83C24"/>
    <w:rsid w:val="00E9090B"/>
    <w:rsid w:val="00E9318D"/>
    <w:rsid w:val="00EA4D25"/>
    <w:rsid w:val="00EB7191"/>
    <w:rsid w:val="00EC1F46"/>
    <w:rsid w:val="00ED16EB"/>
    <w:rsid w:val="00ED3A95"/>
    <w:rsid w:val="00EE7885"/>
    <w:rsid w:val="00F01116"/>
    <w:rsid w:val="00F20EBF"/>
    <w:rsid w:val="00F46730"/>
    <w:rsid w:val="00F53193"/>
    <w:rsid w:val="00F5357E"/>
    <w:rsid w:val="00F6586C"/>
    <w:rsid w:val="00F74463"/>
    <w:rsid w:val="00F9391B"/>
    <w:rsid w:val="00F94774"/>
    <w:rsid w:val="00FA0E9A"/>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515F4E"/>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010C93"/>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A8364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83646"/>
    <w:rPr>
      <w:rFonts w:ascii="Times New Roman" w:eastAsia="Times New Roman" w:hAnsi="Times New Roman" w:cs="Times New Roman"/>
      <w:b/>
      <w:bCs/>
      <w:sz w:val="20"/>
      <w:szCs w:val="20"/>
      <w:lang w:val="en-GB"/>
    </w:rPr>
  </w:style>
  <w:style w:type="character" w:customStyle="1" w:styleId="None">
    <w:name w:val="None"/>
    <w:rsid w:val="00D8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A0CB49B72C14941B5892E9C2F6C8CF8"/>
        <w:category>
          <w:name w:val="General"/>
          <w:gallery w:val="placeholder"/>
        </w:category>
        <w:types>
          <w:type w:val="bbPlcHdr"/>
        </w:types>
        <w:behaviors>
          <w:behavior w:val="content"/>
        </w:behaviors>
        <w:guid w:val="{BA1F5BAD-801B-4AC2-ACA6-E4C93DD8A181}"/>
      </w:docPartPr>
      <w:docPartBody>
        <w:p w:rsidR="003C37BD" w:rsidRDefault="00862E04" w:rsidP="00862E04">
          <w:pPr>
            <w:pStyle w:val="EA0CB49B72C14941B5892E9C2F6C8CF8"/>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6789F"/>
    <w:rsid w:val="00271EBF"/>
    <w:rsid w:val="00282400"/>
    <w:rsid w:val="003C37BD"/>
    <w:rsid w:val="0046422C"/>
    <w:rsid w:val="004760CF"/>
    <w:rsid w:val="00483E7D"/>
    <w:rsid w:val="004E092F"/>
    <w:rsid w:val="00500A2B"/>
    <w:rsid w:val="00502815"/>
    <w:rsid w:val="00516BF5"/>
    <w:rsid w:val="0058288D"/>
    <w:rsid w:val="005B79DC"/>
    <w:rsid w:val="0062538C"/>
    <w:rsid w:val="00665C6B"/>
    <w:rsid w:val="006801B3"/>
    <w:rsid w:val="007B1BD6"/>
    <w:rsid w:val="00810A55"/>
    <w:rsid w:val="00862E04"/>
    <w:rsid w:val="008C6619"/>
    <w:rsid w:val="008D3270"/>
    <w:rsid w:val="008D420E"/>
    <w:rsid w:val="008E17C6"/>
    <w:rsid w:val="008E3E5A"/>
    <w:rsid w:val="00913096"/>
    <w:rsid w:val="0098642F"/>
    <w:rsid w:val="00A36CAC"/>
    <w:rsid w:val="00AA29B4"/>
    <w:rsid w:val="00AD047A"/>
    <w:rsid w:val="00AE229A"/>
    <w:rsid w:val="00B27D2C"/>
    <w:rsid w:val="00B40F1B"/>
    <w:rsid w:val="00B525D8"/>
    <w:rsid w:val="00C8104B"/>
    <w:rsid w:val="00CC2DDC"/>
    <w:rsid w:val="00D31D12"/>
    <w:rsid w:val="00E15C97"/>
    <w:rsid w:val="00EA4E96"/>
    <w:rsid w:val="00EF0077"/>
    <w:rsid w:val="00F74E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E04"/>
    <w:rPr>
      <w:color w:val="808080"/>
    </w:rPr>
  </w:style>
  <w:style w:type="paragraph" w:customStyle="1" w:styleId="EA0CB49B72C14941B5892E9C2F6C8CF8">
    <w:name w:val="EA0CB49B72C14941B5892E9C2F6C8CF8"/>
    <w:rsid w:val="00862E04"/>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ACAD3537-9B56-4A2E-9CC3-11527452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C965B9F5-B47B-4D17-8E0C-5D4FEE6F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827</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CP-10/5.	Fonctionnement et activités du Centre d’échange pour la prévention des risques biotechnologiques (article 20)</vt:lpstr>
    </vt:vector>
  </TitlesOfParts>
  <Company>SCBD</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CP-10/5.	Fonctionnement et activités du Centre d’échange pour la prévention des risques biotechnologiques (article 20)</dc:title>
  <dc:subject>CBD/CP/MOP/DEC/10/5</dc:subject>
  <dc:creator>SCBD</dc:creator>
  <cp:keywords>Decision adopted by the Parties to the Cartagena Protocol on Biosafety</cp:keywords>
  <cp:lastModifiedBy>Finn Kinley</cp:lastModifiedBy>
  <cp:revision>14</cp:revision>
  <cp:lastPrinted>2023-02-08T22:29:00Z</cp:lastPrinted>
  <dcterms:created xsi:type="dcterms:W3CDTF">2023-03-16T17:22:00Z</dcterms:created>
  <dcterms:modified xsi:type="dcterms:W3CDTF">2023-03-22T00:09:00Z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8079cd569a853bc1af3682148e1847c1335bb3626862ece895cfad6ea7aa6e4d</vt:lpwstr>
  </property>
</Properties>
</file>