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82E34" w:rsidRPr="00FE28E1" w14:paraId="72AAA211" w14:textId="77777777" w:rsidTr="00884A92">
        <w:trPr>
          <w:trHeight w:val="851"/>
        </w:trPr>
        <w:tc>
          <w:tcPr>
            <w:tcW w:w="976" w:type="dxa"/>
            <w:tcBorders>
              <w:bottom w:val="single" w:sz="12" w:space="0" w:color="auto"/>
            </w:tcBorders>
          </w:tcPr>
          <w:p w14:paraId="7303E57B" w14:textId="77777777" w:rsidR="00F82E34" w:rsidRPr="00FE28E1" w:rsidRDefault="00F82E34" w:rsidP="00884A92">
            <w:pPr>
              <w:rPr>
                <w:lang w:val="es-UY"/>
              </w:rPr>
            </w:pPr>
            <w:r w:rsidRPr="00FE28E1">
              <w:rPr>
                <w:lang w:val="es-UY"/>
              </w:rPr>
              <w:drawing>
                <wp:inline distT="0" distB="0" distL="0" distR="0" wp14:anchorId="75306AC6" wp14:editId="5D7D25A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77878941" w14:textId="77777777" w:rsidR="00F82E34" w:rsidRPr="00FE28E1" w:rsidRDefault="00F82E34" w:rsidP="00884A92">
            <w:pPr>
              <w:rPr>
                <w:lang w:val="es-UY"/>
              </w:rPr>
            </w:pPr>
            <w:r w:rsidRPr="00FE28E1">
              <w:rPr>
                <w:lang w:val="es-UY"/>
              </w:rPr>
              <w:drawing>
                <wp:anchor distT="0" distB="0" distL="114300" distR="114300" simplePos="0" relativeHeight="251659264" behindDoc="0" locked="0" layoutInCell="1" allowOverlap="1" wp14:anchorId="251ACECA" wp14:editId="107BE1AB">
                  <wp:simplePos x="0" y="0"/>
                  <wp:positionH relativeFrom="column">
                    <wp:posOffset>-1270</wp:posOffset>
                  </wp:positionH>
                  <wp:positionV relativeFrom="paragraph">
                    <wp:posOffset>29845</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25A98045" w14:textId="77777777" w:rsidR="00F82E34" w:rsidRPr="00FE28E1" w:rsidRDefault="00F82E34" w:rsidP="00884A92">
            <w:pPr>
              <w:jc w:val="right"/>
              <w:rPr>
                <w:rFonts w:ascii="Arial" w:hAnsi="Arial" w:cs="Arial"/>
                <w:b/>
                <w:sz w:val="32"/>
                <w:szCs w:val="32"/>
                <w:lang w:val="es-UY"/>
              </w:rPr>
            </w:pPr>
            <w:proofErr w:type="spellStart"/>
            <w:r w:rsidRPr="00FE28E1">
              <w:rPr>
                <w:rFonts w:ascii="Arial" w:hAnsi="Arial" w:cs="Arial"/>
                <w:b/>
                <w:sz w:val="32"/>
                <w:szCs w:val="32"/>
                <w:lang w:val="es-UY"/>
              </w:rPr>
              <w:t>CBD</w:t>
            </w:r>
            <w:proofErr w:type="spellEnd"/>
          </w:p>
        </w:tc>
      </w:tr>
      <w:tr w:rsidR="00F82E34" w:rsidRPr="00FE28E1" w14:paraId="1E7121F5" w14:textId="77777777" w:rsidTr="00884A92">
        <w:tc>
          <w:tcPr>
            <w:tcW w:w="6117" w:type="dxa"/>
            <w:gridSpan w:val="2"/>
            <w:tcBorders>
              <w:top w:val="single" w:sz="12" w:space="0" w:color="auto"/>
              <w:bottom w:val="single" w:sz="36" w:space="0" w:color="auto"/>
            </w:tcBorders>
            <w:vAlign w:val="center"/>
          </w:tcPr>
          <w:p w14:paraId="17185F90" w14:textId="77777777" w:rsidR="00F82E34" w:rsidRPr="00FE28E1" w:rsidRDefault="00F82E34" w:rsidP="00884A92">
            <w:pPr>
              <w:rPr>
                <w:lang w:val="es-UY"/>
              </w:rPr>
            </w:pPr>
            <w:r w:rsidRPr="00FE28E1">
              <w:rPr>
                <w:kern w:val="22"/>
                <w:lang w:val="es-UY"/>
              </w:rPr>
              <w:drawing>
                <wp:inline distT="0" distB="0" distL="0" distR="0" wp14:anchorId="7B8D1F21" wp14:editId="6FF03629">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D16D4AE" w14:textId="77777777" w:rsidR="00F82E34" w:rsidRPr="00FE28E1" w:rsidRDefault="00F82E34" w:rsidP="00884A92">
            <w:pPr>
              <w:ind w:left="1215"/>
              <w:rPr>
                <w:szCs w:val="22"/>
                <w:lang w:val="es-UY"/>
              </w:rPr>
            </w:pPr>
            <w:proofErr w:type="spellStart"/>
            <w:r w:rsidRPr="00FE28E1">
              <w:rPr>
                <w:szCs w:val="22"/>
                <w:lang w:val="es-UY"/>
              </w:rPr>
              <w:t>Distr</w:t>
            </w:r>
            <w:proofErr w:type="spellEnd"/>
            <w:r w:rsidRPr="00FE28E1">
              <w:rPr>
                <w:szCs w:val="22"/>
                <w:lang w:val="es-UY"/>
              </w:rPr>
              <w:t>.</w:t>
            </w:r>
          </w:p>
          <w:p w14:paraId="0FE9E7FD" w14:textId="24A1374E" w:rsidR="00F82E34" w:rsidRPr="00FE28E1" w:rsidRDefault="008511F2" w:rsidP="00884A92">
            <w:pPr>
              <w:ind w:left="1215"/>
              <w:rPr>
                <w:szCs w:val="22"/>
                <w:lang w:val="es-UY"/>
              </w:rPr>
            </w:pPr>
            <w:r w:rsidRPr="00FE28E1">
              <w:rPr>
                <w:caps/>
                <w:szCs w:val="22"/>
                <w:lang w:val="es-UY"/>
              </w:rPr>
              <w:t>GENERAL</w:t>
            </w:r>
          </w:p>
          <w:p w14:paraId="1B75810C" w14:textId="77777777" w:rsidR="00F82E34" w:rsidRPr="00FE28E1" w:rsidRDefault="00F82E34" w:rsidP="00884A92">
            <w:pPr>
              <w:ind w:left="1215"/>
              <w:rPr>
                <w:szCs w:val="22"/>
                <w:lang w:val="es-UY"/>
              </w:rPr>
            </w:pPr>
          </w:p>
          <w:p w14:paraId="05E45C51" w14:textId="4DEC95B3" w:rsidR="00F82E34" w:rsidRPr="00FE28E1" w:rsidRDefault="00D931F9" w:rsidP="00884A92">
            <w:pPr>
              <w:ind w:left="1215"/>
              <w:rPr>
                <w:szCs w:val="22"/>
                <w:lang w:val="es-UY"/>
              </w:rPr>
            </w:pPr>
            <w:sdt>
              <w:sdtPr>
                <w:rPr>
                  <w:lang w:val="es-UY"/>
                </w:rPr>
                <w:alias w:val="Subject"/>
                <w:tag w:val=""/>
                <w:id w:val="2137136483"/>
                <w:placeholder>
                  <w:docPart w:val="26830DBF9D6744C58A7F61BE0FEB9F42"/>
                </w:placeholder>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F82E34" w:rsidRPr="00FE28E1">
                  <w:rPr>
                    <w:lang w:val="es-UY"/>
                  </w:rPr>
                  <w:t>CBD</w:t>
                </w:r>
                <w:proofErr w:type="spellEnd"/>
                <w:r w:rsidR="00F82E34" w:rsidRPr="00FE28E1">
                  <w:rPr>
                    <w:lang w:val="es-UY"/>
                  </w:rPr>
                  <w:t>/</w:t>
                </w:r>
                <w:proofErr w:type="spellStart"/>
                <w:r w:rsidR="00F82E34" w:rsidRPr="00FE28E1">
                  <w:rPr>
                    <w:lang w:val="es-UY"/>
                  </w:rPr>
                  <w:t>CP</w:t>
                </w:r>
                <w:proofErr w:type="spellEnd"/>
                <w:r w:rsidR="00F82E34" w:rsidRPr="00FE28E1">
                  <w:rPr>
                    <w:lang w:val="es-UY"/>
                  </w:rPr>
                  <w:t>/</w:t>
                </w:r>
                <w:proofErr w:type="spellStart"/>
                <w:r w:rsidR="00F82E34" w:rsidRPr="00FE28E1">
                  <w:rPr>
                    <w:lang w:val="es-UY"/>
                  </w:rPr>
                  <w:t>MOP</w:t>
                </w:r>
                <w:proofErr w:type="spellEnd"/>
                <w:r w:rsidR="00F82E34" w:rsidRPr="00FE28E1">
                  <w:rPr>
                    <w:lang w:val="es-UY"/>
                  </w:rPr>
                  <w:t>/</w:t>
                </w:r>
                <w:r w:rsidR="008511F2" w:rsidRPr="00FE28E1">
                  <w:rPr>
                    <w:lang w:val="es-UY"/>
                  </w:rPr>
                  <w:t>DEC/</w:t>
                </w:r>
                <w:r w:rsidR="00F82E34" w:rsidRPr="00FE28E1">
                  <w:rPr>
                    <w:lang w:val="es-UY"/>
                  </w:rPr>
                  <w:t>10/</w:t>
                </w:r>
                <w:r w:rsidR="008511F2" w:rsidRPr="00FE28E1">
                  <w:rPr>
                    <w:lang w:val="es-UY"/>
                  </w:rPr>
                  <w:t>5</w:t>
                </w:r>
              </w:sdtContent>
            </w:sdt>
          </w:p>
          <w:p w14:paraId="24B63052" w14:textId="1BF27434" w:rsidR="00F82E34" w:rsidRPr="00FE28E1" w:rsidRDefault="008511F2" w:rsidP="00884A92">
            <w:pPr>
              <w:ind w:left="1215"/>
              <w:rPr>
                <w:szCs w:val="22"/>
                <w:lang w:val="es-UY"/>
              </w:rPr>
            </w:pPr>
            <w:r w:rsidRPr="00FE28E1">
              <w:rPr>
                <w:szCs w:val="22"/>
                <w:lang w:val="es-UY"/>
              </w:rPr>
              <w:t>1</w:t>
            </w:r>
            <w:r w:rsidR="00F82E34" w:rsidRPr="00FE28E1">
              <w:rPr>
                <w:szCs w:val="22"/>
                <w:lang w:val="es-UY"/>
              </w:rPr>
              <w:t>9 de diciembre de 2022</w:t>
            </w:r>
          </w:p>
          <w:p w14:paraId="7C6889A9" w14:textId="77777777" w:rsidR="00F82E34" w:rsidRPr="00FE28E1" w:rsidRDefault="00F82E34" w:rsidP="00884A92">
            <w:pPr>
              <w:ind w:left="1215"/>
              <w:rPr>
                <w:szCs w:val="22"/>
                <w:lang w:val="es-UY"/>
              </w:rPr>
            </w:pPr>
          </w:p>
          <w:p w14:paraId="51760A5C" w14:textId="77777777" w:rsidR="00F82E34" w:rsidRPr="00FE28E1" w:rsidRDefault="00F82E34" w:rsidP="00884A92">
            <w:pPr>
              <w:ind w:left="1215"/>
              <w:rPr>
                <w:szCs w:val="22"/>
                <w:lang w:val="es-UY"/>
              </w:rPr>
            </w:pPr>
            <w:r w:rsidRPr="00FE28E1">
              <w:rPr>
                <w:szCs w:val="22"/>
                <w:lang w:val="es-UY"/>
              </w:rPr>
              <w:t>ESPAÑOL</w:t>
            </w:r>
          </w:p>
          <w:p w14:paraId="38784FE7" w14:textId="77777777" w:rsidR="00F82E34" w:rsidRPr="00FE28E1" w:rsidRDefault="00F82E34" w:rsidP="00884A92">
            <w:pPr>
              <w:ind w:left="1215"/>
              <w:rPr>
                <w:szCs w:val="22"/>
                <w:lang w:val="es-UY"/>
              </w:rPr>
            </w:pPr>
            <w:r w:rsidRPr="00FE28E1">
              <w:rPr>
                <w:szCs w:val="22"/>
                <w:lang w:val="es-UY"/>
              </w:rPr>
              <w:t>ORIGINAL: INGLÉS</w:t>
            </w:r>
          </w:p>
          <w:p w14:paraId="7A9E1AA5" w14:textId="77777777" w:rsidR="00F82E34" w:rsidRPr="00FE28E1" w:rsidRDefault="00F82E34" w:rsidP="00884A92">
            <w:pPr>
              <w:rPr>
                <w:lang w:val="es-UY"/>
              </w:rPr>
            </w:pPr>
          </w:p>
        </w:tc>
      </w:tr>
    </w:tbl>
    <w:p w14:paraId="625E6904" w14:textId="2D03731C" w:rsidR="00187751" w:rsidRPr="00FE28E1" w:rsidRDefault="000679FA" w:rsidP="00187751">
      <w:pPr>
        <w:pStyle w:val="Cornernotation"/>
        <w:kinsoku w:val="0"/>
        <w:overflowPunct w:val="0"/>
        <w:autoSpaceDE w:val="0"/>
        <w:autoSpaceDN w:val="0"/>
        <w:spacing w:before="60"/>
        <w:ind w:left="227" w:right="4115" w:hanging="227"/>
        <w:rPr>
          <w:snapToGrid w:val="0"/>
          <w:kern w:val="22"/>
          <w:lang w:val="es-UY"/>
        </w:rPr>
      </w:pPr>
      <w:r w:rsidRPr="00FE28E1">
        <w:rPr>
          <w:snapToGrid w:val="0"/>
          <w:lang w:val="es-UY"/>
        </w:rPr>
        <w:t>CONFERENCIA DE LAS PARTES EN EL CONVENIO SOBRE LA DIVERSIDAD BIOLÓGICA QUE ACTÚA COMO REUNIÓN DE LAS PARTES EN EL PROTOCOLO DE CARTAGENA SOBRE SEGURIDAD DE LA BIOTECNOLOGÍA</w:t>
      </w:r>
    </w:p>
    <w:p w14:paraId="5AEF9991" w14:textId="769E1DC9" w:rsidR="00187751" w:rsidRPr="00FE28E1" w:rsidRDefault="000679FA" w:rsidP="00187751">
      <w:pPr>
        <w:pStyle w:val="Cornernotation"/>
        <w:ind w:right="4115"/>
        <w:rPr>
          <w:lang w:val="es-UY"/>
        </w:rPr>
      </w:pPr>
      <w:r w:rsidRPr="00FE28E1">
        <w:rPr>
          <w:rFonts w:asciiTheme="majorBidi" w:hAnsiTheme="majorBidi" w:cstheme="majorBidi"/>
          <w:snapToGrid w:val="0"/>
          <w:kern w:val="22"/>
          <w:lang w:val="es-UY"/>
        </w:rPr>
        <w:t xml:space="preserve">Décima reunión </w:t>
      </w:r>
      <w:r w:rsidR="00AF4976" w:rsidRPr="00FE28E1">
        <w:rPr>
          <w:rFonts w:asciiTheme="majorBidi" w:hAnsiTheme="majorBidi" w:cstheme="majorBidi"/>
          <w:snapToGrid w:val="0"/>
          <w:kern w:val="22"/>
          <w:lang w:val="es-UY"/>
        </w:rPr>
        <w:t>–</w:t>
      </w:r>
      <w:r w:rsidRPr="00FE28E1">
        <w:rPr>
          <w:rFonts w:asciiTheme="majorBidi" w:hAnsiTheme="majorBidi" w:cstheme="majorBidi"/>
          <w:snapToGrid w:val="0"/>
          <w:kern w:val="22"/>
          <w:lang w:val="es-UY"/>
        </w:rPr>
        <w:t xml:space="preserve"> Parte II</w:t>
      </w:r>
    </w:p>
    <w:p w14:paraId="34E324B8" w14:textId="0EE479B0" w:rsidR="00187751" w:rsidRPr="00FE28E1" w:rsidRDefault="000679FA" w:rsidP="00187751">
      <w:pPr>
        <w:pStyle w:val="Cornernotation"/>
        <w:kinsoku w:val="0"/>
        <w:overflowPunct w:val="0"/>
        <w:autoSpaceDE w:val="0"/>
        <w:autoSpaceDN w:val="0"/>
        <w:ind w:left="227" w:right="4075" w:hanging="227"/>
        <w:rPr>
          <w:snapToGrid w:val="0"/>
          <w:kern w:val="22"/>
          <w:szCs w:val="22"/>
          <w:lang w:val="es-UY" w:eastAsia="nb-NO"/>
        </w:rPr>
      </w:pPr>
      <w:r w:rsidRPr="00FE28E1">
        <w:rPr>
          <w:rFonts w:asciiTheme="majorBidi" w:hAnsiTheme="majorBidi" w:cstheme="majorBidi"/>
          <w:snapToGrid w:val="0"/>
          <w:kern w:val="22"/>
          <w:lang w:val="es-UY" w:eastAsia="nb-NO"/>
        </w:rPr>
        <w:t>Montreal (Canadá), 7</w:t>
      </w:r>
      <w:r w:rsidR="00CA556B" w:rsidRPr="00FE28E1">
        <w:rPr>
          <w:rFonts w:asciiTheme="majorBidi" w:hAnsiTheme="majorBidi" w:cstheme="majorBidi"/>
          <w:snapToGrid w:val="0"/>
          <w:kern w:val="22"/>
          <w:lang w:val="es-UY" w:eastAsia="nb-NO"/>
        </w:rPr>
        <w:t xml:space="preserve"> a </w:t>
      </w:r>
      <w:r w:rsidRPr="00FE28E1">
        <w:rPr>
          <w:rFonts w:asciiTheme="majorBidi" w:hAnsiTheme="majorBidi" w:cstheme="majorBidi"/>
          <w:snapToGrid w:val="0"/>
          <w:kern w:val="22"/>
          <w:lang w:val="es-UY" w:eastAsia="nb-NO"/>
        </w:rPr>
        <w:t>19 de diciembre de 2022</w:t>
      </w:r>
    </w:p>
    <w:p w14:paraId="72B0CD8B" w14:textId="07CDF7CE" w:rsidR="00CF2587" w:rsidRPr="00FE28E1" w:rsidRDefault="000679FA" w:rsidP="00187751">
      <w:pPr>
        <w:pStyle w:val="Cornernotation"/>
        <w:ind w:right="4784"/>
        <w:rPr>
          <w:lang w:val="es-UY"/>
        </w:rPr>
      </w:pPr>
      <w:r w:rsidRPr="00FE28E1">
        <w:rPr>
          <w:lang w:val="es-UY"/>
        </w:rPr>
        <w:t>Tema 11 del programa</w:t>
      </w:r>
    </w:p>
    <w:p w14:paraId="03D67BF7" w14:textId="1CC8C4FC" w:rsidR="00CF2587" w:rsidRPr="00FE28E1" w:rsidRDefault="00CF2587" w:rsidP="006A0E48">
      <w:pPr>
        <w:pStyle w:val="Cornernotation"/>
        <w:spacing w:before="240" w:after="240"/>
        <w:ind w:right="-244"/>
        <w:jc w:val="center"/>
        <w:rPr>
          <w:b/>
          <w:lang w:val="es-UY"/>
        </w:rPr>
      </w:pPr>
      <w:r w:rsidRPr="00FE28E1">
        <w:rPr>
          <w:b/>
          <w:lang w:val="es-UY"/>
        </w:rPr>
        <w:t>DECISIÓN ADOPTADA POR LAS PARTES EN EL PROTOCOLO DE CARTAGENA SOBRE SEGURIDAD DE LA BIOTECNOLOGÍA</w:t>
      </w:r>
    </w:p>
    <w:p w14:paraId="5DA99371" w14:textId="21FCB261" w:rsidR="00C9161D" w:rsidRPr="00FE28E1" w:rsidRDefault="00D931F9" w:rsidP="00D42703">
      <w:pPr>
        <w:spacing w:before="240" w:after="240"/>
        <w:jc w:val="center"/>
        <w:rPr>
          <w:b/>
          <w:caps/>
          <w:lang w:val="es-UY"/>
        </w:rPr>
      </w:pPr>
      <w:sdt>
        <w:sdtPr>
          <w:rPr>
            <w:rFonts w:asciiTheme="majorBidi" w:hAnsiTheme="majorBidi" w:cstheme="majorBidi"/>
            <w:b/>
            <w:bCs/>
            <w:snapToGrid w:val="0"/>
            <w:kern w:val="22"/>
            <w:lang w:val="es-UY"/>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EndPr/>
        <w:sdtContent>
          <w:bookmarkStart w:id="0" w:name="_Hlk120271286"/>
          <w:r w:rsidR="005857AD" w:rsidRPr="00FE28E1">
            <w:rPr>
              <w:rFonts w:asciiTheme="majorBidi" w:hAnsiTheme="majorBidi" w:cstheme="majorBidi"/>
              <w:b/>
              <w:bCs/>
              <w:snapToGrid w:val="0"/>
              <w:kern w:val="22"/>
              <w:lang w:val="es-UY"/>
            </w:rPr>
            <w:t xml:space="preserve">CP-10/5.   </w:t>
          </w:r>
          <w:r w:rsidR="000679FA" w:rsidRPr="00FE28E1">
            <w:rPr>
              <w:rFonts w:asciiTheme="majorBidi" w:hAnsiTheme="majorBidi" w:cstheme="majorBidi"/>
              <w:b/>
              <w:bCs/>
              <w:snapToGrid w:val="0"/>
              <w:kern w:val="22"/>
              <w:lang w:val="es-UY"/>
            </w:rPr>
            <w:t>Funcionamiento y actividades del Centro de Intercambio de Información sobre Seguridad de la Biotecnología (artículo 20)</w:t>
          </w:r>
          <w:bookmarkEnd w:id="0"/>
        </w:sdtContent>
      </w:sdt>
      <w:r w:rsidR="00105372" w:rsidRPr="00FE28E1">
        <w:rPr>
          <w:b/>
          <w:caps/>
          <w:lang w:val="es-UY"/>
        </w:rPr>
        <w:t xml:space="preserve"> </w:t>
      </w:r>
    </w:p>
    <w:p w14:paraId="1D87FAA0" w14:textId="2C6C186D" w:rsidR="0062508B" w:rsidRPr="00FE28E1" w:rsidRDefault="000679FA" w:rsidP="007D3783">
      <w:pPr>
        <w:pStyle w:val="Para1"/>
        <w:numPr>
          <w:ilvl w:val="0"/>
          <w:numId w:val="0"/>
        </w:numPr>
        <w:shd w:val="clear" w:color="auto" w:fill="FFFFFF" w:themeFill="background1"/>
        <w:ind w:firstLine="720"/>
        <w:rPr>
          <w:i/>
          <w:iCs/>
          <w:szCs w:val="22"/>
          <w:lang w:val="es-UY"/>
        </w:rPr>
      </w:pPr>
      <w:r w:rsidRPr="00FE28E1">
        <w:rPr>
          <w:rStyle w:val="None"/>
          <w:i/>
          <w:lang w:val="es-UY"/>
        </w:rPr>
        <w:t>La Conferencia de las Partes que actúa como reunión de las Partes en el Protocolo de Cartagena sobre Seguridad de la Biotecnología</w:t>
      </w:r>
      <w:r w:rsidR="00016CC9" w:rsidRPr="00FE28E1">
        <w:rPr>
          <w:rStyle w:val="None"/>
          <w:i/>
          <w:lang w:val="es-UY"/>
        </w:rPr>
        <w:t>,</w:t>
      </w:r>
    </w:p>
    <w:p w14:paraId="501D720C" w14:textId="5E760525" w:rsidR="00E64C3D" w:rsidRPr="00FE28E1" w:rsidRDefault="008A5F38" w:rsidP="007D3783">
      <w:pPr>
        <w:pStyle w:val="Para1"/>
        <w:numPr>
          <w:ilvl w:val="0"/>
          <w:numId w:val="0"/>
        </w:numPr>
        <w:shd w:val="clear" w:color="auto" w:fill="FFFFFF" w:themeFill="background1"/>
        <w:ind w:firstLine="720"/>
        <w:rPr>
          <w:i/>
          <w:iCs/>
          <w:snapToGrid/>
          <w:szCs w:val="22"/>
          <w:lang w:val="es-UY"/>
        </w:rPr>
      </w:pPr>
      <w:r w:rsidRPr="00FE28E1">
        <w:rPr>
          <w:i/>
          <w:iCs/>
          <w:szCs w:val="22"/>
          <w:lang w:val="es-UY"/>
        </w:rPr>
        <w:t>Reafirm</w:t>
      </w:r>
      <w:r w:rsidR="000679FA" w:rsidRPr="00FE28E1">
        <w:rPr>
          <w:i/>
          <w:iCs/>
          <w:szCs w:val="22"/>
          <w:lang w:val="es-UY"/>
        </w:rPr>
        <w:t>ando</w:t>
      </w:r>
      <w:r w:rsidRPr="00FE28E1">
        <w:rPr>
          <w:i/>
          <w:iCs/>
          <w:szCs w:val="22"/>
          <w:lang w:val="es-UY"/>
        </w:rPr>
        <w:t xml:space="preserve"> </w:t>
      </w:r>
      <w:r w:rsidR="000679FA" w:rsidRPr="00FE28E1">
        <w:rPr>
          <w:szCs w:val="22"/>
          <w:lang w:val="es-UY"/>
        </w:rPr>
        <w:t xml:space="preserve">la función crucial del </w:t>
      </w:r>
      <w:r w:rsidR="000679FA" w:rsidRPr="00FE28E1">
        <w:rPr>
          <w:rStyle w:val="None"/>
          <w:lang w:val="es-UY"/>
        </w:rPr>
        <w:t>Centro de Intercambio de Información sobre Seguridad de la Biotecnología</w:t>
      </w:r>
      <w:r w:rsidR="000679FA" w:rsidRPr="00FE28E1">
        <w:rPr>
          <w:szCs w:val="22"/>
          <w:lang w:val="es-UY"/>
        </w:rPr>
        <w:t xml:space="preserve"> como mecanismo de intercambio de información que facilita la aplicación del Protocolo de Cartagen</w:t>
      </w:r>
      <w:r w:rsidR="00F458A3" w:rsidRPr="00FE28E1">
        <w:rPr>
          <w:szCs w:val="22"/>
          <w:lang w:val="es-UY"/>
        </w:rPr>
        <w:t>a</w:t>
      </w:r>
      <w:r w:rsidR="000679FA" w:rsidRPr="00FE28E1">
        <w:rPr>
          <w:szCs w:val="22"/>
          <w:lang w:val="es-UY"/>
        </w:rPr>
        <w:t xml:space="preserve"> sobre Seguridad de la Biotecnología y de medidas relacionadas con la creación de capacidad, así como observando la creciente relevancia de dicho centro para los foros en línea</w:t>
      </w:r>
      <w:r w:rsidR="00E527B3" w:rsidRPr="00FE28E1">
        <w:rPr>
          <w:szCs w:val="22"/>
          <w:lang w:val="es-UY"/>
        </w:rPr>
        <w:t>,</w:t>
      </w:r>
    </w:p>
    <w:p w14:paraId="4E693B77" w14:textId="2FBF8C5D" w:rsidR="00024F7F" w:rsidRPr="00FE28E1" w:rsidRDefault="002836C8" w:rsidP="00024F7F">
      <w:pPr>
        <w:shd w:val="clear" w:color="auto" w:fill="FFFFFF" w:themeFill="background1"/>
        <w:snapToGrid w:val="0"/>
        <w:spacing w:before="120" w:after="120"/>
        <w:ind w:firstLine="720"/>
        <w:rPr>
          <w:snapToGrid w:val="0"/>
          <w:szCs w:val="22"/>
          <w:lang w:val="es-UY"/>
        </w:rPr>
      </w:pPr>
      <w:r w:rsidRPr="00FE28E1">
        <w:rPr>
          <w:snapToGrid w:val="0"/>
          <w:color w:val="000000" w:themeColor="text1"/>
          <w:szCs w:val="22"/>
          <w:lang w:val="es-UY"/>
        </w:rPr>
        <w:t>1.</w:t>
      </w:r>
      <w:r w:rsidRPr="00FE28E1">
        <w:rPr>
          <w:snapToGrid w:val="0"/>
          <w:color w:val="000000" w:themeColor="text1"/>
          <w:szCs w:val="22"/>
          <w:lang w:val="es-UY"/>
        </w:rPr>
        <w:tab/>
      </w:r>
      <w:r w:rsidR="000679FA" w:rsidRPr="00FE28E1">
        <w:rPr>
          <w:rStyle w:val="None"/>
          <w:i/>
          <w:lang w:val="es-UY"/>
        </w:rPr>
        <w:t xml:space="preserve">Acoge con satisfacción </w:t>
      </w:r>
      <w:r w:rsidR="000679FA" w:rsidRPr="00FE28E1">
        <w:rPr>
          <w:rStyle w:val="None"/>
          <w:lang w:val="es-UY"/>
        </w:rPr>
        <w:t>la migración del portal central del Centro de Intercambio de Información sobre Seguridad de la Biotecnología a su nueva plataforma y las mejoras introducidas de conformidad con las modalidades conjuntas de funcionamiento del mecanismo de facilitación del Convenio, el Centro de Intercambio de Información sobre Seguridad de la Biotecnología y el Centro de Intercambio de Información sobre Acceso y Participación en los Beneficios respaldadas en la decisión</w:t>
      </w:r>
      <w:r w:rsidR="000679FA" w:rsidRPr="00FE28E1">
        <w:rPr>
          <w:rStyle w:val="None"/>
          <w:szCs w:val="22"/>
          <w:lang w:val="es-UY"/>
        </w:rPr>
        <w:t xml:space="preserve"> CP-9/2</w:t>
      </w:r>
      <w:r w:rsidR="0062508B" w:rsidRPr="00FE28E1">
        <w:rPr>
          <w:snapToGrid w:val="0"/>
          <w:szCs w:val="22"/>
          <w:lang w:val="es-UY"/>
        </w:rPr>
        <w:t>;</w:t>
      </w:r>
      <w:r w:rsidR="002D0935" w:rsidRPr="00FE28E1">
        <w:rPr>
          <w:snapToGrid w:val="0"/>
          <w:szCs w:val="22"/>
          <w:lang w:val="es-UY"/>
        </w:rPr>
        <w:t xml:space="preserve"> </w:t>
      </w:r>
    </w:p>
    <w:p w14:paraId="3FB200B8" w14:textId="54D7511E" w:rsidR="00024F7F" w:rsidRPr="00FE28E1" w:rsidDel="00EF45A3" w:rsidRDefault="002836C8" w:rsidP="00024F7F">
      <w:pPr>
        <w:shd w:val="clear" w:color="auto" w:fill="FFFFFF" w:themeFill="background1"/>
        <w:snapToGrid w:val="0"/>
        <w:spacing w:before="120" w:after="120"/>
        <w:ind w:firstLine="720"/>
        <w:rPr>
          <w:snapToGrid w:val="0"/>
          <w:szCs w:val="22"/>
          <w:lang w:val="es-UY"/>
        </w:rPr>
      </w:pPr>
      <w:r w:rsidRPr="00FE28E1">
        <w:rPr>
          <w:snapToGrid w:val="0"/>
          <w:color w:val="000000" w:themeColor="text1"/>
          <w:szCs w:val="22"/>
          <w:lang w:val="es-UY"/>
        </w:rPr>
        <w:t>2.</w:t>
      </w:r>
      <w:r w:rsidRPr="00FE28E1">
        <w:rPr>
          <w:snapToGrid w:val="0"/>
          <w:color w:val="000000" w:themeColor="text1"/>
          <w:szCs w:val="22"/>
          <w:lang w:val="es-UY"/>
        </w:rPr>
        <w:tab/>
      </w:r>
      <w:r w:rsidR="000679FA" w:rsidRPr="00FE28E1">
        <w:rPr>
          <w:rStyle w:val="None"/>
          <w:i/>
          <w:lang w:val="es-UY"/>
        </w:rPr>
        <w:t>Exhorta</w:t>
      </w:r>
      <w:r w:rsidR="000679FA" w:rsidRPr="00FE28E1">
        <w:rPr>
          <w:rStyle w:val="None"/>
          <w:lang w:val="es-UY"/>
        </w:rPr>
        <w:t xml:space="preserve"> a las Partes y otros Gobiernos a que publiquen la información disponible a nivel nacional en el Centro de Intercambio de Información sobre Seguridad de la Biotecnología, de conformidad con las obligaciones dimanantes del Protocolo</w:t>
      </w:r>
      <w:r w:rsidR="0062508B" w:rsidRPr="00FE28E1">
        <w:rPr>
          <w:snapToGrid w:val="0"/>
          <w:szCs w:val="22"/>
          <w:lang w:val="es-UY"/>
        </w:rPr>
        <w:t>;</w:t>
      </w:r>
      <w:r w:rsidR="0062508B" w:rsidRPr="00FE28E1" w:rsidDel="00EF45A3">
        <w:rPr>
          <w:snapToGrid w:val="0"/>
          <w:szCs w:val="22"/>
          <w:lang w:val="es-UY"/>
        </w:rPr>
        <w:t xml:space="preserve"> </w:t>
      </w:r>
    </w:p>
    <w:p w14:paraId="6B44736A" w14:textId="2ED2F86A" w:rsidR="0062508B" w:rsidRPr="00FE28E1" w:rsidDel="00EF45A3" w:rsidRDefault="002836C8" w:rsidP="007D3783">
      <w:pPr>
        <w:shd w:val="clear" w:color="auto" w:fill="FFFFFF" w:themeFill="background1"/>
        <w:snapToGrid w:val="0"/>
        <w:spacing w:before="120" w:after="120"/>
        <w:ind w:firstLine="720"/>
        <w:rPr>
          <w:snapToGrid w:val="0"/>
          <w:szCs w:val="22"/>
          <w:lang w:val="es-UY"/>
        </w:rPr>
      </w:pPr>
      <w:r w:rsidRPr="00FE28E1">
        <w:rPr>
          <w:snapToGrid w:val="0"/>
          <w:color w:val="000000" w:themeColor="text1"/>
          <w:szCs w:val="22"/>
          <w:lang w:val="es-UY"/>
        </w:rPr>
        <w:t>3.</w:t>
      </w:r>
      <w:r w:rsidRPr="00FE28E1">
        <w:rPr>
          <w:snapToGrid w:val="0"/>
          <w:color w:val="000000" w:themeColor="text1"/>
          <w:szCs w:val="22"/>
          <w:lang w:val="es-UY"/>
        </w:rPr>
        <w:tab/>
      </w:r>
      <w:r w:rsidR="000679FA" w:rsidRPr="00FE28E1">
        <w:rPr>
          <w:rStyle w:val="None"/>
          <w:i/>
          <w:lang w:val="es-UY"/>
        </w:rPr>
        <w:t>Exhorta</w:t>
      </w:r>
      <w:r w:rsidR="000679FA" w:rsidRPr="00FE28E1">
        <w:rPr>
          <w:rStyle w:val="None"/>
          <w:lang w:val="es-UY"/>
        </w:rPr>
        <w:t xml:space="preserve"> a las Partes, otros Gobiernos y las organizaciones pertinentes a que revisen los registros que hayan publicado anteriormente en el Centro de Intercambio de Información sobre Seguridad de la Biotecnología para verificar su precisión en la nueva plataforma y a que realicen las revisiones o actualizaciones necesarias de forma oportuna</w:t>
      </w:r>
      <w:r w:rsidR="0062508B" w:rsidRPr="00FE28E1">
        <w:rPr>
          <w:snapToGrid w:val="0"/>
          <w:szCs w:val="22"/>
          <w:lang w:val="es-UY"/>
        </w:rPr>
        <w:t>;</w:t>
      </w:r>
    </w:p>
    <w:p w14:paraId="3C0C9EB2" w14:textId="4D13140C" w:rsidR="0062508B" w:rsidRPr="00FE28E1" w:rsidRDefault="002836C8" w:rsidP="004B57C8">
      <w:pPr>
        <w:ind w:firstLine="720"/>
        <w:jc w:val="left"/>
        <w:rPr>
          <w:sz w:val="24"/>
          <w:lang w:val="es-UY" w:eastAsia="zh-CN"/>
        </w:rPr>
      </w:pPr>
      <w:r w:rsidRPr="00FE28E1">
        <w:rPr>
          <w:snapToGrid w:val="0"/>
          <w:color w:val="000000" w:themeColor="text1"/>
          <w:szCs w:val="22"/>
          <w:lang w:val="es-UY"/>
        </w:rPr>
        <w:t>4.</w:t>
      </w:r>
      <w:r w:rsidRPr="00FE28E1">
        <w:rPr>
          <w:snapToGrid w:val="0"/>
          <w:color w:val="000000" w:themeColor="text1"/>
          <w:szCs w:val="22"/>
          <w:lang w:val="es-UY"/>
        </w:rPr>
        <w:tab/>
      </w:r>
      <w:r w:rsidR="000679FA" w:rsidRPr="00FE28E1">
        <w:rPr>
          <w:i/>
          <w:lang w:val="es-UY"/>
        </w:rPr>
        <w:t xml:space="preserve">Toma nota </w:t>
      </w:r>
      <w:r w:rsidR="000679FA" w:rsidRPr="00FE28E1">
        <w:rPr>
          <w:lang w:val="es-UY"/>
        </w:rPr>
        <w:t xml:space="preserve">de la meta A.2 y de las actividades de creación de capacidad conexas que figuran en el </w:t>
      </w:r>
      <w:r w:rsidR="00F24C65" w:rsidRPr="00FE28E1">
        <w:rPr>
          <w:lang w:val="es-UY"/>
        </w:rPr>
        <w:t xml:space="preserve">Plan </w:t>
      </w:r>
      <w:r w:rsidR="000679FA" w:rsidRPr="00FE28E1">
        <w:rPr>
          <w:lang w:val="es-UY"/>
        </w:rPr>
        <w:t xml:space="preserve">de </w:t>
      </w:r>
      <w:r w:rsidR="00F24C65" w:rsidRPr="00FE28E1">
        <w:rPr>
          <w:lang w:val="es-UY"/>
        </w:rPr>
        <w:t>Aplicación para el Protocolo de Cartagena sobre Seguridad de la Biotecnología</w:t>
      </w:r>
      <w:r w:rsidR="00BE41BA" w:rsidRPr="00FE28E1">
        <w:rPr>
          <w:rStyle w:val="FootnoteReference"/>
          <w:szCs w:val="22"/>
          <w:lang w:val="es-UY"/>
        </w:rPr>
        <w:footnoteReference w:id="2"/>
      </w:r>
      <w:r w:rsidR="00F24C65" w:rsidRPr="00FE28E1">
        <w:rPr>
          <w:lang w:val="es-UY"/>
        </w:rPr>
        <w:t xml:space="preserve"> </w:t>
      </w:r>
      <w:r w:rsidR="000679FA" w:rsidRPr="00FE28E1">
        <w:rPr>
          <w:lang w:val="es-UY"/>
        </w:rPr>
        <w:t xml:space="preserve">y en el </w:t>
      </w:r>
      <w:r w:rsidR="00F24C65" w:rsidRPr="00FE28E1">
        <w:rPr>
          <w:lang w:val="es-UY"/>
        </w:rPr>
        <w:t xml:space="preserve">Plan </w:t>
      </w:r>
      <w:r w:rsidR="000679FA" w:rsidRPr="00FE28E1">
        <w:rPr>
          <w:lang w:val="es-UY"/>
        </w:rPr>
        <w:t xml:space="preserve">de </w:t>
      </w:r>
      <w:r w:rsidR="00F24C65" w:rsidRPr="00FE28E1">
        <w:rPr>
          <w:lang w:val="es-UY"/>
        </w:rPr>
        <w:t xml:space="preserve">Acción </w:t>
      </w:r>
      <w:r w:rsidR="000679FA" w:rsidRPr="00FE28E1">
        <w:rPr>
          <w:lang w:val="es-UY"/>
        </w:rPr>
        <w:t xml:space="preserve">para la </w:t>
      </w:r>
      <w:r w:rsidR="00F24C65" w:rsidRPr="00FE28E1">
        <w:rPr>
          <w:lang w:val="es-UY"/>
        </w:rPr>
        <w:t xml:space="preserve">Creación </w:t>
      </w:r>
      <w:r w:rsidR="000679FA" w:rsidRPr="00FE28E1">
        <w:rPr>
          <w:lang w:val="es-UY"/>
        </w:rPr>
        <w:t xml:space="preserve">de </w:t>
      </w:r>
      <w:r w:rsidR="00F24C65" w:rsidRPr="00FE28E1">
        <w:rPr>
          <w:lang w:val="es-UY"/>
        </w:rPr>
        <w:t xml:space="preserve">Capacidad </w:t>
      </w:r>
      <w:r w:rsidR="000679FA" w:rsidRPr="00FE28E1">
        <w:rPr>
          <w:lang w:val="es-UY"/>
        </w:rPr>
        <w:t>para el Protocolo de Cartagena sobre Seguridad de la Biotecnología</w:t>
      </w:r>
      <w:r w:rsidR="00F24C65" w:rsidRPr="00FE28E1">
        <w:rPr>
          <w:szCs w:val="22"/>
          <w:vertAlign w:val="superscript"/>
          <w:lang w:val="es-UY"/>
        </w:rPr>
        <w:footnoteReference w:id="3"/>
      </w:r>
      <w:r w:rsidR="000679FA" w:rsidRPr="00FE28E1">
        <w:rPr>
          <w:szCs w:val="22"/>
          <w:lang w:val="es-UY"/>
        </w:rPr>
        <w:t xml:space="preserve"> e </w:t>
      </w:r>
      <w:r w:rsidR="000679FA" w:rsidRPr="00FE28E1">
        <w:rPr>
          <w:i/>
          <w:iCs/>
          <w:szCs w:val="22"/>
          <w:lang w:val="es-UY"/>
        </w:rPr>
        <w:t>invita</w:t>
      </w:r>
      <w:r w:rsidR="000679FA" w:rsidRPr="00FE28E1">
        <w:rPr>
          <w:szCs w:val="22"/>
          <w:lang w:val="es-UY"/>
        </w:rPr>
        <w:t xml:space="preserve"> </w:t>
      </w:r>
      <w:r w:rsidR="000679FA" w:rsidRPr="00FE28E1">
        <w:rPr>
          <w:lang w:val="es-UY"/>
        </w:rPr>
        <w:t xml:space="preserve">a las Partes, otros Gobiernos y las organizaciones pertinentes a que lleven a cabo </w:t>
      </w:r>
      <w:r w:rsidR="000679FA" w:rsidRPr="00FE28E1">
        <w:rPr>
          <w:lang w:val="es-UY"/>
        </w:rPr>
        <w:lastRenderedPageBreak/>
        <w:t>actividades conexas con miras a seguir fortaleciendo la función del Centro de Intercambio de Información sobre Seguridad de la Biotecnología en la aplicación del Protocolo de Cartagena</w:t>
      </w:r>
      <w:r w:rsidR="0062508B" w:rsidRPr="00FE28E1">
        <w:rPr>
          <w:szCs w:val="22"/>
          <w:lang w:val="es-UY"/>
        </w:rPr>
        <w:t>;</w:t>
      </w:r>
    </w:p>
    <w:p w14:paraId="4B30EFCD" w14:textId="618EA31C" w:rsidR="0062508B" w:rsidRPr="00FE28E1" w:rsidRDefault="002836C8" w:rsidP="007D3783">
      <w:pPr>
        <w:shd w:val="clear" w:color="auto" w:fill="FFFFFF" w:themeFill="background1"/>
        <w:snapToGrid w:val="0"/>
        <w:spacing w:before="120" w:after="120"/>
        <w:ind w:firstLine="720"/>
        <w:rPr>
          <w:szCs w:val="22"/>
          <w:lang w:val="es-UY"/>
        </w:rPr>
      </w:pPr>
      <w:r w:rsidRPr="00FE28E1">
        <w:rPr>
          <w:snapToGrid w:val="0"/>
          <w:color w:val="000000" w:themeColor="text1"/>
          <w:szCs w:val="22"/>
          <w:lang w:val="es-UY"/>
        </w:rPr>
        <w:t>5.</w:t>
      </w:r>
      <w:r w:rsidRPr="00FE28E1">
        <w:rPr>
          <w:snapToGrid w:val="0"/>
          <w:color w:val="000000" w:themeColor="text1"/>
          <w:szCs w:val="22"/>
          <w:lang w:val="es-UY"/>
        </w:rPr>
        <w:tab/>
      </w:r>
      <w:r w:rsidR="00DB5A77" w:rsidRPr="00FE28E1">
        <w:rPr>
          <w:rStyle w:val="None"/>
          <w:i/>
          <w:lang w:val="es-UY"/>
        </w:rPr>
        <w:t>Acoge con satisfacción</w:t>
      </w:r>
      <w:r w:rsidR="00DB5A77" w:rsidRPr="00FE28E1">
        <w:rPr>
          <w:lang w:val="es-UY"/>
        </w:rPr>
        <w:t xml:space="preserve"> la ejecución satisfactoria del “Proyecto para la Creación de Capacidad Sostenible para una Efectiva Participación en el Centro de Intercambio de Información sobre Seguridad de la Biotecnología” del Programa de las Naciones Unidas para el Medio Ambiente y el Fondo para el Medio Ambiente Mundial (Proyecto CIISB-III), e invita al Programa de las Naciones Unidas para el Medio Ambiente a continuar desarrollando otros proyectos de creación de capacidad relacionados con el Centro de Intercambio de Información sobre Seguridad de la Biotecnología</w:t>
      </w:r>
      <w:r w:rsidR="0062508B" w:rsidRPr="00FE28E1">
        <w:rPr>
          <w:snapToGrid w:val="0"/>
          <w:szCs w:val="22"/>
          <w:lang w:val="es-UY"/>
        </w:rPr>
        <w:t>;</w:t>
      </w:r>
      <w:r w:rsidR="0062508B" w:rsidRPr="00FE28E1">
        <w:rPr>
          <w:i/>
          <w:iCs/>
          <w:snapToGrid w:val="0"/>
          <w:szCs w:val="22"/>
          <w:lang w:val="es-UY"/>
        </w:rPr>
        <w:t xml:space="preserve"> </w:t>
      </w:r>
    </w:p>
    <w:p w14:paraId="6B32AE59" w14:textId="215219CD" w:rsidR="0062508B" w:rsidRPr="00FE28E1" w:rsidRDefault="00F65F47" w:rsidP="007D3783">
      <w:pPr>
        <w:shd w:val="clear" w:color="auto" w:fill="FFFFFF" w:themeFill="background1"/>
        <w:snapToGrid w:val="0"/>
        <w:spacing w:before="120" w:after="120"/>
        <w:ind w:firstLine="720"/>
        <w:rPr>
          <w:snapToGrid w:val="0"/>
          <w:szCs w:val="22"/>
          <w:lang w:val="es-UY"/>
        </w:rPr>
      </w:pPr>
      <w:r w:rsidRPr="00FE28E1">
        <w:rPr>
          <w:snapToGrid w:val="0"/>
          <w:color w:val="000000" w:themeColor="text1"/>
          <w:szCs w:val="22"/>
          <w:lang w:val="es-UY"/>
        </w:rPr>
        <w:t>6</w:t>
      </w:r>
      <w:r w:rsidR="002836C8" w:rsidRPr="00FE28E1">
        <w:rPr>
          <w:snapToGrid w:val="0"/>
          <w:color w:val="000000" w:themeColor="text1"/>
          <w:szCs w:val="22"/>
          <w:lang w:val="es-UY"/>
        </w:rPr>
        <w:t>.</w:t>
      </w:r>
      <w:r w:rsidR="002836C8" w:rsidRPr="00FE28E1">
        <w:rPr>
          <w:snapToGrid w:val="0"/>
          <w:color w:val="000000" w:themeColor="text1"/>
          <w:szCs w:val="22"/>
          <w:lang w:val="es-UY"/>
        </w:rPr>
        <w:tab/>
      </w:r>
      <w:r w:rsidR="00314020" w:rsidRPr="00FE28E1">
        <w:rPr>
          <w:rStyle w:val="None"/>
          <w:i/>
          <w:lang w:val="es-UY"/>
        </w:rPr>
        <w:t>También a</w:t>
      </w:r>
      <w:r w:rsidR="00DB5A77" w:rsidRPr="00FE28E1">
        <w:rPr>
          <w:rStyle w:val="None"/>
          <w:i/>
          <w:lang w:val="es-UY"/>
        </w:rPr>
        <w:t xml:space="preserve">coge con satisfacción </w:t>
      </w:r>
      <w:r w:rsidR="00DB5A77" w:rsidRPr="00FE28E1">
        <w:rPr>
          <w:rStyle w:val="None"/>
          <w:lang w:val="es-UY"/>
        </w:rPr>
        <w:t>las actividades de colaboración emprendidas entre las bases de datos de seguridad de la biotecnología de la Organización de las Naciones Unidas para la Alimentación y la Agricultura y la Organización de Cooperación y Desarrollo Económicos</w:t>
      </w:r>
      <w:r w:rsidR="00FE28E1">
        <w:rPr>
          <w:rStyle w:val="None"/>
          <w:lang w:val="es-UY"/>
        </w:rPr>
        <w:t>,</w:t>
      </w:r>
      <w:bookmarkStart w:id="1" w:name="_GoBack"/>
      <w:bookmarkEnd w:id="1"/>
      <w:r w:rsidR="00DB5A77" w:rsidRPr="00FE28E1">
        <w:rPr>
          <w:rStyle w:val="None"/>
          <w:lang w:val="es-UY"/>
        </w:rPr>
        <w:t xml:space="preserve"> y el Centro de Intercambio de Información sobre Seguridad de la Biotecnología</w:t>
      </w:r>
      <w:r w:rsidR="0062508B" w:rsidRPr="00FE28E1">
        <w:rPr>
          <w:snapToGrid w:val="0"/>
          <w:szCs w:val="22"/>
          <w:lang w:val="es-UY"/>
        </w:rPr>
        <w:t>;</w:t>
      </w:r>
    </w:p>
    <w:p w14:paraId="12576B0B" w14:textId="1BE0990D" w:rsidR="0062508B" w:rsidRPr="00FE28E1" w:rsidRDefault="00F65F47" w:rsidP="007D3783">
      <w:pPr>
        <w:shd w:val="clear" w:color="auto" w:fill="FFFFFF" w:themeFill="background1"/>
        <w:snapToGrid w:val="0"/>
        <w:spacing w:before="120" w:after="120"/>
        <w:ind w:firstLine="720"/>
        <w:rPr>
          <w:snapToGrid w:val="0"/>
          <w:color w:val="000000" w:themeColor="text1"/>
          <w:szCs w:val="22"/>
          <w:lang w:val="es-UY"/>
        </w:rPr>
      </w:pPr>
      <w:r w:rsidRPr="00FE28E1">
        <w:rPr>
          <w:snapToGrid w:val="0"/>
          <w:color w:val="000000" w:themeColor="text1"/>
          <w:szCs w:val="22"/>
          <w:lang w:val="es-UY"/>
        </w:rPr>
        <w:t>7</w:t>
      </w:r>
      <w:r w:rsidR="002836C8" w:rsidRPr="00FE28E1">
        <w:rPr>
          <w:snapToGrid w:val="0"/>
          <w:color w:val="000000" w:themeColor="text1"/>
          <w:szCs w:val="22"/>
          <w:lang w:val="es-UY"/>
        </w:rPr>
        <w:t>.</w:t>
      </w:r>
      <w:r w:rsidR="002836C8" w:rsidRPr="00FE28E1">
        <w:rPr>
          <w:snapToGrid w:val="0"/>
          <w:color w:val="000000" w:themeColor="text1"/>
          <w:szCs w:val="22"/>
          <w:lang w:val="es-UY"/>
        </w:rPr>
        <w:tab/>
      </w:r>
      <w:r w:rsidR="00DB5A77" w:rsidRPr="00FE28E1">
        <w:rPr>
          <w:i/>
          <w:color w:val="000000" w:themeColor="text1"/>
          <w:lang w:val="es-UY"/>
        </w:rPr>
        <w:t>Pide</w:t>
      </w:r>
      <w:r w:rsidR="00DB5A77" w:rsidRPr="00FE28E1">
        <w:rPr>
          <w:color w:val="000000" w:themeColor="text1"/>
          <w:lang w:val="es-UY"/>
        </w:rPr>
        <w:t xml:space="preserve"> a la Secretaria Ejecutiva que siga manteniendo el Centro de Intercambio de Información sobre Seguridad de la Biotecnología y realizando las mejoras necesarias, </w:t>
      </w:r>
      <w:r w:rsidR="00511FCD" w:rsidRPr="00FE28E1">
        <w:rPr>
          <w:color w:val="000000" w:themeColor="text1"/>
          <w:lang w:val="es-UY"/>
        </w:rPr>
        <w:t>que incluyen</w:t>
      </w:r>
      <w:r w:rsidR="0062508B" w:rsidRPr="00FE28E1">
        <w:rPr>
          <w:snapToGrid w:val="0"/>
          <w:color w:val="000000" w:themeColor="text1"/>
          <w:szCs w:val="22"/>
          <w:lang w:val="es-UY"/>
        </w:rPr>
        <w:t>:</w:t>
      </w:r>
    </w:p>
    <w:p w14:paraId="3EB24F40" w14:textId="1BFA5C81" w:rsidR="0062508B" w:rsidRPr="00FE28E1" w:rsidRDefault="00275B92" w:rsidP="007D3783">
      <w:pPr>
        <w:suppressLineNumbers/>
        <w:shd w:val="clear" w:color="auto" w:fill="FFFFFF" w:themeFill="background1"/>
        <w:suppressAutoHyphens/>
        <w:spacing w:before="120" w:after="120"/>
        <w:ind w:firstLine="720"/>
        <w:rPr>
          <w:color w:val="000000" w:themeColor="text1"/>
          <w:szCs w:val="22"/>
          <w:lang w:val="es-UY"/>
        </w:rPr>
      </w:pPr>
      <w:r w:rsidRPr="00FE28E1">
        <w:rPr>
          <w:color w:val="000000" w:themeColor="text1"/>
          <w:szCs w:val="22"/>
          <w:lang w:val="es-UY"/>
        </w:rPr>
        <w:t>a)</w:t>
      </w:r>
      <w:r w:rsidRPr="00FE28E1">
        <w:rPr>
          <w:color w:val="000000" w:themeColor="text1"/>
          <w:szCs w:val="22"/>
          <w:lang w:val="es-UY"/>
        </w:rPr>
        <w:tab/>
      </w:r>
      <w:r w:rsidR="00DB5A77" w:rsidRPr="00FE28E1">
        <w:rPr>
          <w:color w:val="000000" w:themeColor="text1"/>
          <w:lang w:val="es-UY"/>
        </w:rPr>
        <w:t xml:space="preserve">Traducir más páginas del </w:t>
      </w:r>
      <w:r w:rsidR="00FD71EB" w:rsidRPr="00FE28E1">
        <w:rPr>
          <w:color w:val="000000" w:themeColor="text1"/>
          <w:lang w:val="es-UY"/>
        </w:rPr>
        <w:t>Centro de Intercambio de Información sobre Seguridad de la Biotecnología</w:t>
      </w:r>
      <w:r w:rsidR="00DB5A77" w:rsidRPr="00FE28E1">
        <w:rPr>
          <w:color w:val="000000" w:themeColor="text1"/>
          <w:lang w:val="es-UY"/>
        </w:rPr>
        <w:t xml:space="preserve">, </w:t>
      </w:r>
      <w:r w:rsidR="00001FF0" w:rsidRPr="00FE28E1">
        <w:rPr>
          <w:color w:val="000000" w:themeColor="text1"/>
          <w:lang w:val="es-UY"/>
        </w:rPr>
        <w:t>tales como</w:t>
      </w:r>
      <w:r w:rsidR="00DB5A77" w:rsidRPr="00FE28E1">
        <w:rPr>
          <w:color w:val="000000" w:themeColor="text1"/>
          <w:lang w:val="es-UY"/>
        </w:rPr>
        <w:t xml:space="preserve"> nuevas características y contenidos a medida que se desarrollen, a fin de garantizar que el Centro de Intercambio de Información esté disponible en los seis idiomas oficiales de las Naciones Unidas</w:t>
      </w:r>
      <w:r w:rsidR="0062508B" w:rsidRPr="00FE28E1">
        <w:rPr>
          <w:color w:val="000000" w:themeColor="text1"/>
          <w:szCs w:val="22"/>
          <w:lang w:val="es-UY"/>
        </w:rPr>
        <w:t xml:space="preserve">; </w:t>
      </w:r>
    </w:p>
    <w:p w14:paraId="59972450" w14:textId="30AAA857" w:rsidR="0062508B" w:rsidRPr="00FE28E1" w:rsidRDefault="00275B92" w:rsidP="007D3783">
      <w:pPr>
        <w:suppressLineNumbers/>
        <w:shd w:val="clear" w:color="auto" w:fill="FFFFFF" w:themeFill="background1"/>
        <w:suppressAutoHyphens/>
        <w:spacing w:before="120" w:after="120"/>
        <w:ind w:firstLine="720"/>
        <w:rPr>
          <w:color w:val="000000" w:themeColor="text1"/>
          <w:szCs w:val="22"/>
          <w:lang w:val="es-UY"/>
        </w:rPr>
      </w:pPr>
      <w:r w:rsidRPr="00FE28E1">
        <w:rPr>
          <w:color w:val="000000" w:themeColor="text1"/>
          <w:szCs w:val="22"/>
          <w:lang w:val="es-UY"/>
        </w:rPr>
        <w:t>b)</w:t>
      </w:r>
      <w:r w:rsidRPr="00FE28E1">
        <w:rPr>
          <w:color w:val="000000" w:themeColor="text1"/>
          <w:szCs w:val="22"/>
          <w:lang w:val="es-UY"/>
        </w:rPr>
        <w:tab/>
      </w:r>
      <w:r w:rsidR="00DB5A77" w:rsidRPr="00FE28E1">
        <w:rPr>
          <w:color w:val="000000" w:themeColor="text1"/>
          <w:lang w:val="es-UY"/>
        </w:rPr>
        <w:t xml:space="preserve">Estudiar cómo puede utilizarse la herramienta </w:t>
      </w:r>
      <w:proofErr w:type="spellStart"/>
      <w:r w:rsidR="00DB5A77" w:rsidRPr="00FE28E1">
        <w:rPr>
          <w:color w:val="000000" w:themeColor="text1"/>
          <w:lang w:val="es-UY"/>
        </w:rPr>
        <w:t>Bioland</w:t>
      </w:r>
      <w:proofErr w:type="spellEnd"/>
      <w:r w:rsidR="00DB5A77" w:rsidRPr="00FE28E1">
        <w:rPr>
          <w:color w:val="000000" w:themeColor="text1"/>
          <w:lang w:val="es-UY"/>
        </w:rPr>
        <w:t xml:space="preserve"> para facilitar el vínculo entre los sitios web nacionales y el Centro de Intercambio de Información sobre Seguridad de la Biotecnología, y otros mecanismos que permitan a los centros de intercambio de información nacionales recuperar información del Centro de Intercambio de Información sobre Seguridad de la Biotecnología</w:t>
      </w:r>
      <w:r w:rsidR="0062508B" w:rsidRPr="00FE28E1">
        <w:rPr>
          <w:color w:val="000000" w:themeColor="text1"/>
          <w:szCs w:val="22"/>
          <w:lang w:val="es-UY"/>
        </w:rPr>
        <w:t>;</w:t>
      </w:r>
    </w:p>
    <w:p w14:paraId="696D5584" w14:textId="219C94E7" w:rsidR="0039498D" w:rsidRPr="00FE28E1" w:rsidRDefault="006341F7" w:rsidP="000F4766">
      <w:pPr>
        <w:suppressLineNumbers/>
        <w:shd w:val="clear" w:color="auto" w:fill="FFFFFF" w:themeFill="background1"/>
        <w:suppressAutoHyphens/>
        <w:spacing w:before="120" w:after="120"/>
        <w:ind w:firstLine="720"/>
        <w:rPr>
          <w:color w:val="000000" w:themeColor="text1"/>
          <w:szCs w:val="22"/>
          <w:lang w:val="es-UY"/>
        </w:rPr>
      </w:pPr>
      <w:r w:rsidRPr="00FE28E1">
        <w:rPr>
          <w:color w:val="000000" w:themeColor="text1"/>
          <w:szCs w:val="22"/>
          <w:lang w:val="es-UY"/>
        </w:rPr>
        <w:t>c)</w:t>
      </w:r>
      <w:r w:rsidRPr="00FE28E1">
        <w:rPr>
          <w:color w:val="000000" w:themeColor="text1"/>
          <w:szCs w:val="22"/>
          <w:lang w:val="es-UY"/>
        </w:rPr>
        <w:tab/>
      </w:r>
      <w:r w:rsidR="00DB5A77" w:rsidRPr="00FE28E1">
        <w:rPr>
          <w:color w:val="000000" w:themeColor="text1"/>
          <w:szCs w:val="22"/>
          <w:lang w:val="es-UY"/>
        </w:rPr>
        <w:t>Continuar asegurándose de que la información del centro esté al día</w:t>
      </w:r>
      <w:r w:rsidR="00056BA6" w:rsidRPr="00FE28E1">
        <w:rPr>
          <w:color w:val="000000" w:themeColor="text1"/>
          <w:szCs w:val="22"/>
          <w:lang w:val="es-UY"/>
        </w:rPr>
        <w:t>;</w:t>
      </w:r>
    </w:p>
    <w:p w14:paraId="797C466E" w14:textId="5763B6D0" w:rsidR="005445B0" w:rsidRPr="00FE28E1" w:rsidRDefault="00F65F47" w:rsidP="00D16A43">
      <w:pPr>
        <w:keepNext/>
        <w:suppressLineNumbers/>
        <w:shd w:val="clear" w:color="auto" w:fill="FFFFFF" w:themeFill="background1"/>
        <w:suppressAutoHyphens/>
        <w:snapToGrid w:val="0"/>
        <w:spacing w:before="120" w:after="120"/>
        <w:ind w:firstLine="720"/>
        <w:rPr>
          <w:snapToGrid w:val="0"/>
          <w:color w:val="000000" w:themeColor="text1"/>
          <w:szCs w:val="22"/>
          <w:lang w:val="es-UY"/>
        </w:rPr>
      </w:pPr>
      <w:r w:rsidRPr="00FE28E1">
        <w:rPr>
          <w:snapToGrid w:val="0"/>
          <w:color w:val="000000" w:themeColor="text1"/>
          <w:szCs w:val="22"/>
          <w:lang w:val="es-UY"/>
        </w:rPr>
        <w:t>8</w:t>
      </w:r>
      <w:r w:rsidR="00643C07" w:rsidRPr="00FE28E1">
        <w:rPr>
          <w:i/>
          <w:iCs/>
          <w:snapToGrid w:val="0"/>
          <w:color w:val="000000" w:themeColor="text1"/>
          <w:szCs w:val="22"/>
          <w:lang w:val="es-UY"/>
        </w:rPr>
        <w:t>.</w:t>
      </w:r>
      <w:r w:rsidR="00643C07" w:rsidRPr="00FE28E1">
        <w:rPr>
          <w:i/>
          <w:iCs/>
          <w:snapToGrid w:val="0"/>
          <w:color w:val="000000" w:themeColor="text1"/>
          <w:szCs w:val="22"/>
          <w:lang w:val="es-UY"/>
        </w:rPr>
        <w:tab/>
      </w:r>
      <w:r w:rsidR="00DB5A77" w:rsidRPr="00FE28E1">
        <w:rPr>
          <w:i/>
          <w:color w:val="000000" w:themeColor="text1"/>
          <w:lang w:val="es-UY"/>
        </w:rPr>
        <w:t>Pide además</w:t>
      </w:r>
      <w:r w:rsidR="00DB5A77" w:rsidRPr="00FE28E1">
        <w:rPr>
          <w:color w:val="000000" w:themeColor="text1"/>
          <w:lang w:val="es-UY"/>
        </w:rPr>
        <w:t xml:space="preserve"> a la Secretaria Ejecutiva que</w:t>
      </w:r>
      <w:r w:rsidR="0062508B" w:rsidRPr="00FE28E1">
        <w:rPr>
          <w:snapToGrid w:val="0"/>
          <w:color w:val="000000" w:themeColor="text1"/>
          <w:szCs w:val="22"/>
          <w:lang w:val="es-UY"/>
        </w:rPr>
        <w:t xml:space="preserve">: </w:t>
      </w:r>
    </w:p>
    <w:p w14:paraId="6E211B9A" w14:textId="0964DCA2" w:rsidR="0062508B" w:rsidRPr="00FE28E1" w:rsidRDefault="00275B92" w:rsidP="007D3783">
      <w:pPr>
        <w:suppressLineNumbers/>
        <w:shd w:val="clear" w:color="auto" w:fill="FFFFFF" w:themeFill="background1"/>
        <w:suppressAutoHyphens/>
        <w:spacing w:before="120" w:after="120"/>
        <w:ind w:firstLine="720"/>
        <w:rPr>
          <w:color w:val="000000" w:themeColor="text1"/>
          <w:szCs w:val="22"/>
          <w:lang w:val="es-UY"/>
        </w:rPr>
      </w:pPr>
      <w:r w:rsidRPr="00FE28E1">
        <w:rPr>
          <w:color w:val="000000" w:themeColor="text1"/>
          <w:szCs w:val="22"/>
          <w:lang w:val="es-UY"/>
        </w:rPr>
        <w:t>a)</w:t>
      </w:r>
      <w:r w:rsidRPr="00FE28E1">
        <w:rPr>
          <w:color w:val="000000" w:themeColor="text1"/>
          <w:szCs w:val="22"/>
          <w:lang w:val="es-UY"/>
        </w:rPr>
        <w:tab/>
      </w:r>
      <w:r w:rsidR="00DB5A77" w:rsidRPr="00FE28E1">
        <w:rPr>
          <w:color w:val="000000" w:themeColor="text1"/>
          <w:lang w:val="es-UY"/>
        </w:rPr>
        <w:t xml:space="preserve">Elabore materiales de creación de capacidad basados en las prioridades identificadas por las </w:t>
      </w:r>
      <w:r w:rsidR="007D62D9" w:rsidRPr="00FE28E1">
        <w:rPr>
          <w:color w:val="000000" w:themeColor="text1"/>
          <w:lang w:val="es-UY"/>
        </w:rPr>
        <w:t>P</w:t>
      </w:r>
      <w:r w:rsidR="00DB5A77" w:rsidRPr="00FE28E1">
        <w:rPr>
          <w:color w:val="000000" w:themeColor="text1"/>
          <w:lang w:val="es-UY"/>
        </w:rPr>
        <w:t xml:space="preserve">artes e imparta cursos de capacitación sobre las nuevas funcionalidades del Centro de Intercambio de Información sobre Seguridad de la Biotecnología, incluso como contribución a las actividades fundamentales destacadas en el </w:t>
      </w:r>
      <w:r w:rsidR="007D62D9" w:rsidRPr="00FE28E1">
        <w:rPr>
          <w:color w:val="000000" w:themeColor="text1"/>
          <w:lang w:val="es-UY"/>
        </w:rPr>
        <w:t xml:space="preserve">Plan </w:t>
      </w:r>
      <w:r w:rsidR="00DB5A77" w:rsidRPr="00FE28E1">
        <w:rPr>
          <w:color w:val="000000" w:themeColor="text1"/>
          <w:lang w:val="es-UY"/>
        </w:rPr>
        <w:t xml:space="preserve">de </w:t>
      </w:r>
      <w:r w:rsidR="007D62D9" w:rsidRPr="00FE28E1">
        <w:rPr>
          <w:color w:val="000000" w:themeColor="text1"/>
          <w:lang w:val="es-UY"/>
        </w:rPr>
        <w:t xml:space="preserve">Acción </w:t>
      </w:r>
      <w:r w:rsidR="00DB5A77" w:rsidRPr="00FE28E1">
        <w:rPr>
          <w:color w:val="000000" w:themeColor="text1"/>
          <w:lang w:val="es-UY"/>
        </w:rPr>
        <w:t xml:space="preserve">para la </w:t>
      </w:r>
      <w:r w:rsidR="007D62D9" w:rsidRPr="00FE28E1">
        <w:rPr>
          <w:color w:val="000000" w:themeColor="text1"/>
          <w:lang w:val="es-UY"/>
        </w:rPr>
        <w:t xml:space="preserve">Creación </w:t>
      </w:r>
      <w:r w:rsidR="00DB5A77" w:rsidRPr="00FE28E1">
        <w:rPr>
          <w:color w:val="000000" w:themeColor="text1"/>
          <w:lang w:val="es-UY"/>
        </w:rPr>
        <w:t xml:space="preserve">de </w:t>
      </w:r>
      <w:r w:rsidR="007D62D9" w:rsidRPr="00FE28E1">
        <w:rPr>
          <w:color w:val="000000" w:themeColor="text1"/>
          <w:lang w:val="es-UY"/>
        </w:rPr>
        <w:t>Capacidad para el Protocolo de Cartagena sobre Seguridad de la Biotecnología adoptado en la decisión CP-10/4</w:t>
      </w:r>
      <w:r w:rsidR="0062508B" w:rsidRPr="00FE28E1">
        <w:rPr>
          <w:color w:val="000000" w:themeColor="text1"/>
          <w:szCs w:val="22"/>
          <w:lang w:val="es-UY"/>
        </w:rPr>
        <w:t xml:space="preserve">; </w:t>
      </w:r>
    </w:p>
    <w:p w14:paraId="072CD8A9" w14:textId="5A877523" w:rsidR="0062508B" w:rsidRPr="00FE28E1" w:rsidRDefault="00275B92" w:rsidP="007D3783">
      <w:pPr>
        <w:suppressLineNumbers/>
        <w:shd w:val="clear" w:color="auto" w:fill="FFFFFF" w:themeFill="background1"/>
        <w:suppressAutoHyphens/>
        <w:spacing w:before="120" w:after="120"/>
        <w:ind w:firstLine="720"/>
        <w:jc w:val="left"/>
        <w:rPr>
          <w:color w:val="000000" w:themeColor="text1"/>
          <w:szCs w:val="22"/>
          <w:lang w:val="es-UY"/>
        </w:rPr>
      </w:pPr>
      <w:r w:rsidRPr="00FE28E1">
        <w:rPr>
          <w:color w:val="000000" w:themeColor="text1"/>
          <w:szCs w:val="22"/>
          <w:lang w:val="es-UY"/>
        </w:rPr>
        <w:t>b)</w:t>
      </w:r>
      <w:r w:rsidRPr="00FE28E1">
        <w:rPr>
          <w:color w:val="000000" w:themeColor="text1"/>
          <w:szCs w:val="22"/>
          <w:lang w:val="es-UY"/>
        </w:rPr>
        <w:tab/>
      </w:r>
      <w:r w:rsidR="00DB5A77" w:rsidRPr="00FE28E1">
        <w:rPr>
          <w:color w:val="000000" w:themeColor="text1"/>
          <w:lang w:val="es-UY"/>
        </w:rPr>
        <w:t>E</w:t>
      </w:r>
      <w:r w:rsidR="00BE3DFC" w:rsidRPr="00FE28E1">
        <w:rPr>
          <w:color w:val="000000" w:themeColor="text1"/>
          <w:lang w:val="es-UY"/>
        </w:rPr>
        <w:t>studie</w:t>
      </w:r>
      <w:r w:rsidR="00DB5A77" w:rsidRPr="00FE28E1">
        <w:rPr>
          <w:color w:val="000000" w:themeColor="text1"/>
          <w:lang w:val="es-UY"/>
        </w:rPr>
        <w:t xml:space="preserve"> opciones </w:t>
      </w:r>
      <w:r w:rsidR="00BE3DFC" w:rsidRPr="00FE28E1">
        <w:rPr>
          <w:color w:val="000000" w:themeColor="text1"/>
          <w:lang w:val="es-UY"/>
        </w:rPr>
        <w:t xml:space="preserve">e implemente </w:t>
      </w:r>
      <w:r w:rsidR="00DB5A77" w:rsidRPr="00FE28E1">
        <w:rPr>
          <w:color w:val="000000" w:themeColor="text1"/>
          <w:lang w:val="es-UY"/>
        </w:rPr>
        <w:t>un enfoque coordinado de la infraestructura web para los foros en línea en todos los centros de intercambio de información</w:t>
      </w:r>
      <w:r w:rsidR="0062508B" w:rsidRPr="00FE28E1">
        <w:rPr>
          <w:color w:val="000000" w:themeColor="text1"/>
          <w:szCs w:val="22"/>
          <w:lang w:val="es-UY"/>
        </w:rPr>
        <w:t xml:space="preserve">; </w:t>
      </w:r>
    </w:p>
    <w:p w14:paraId="396FE18B" w14:textId="5C73AC5A" w:rsidR="006538CE" w:rsidRPr="00FE28E1" w:rsidRDefault="004663D4" w:rsidP="004B57C8">
      <w:pPr>
        <w:suppressLineNumbers/>
        <w:shd w:val="clear" w:color="auto" w:fill="FFFFFF" w:themeFill="background1"/>
        <w:suppressAutoHyphens/>
        <w:spacing w:before="120" w:after="120"/>
        <w:ind w:firstLine="720"/>
        <w:jc w:val="left"/>
        <w:rPr>
          <w:lang w:val="es-UY"/>
        </w:rPr>
      </w:pPr>
      <w:r w:rsidRPr="00FE28E1">
        <w:rPr>
          <w:color w:val="000000" w:themeColor="text1"/>
          <w:szCs w:val="22"/>
          <w:lang w:val="es-UY"/>
        </w:rPr>
        <w:t>c</w:t>
      </w:r>
      <w:r w:rsidR="00275B92" w:rsidRPr="00FE28E1">
        <w:rPr>
          <w:color w:val="000000" w:themeColor="text1"/>
          <w:szCs w:val="22"/>
          <w:lang w:val="es-UY"/>
        </w:rPr>
        <w:t>)</w:t>
      </w:r>
      <w:r w:rsidR="00275B92" w:rsidRPr="00FE28E1">
        <w:rPr>
          <w:color w:val="000000" w:themeColor="text1"/>
          <w:szCs w:val="22"/>
          <w:lang w:val="es-UY"/>
        </w:rPr>
        <w:tab/>
      </w:r>
      <w:r w:rsidR="00BE3DFC" w:rsidRPr="00FE28E1">
        <w:rPr>
          <w:color w:val="000000" w:themeColor="text1"/>
          <w:lang w:val="es-UY"/>
        </w:rPr>
        <w:t>Continúe</w:t>
      </w:r>
      <w:r w:rsidR="00DB5A77" w:rsidRPr="00FE28E1">
        <w:rPr>
          <w:color w:val="000000" w:themeColor="text1"/>
          <w:lang w:val="es-UY"/>
        </w:rPr>
        <w:t xml:space="preserve"> colaborando con otras bases de datos y organizaciones relacionadas con la seguridad de la biotecnología</w:t>
      </w:r>
      <w:r w:rsidR="0062508B" w:rsidRPr="00FE28E1">
        <w:rPr>
          <w:color w:val="000000" w:themeColor="text1"/>
          <w:szCs w:val="22"/>
          <w:lang w:val="es-UY"/>
        </w:rPr>
        <w:t>.</w:t>
      </w:r>
    </w:p>
    <w:p w14:paraId="142C7108" w14:textId="77777777" w:rsidR="006538CE" w:rsidRPr="00FE28E1" w:rsidRDefault="006538CE" w:rsidP="007D3783">
      <w:pPr>
        <w:shd w:val="clear" w:color="auto" w:fill="FFFFFF" w:themeFill="background1"/>
        <w:jc w:val="center"/>
        <w:rPr>
          <w:lang w:val="es-UY"/>
        </w:rPr>
      </w:pPr>
      <w:r w:rsidRPr="00FE28E1">
        <w:rPr>
          <w:lang w:val="es-UY"/>
        </w:rPr>
        <w:t>__________</w:t>
      </w:r>
    </w:p>
    <w:p w14:paraId="3BE965D1" w14:textId="04A0EAE4" w:rsidR="0062508B" w:rsidRPr="00FE28E1" w:rsidRDefault="0062508B" w:rsidP="007D3783">
      <w:pPr>
        <w:shd w:val="clear" w:color="auto" w:fill="FFFFFF" w:themeFill="background1"/>
        <w:jc w:val="left"/>
        <w:rPr>
          <w:rFonts w:asciiTheme="majorBidi" w:hAnsiTheme="majorBidi" w:cstheme="majorBidi"/>
          <w:b/>
          <w:bCs/>
          <w:snapToGrid w:val="0"/>
          <w:kern w:val="22"/>
          <w:lang w:val="es-UY"/>
        </w:rPr>
      </w:pPr>
    </w:p>
    <w:sectPr w:rsidR="0062508B" w:rsidRPr="00FE28E1" w:rsidSect="000A50F5">
      <w:headerReference w:type="even" r:id="rId15"/>
      <w:headerReference w:type="default" r:id="rId16"/>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CAFF0" w14:textId="77777777" w:rsidR="00D931F9" w:rsidRDefault="00D931F9" w:rsidP="00CF1848">
      <w:r>
        <w:separator/>
      </w:r>
    </w:p>
  </w:endnote>
  <w:endnote w:type="continuationSeparator" w:id="0">
    <w:p w14:paraId="7AD46E63" w14:textId="77777777" w:rsidR="00D931F9" w:rsidRDefault="00D931F9" w:rsidP="00CF1848">
      <w:r>
        <w:continuationSeparator/>
      </w:r>
    </w:p>
  </w:endnote>
  <w:endnote w:type="continuationNotice" w:id="1">
    <w:p w14:paraId="6F4A700D" w14:textId="77777777" w:rsidR="00D931F9" w:rsidRDefault="00D93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FE9C" w14:textId="77777777" w:rsidR="00D931F9" w:rsidRDefault="00D931F9" w:rsidP="00CF1848">
      <w:r>
        <w:separator/>
      </w:r>
    </w:p>
  </w:footnote>
  <w:footnote w:type="continuationSeparator" w:id="0">
    <w:p w14:paraId="5C6FE7F0" w14:textId="77777777" w:rsidR="00D931F9" w:rsidRDefault="00D931F9" w:rsidP="00CF1848">
      <w:r>
        <w:continuationSeparator/>
      </w:r>
    </w:p>
  </w:footnote>
  <w:footnote w:type="continuationNotice" w:id="1">
    <w:p w14:paraId="453A0A16" w14:textId="77777777" w:rsidR="00D931F9" w:rsidRDefault="00D931F9"/>
  </w:footnote>
  <w:footnote w:id="2">
    <w:p w14:paraId="6FF4F536" w14:textId="50711ABA" w:rsidR="00BE41BA" w:rsidRPr="00362551" w:rsidRDefault="00BE41BA" w:rsidP="00BE41BA">
      <w:pPr>
        <w:pStyle w:val="FootnoteText"/>
        <w:ind w:firstLine="0"/>
        <w:rPr>
          <w:szCs w:val="18"/>
          <w:lang w:val="es-MX"/>
        </w:rPr>
      </w:pPr>
      <w:r w:rsidRPr="00E50A63">
        <w:rPr>
          <w:rStyle w:val="FootnoteReference"/>
          <w:sz w:val="18"/>
          <w:szCs w:val="18"/>
        </w:rPr>
        <w:footnoteRef/>
      </w:r>
      <w:r w:rsidRPr="00362551">
        <w:rPr>
          <w:szCs w:val="18"/>
          <w:lang w:val="es-MX"/>
        </w:rPr>
        <w:t xml:space="preserve"> </w:t>
      </w:r>
      <w:r w:rsidR="00362551" w:rsidRPr="00362551">
        <w:rPr>
          <w:szCs w:val="18"/>
          <w:lang w:val="es-MX"/>
        </w:rPr>
        <w:t>Anexo de la d</w:t>
      </w:r>
      <w:r w:rsidRPr="00362551">
        <w:rPr>
          <w:szCs w:val="18"/>
          <w:lang w:val="es-MX"/>
        </w:rPr>
        <w:t>ecisi</w:t>
      </w:r>
      <w:r w:rsidR="00362551">
        <w:rPr>
          <w:szCs w:val="18"/>
          <w:lang w:val="es-MX"/>
        </w:rPr>
        <w:t>ó</w:t>
      </w:r>
      <w:r w:rsidRPr="00362551">
        <w:rPr>
          <w:szCs w:val="18"/>
          <w:lang w:val="es-MX"/>
        </w:rPr>
        <w:t>n CP</w:t>
      </w:r>
      <w:r w:rsidR="00362551">
        <w:rPr>
          <w:szCs w:val="18"/>
          <w:lang w:val="es-MX"/>
        </w:rPr>
        <w:t>-10/3</w:t>
      </w:r>
      <w:r w:rsidRPr="00362551">
        <w:rPr>
          <w:szCs w:val="18"/>
          <w:lang w:val="es-MX"/>
        </w:rPr>
        <w:t>.</w:t>
      </w:r>
    </w:p>
  </w:footnote>
  <w:footnote w:id="3">
    <w:p w14:paraId="4BE71C66" w14:textId="601B303F" w:rsidR="00F24C65" w:rsidRPr="00362551" w:rsidRDefault="00F24C65" w:rsidP="00F24C65">
      <w:pPr>
        <w:pStyle w:val="FootnoteText"/>
        <w:ind w:firstLine="0"/>
        <w:rPr>
          <w:lang w:val="es-MX"/>
        </w:rPr>
      </w:pPr>
      <w:r w:rsidRPr="00E50A63">
        <w:rPr>
          <w:rStyle w:val="FootnoteReference"/>
          <w:sz w:val="18"/>
          <w:szCs w:val="18"/>
        </w:rPr>
        <w:footnoteRef/>
      </w:r>
      <w:r w:rsidRPr="00362551">
        <w:rPr>
          <w:szCs w:val="18"/>
          <w:lang w:val="es-MX"/>
        </w:rPr>
        <w:t xml:space="preserve"> </w:t>
      </w:r>
      <w:r w:rsidR="00362551" w:rsidRPr="00362551">
        <w:rPr>
          <w:szCs w:val="18"/>
          <w:lang w:val="es-MX"/>
        </w:rPr>
        <w:t>Anexo de la d</w:t>
      </w:r>
      <w:r w:rsidR="00362551">
        <w:rPr>
          <w:szCs w:val="18"/>
          <w:lang w:val="es-MX"/>
        </w:rPr>
        <w:t>ecisión CP-10/4</w:t>
      </w:r>
      <w:r w:rsidRPr="00362551">
        <w:rPr>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EndPr/>
    <w:sdtContent>
      <w:p w14:paraId="0DFAA97C" w14:textId="631D6A13" w:rsidR="00A373EB" w:rsidRPr="00F82E34" w:rsidRDefault="008511F2" w:rsidP="00A373EB">
        <w:pPr>
          <w:pStyle w:val="Cornernotation"/>
          <w:ind w:right="-36"/>
          <w:rPr>
            <w:i/>
            <w:iCs/>
            <w:lang w:val="en-US"/>
          </w:rPr>
        </w:pPr>
        <w:r>
          <w:rPr>
            <w:lang w:val="en-US"/>
          </w:rPr>
          <w:t>CBD/CP/MOP/DEC/10/5</w:t>
        </w:r>
      </w:p>
    </w:sdtContent>
  </w:sdt>
  <w:p w14:paraId="5CB52F24" w14:textId="49E0996D" w:rsidR="000E579F" w:rsidRPr="00F458A3" w:rsidRDefault="00A373EB" w:rsidP="00DF1739">
    <w:pPr>
      <w:pStyle w:val="Header"/>
      <w:spacing w:after="240"/>
      <w:rPr>
        <w:lang w:val="es-ES_tradnl"/>
      </w:rPr>
    </w:pPr>
    <w:r w:rsidRPr="00F458A3">
      <w:rPr>
        <w:lang w:val="es-ES_tradnl"/>
      </w:rPr>
      <w:t>P</w:t>
    </w:r>
    <w:r w:rsidR="00F458A3" w:rsidRPr="00F458A3">
      <w:rPr>
        <w:lang w:val="es-ES_tradnl"/>
      </w:rPr>
      <w:t>ágina</w:t>
    </w:r>
    <w:r w:rsidRPr="00F458A3">
      <w:rPr>
        <w:lang w:val="es-ES_tradnl"/>
      </w:rPr>
      <w:t xml:space="preserve"> </w:t>
    </w:r>
    <w:r w:rsidRPr="00F458A3">
      <w:rPr>
        <w:lang w:val="es-ES_tradnl"/>
      </w:rPr>
      <w:fldChar w:fldCharType="begin"/>
    </w:r>
    <w:r w:rsidRPr="00F458A3">
      <w:rPr>
        <w:lang w:val="es-ES_tradnl"/>
      </w:rPr>
      <w:instrText xml:space="preserve"> PAGE   \* MERGEFORMAT </w:instrText>
    </w:r>
    <w:r w:rsidRPr="00F458A3">
      <w:rPr>
        <w:lang w:val="es-ES_tradnl"/>
      </w:rPr>
      <w:fldChar w:fldCharType="separate"/>
    </w:r>
    <w:r w:rsidR="00FE28E1">
      <w:rPr>
        <w:noProof/>
        <w:lang w:val="es-ES_tradnl"/>
      </w:rPr>
      <w:t>2</w:t>
    </w:r>
    <w:r w:rsidRPr="00F458A3">
      <w:rP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63EDEB55" w:rsidR="009505C9" w:rsidRPr="00A373EB" w:rsidRDefault="008511F2" w:rsidP="009505C9">
        <w:pPr>
          <w:pStyle w:val="Header"/>
          <w:jc w:val="right"/>
          <w:rPr>
            <w:lang w:val="en-US"/>
          </w:rPr>
        </w:pPr>
        <w:r>
          <w:rPr>
            <w:lang w:val="en-US"/>
          </w:rPr>
          <w:t>CBD/CP/MOP/DEC/10/5</w:t>
        </w:r>
      </w:p>
    </w:sdtContent>
  </w:sdt>
  <w:p w14:paraId="38A69C04" w14:textId="77777777" w:rsidR="009505C9" w:rsidRPr="00A373EB" w:rsidRDefault="009505C9" w:rsidP="009505C9">
    <w:pPr>
      <w:pStyle w:val="Header"/>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p w14:paraId="6ABC0C1C" w14:textId="77777777" w:rsidR="009505C9" w:rsidRPr="00A373EB" w:rsidRDefault="009505C9">
    <w:pPr>
      <w:pStyle w:val="Header"/>
      <w:rPr>
        <w:lang w:val="en-US"/>
      </w:rPr>
    </w:pP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1D37B6"/>
    <w:multiLevelType w:val="hybridMultilevel"/>
    <w:tmpl w:val="FFD6817A"/>
    <w:lvl w:ilvl="0" w:tplc="8F088EC4">
      <w:start w:val="1"/>
      <w:numFmt w:val="lowerLetter"/>
      <w:lvlText w:val="(%1)"/>
      <w:lvlJc w:val="left"/>
      <w:pPr>
        <w:ind w:left="-720" w:hanging="360"/>
      </w:pPr>
      <w:rPr>
        <w:rFonts w:hint="default"/>
        <w:sz w:val="22"/>
        <w:szCs w:val="22"/>
      </w:rPr>
    </w:lvl>
    <w:lvl w:ilvl="1" w:tplc="10090019" w:tentative="1">
      <w:start w:val="1"/>
      <w:numFmt w:val="lowerLetter"/>
      <w:lvlText w:val="%2."/>
      <w:lvlJc w:val="lef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40244"/>
    <w:multiLevelType w:val="hybridMultilevel"/>
    <w:tmpl w:val="57DC29AE"/>
    <w:lvl w:ilvl="0" w:tplc="CEFAE2F6">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E23244"/>
    <w:multiLevelType w:val="multilevel"/>
    <w:tmpl w:val="419A0FBC"/>
    <w:lvl w:ilvl="0">
      <w:start w:val="14"/>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strike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strike w:val="0"/>
      </w:rPr>
    </w:lvl>
    <w:lvl w:ilvl="7">
      <w:start w:val="1"/>
      <w:numFmt w:val="lowerLetter"/>
      <w:lvlText w:val="(%8)"/>
      <w:lvlJc w:val="left"/>
      <w:pPr>
        <w:tabs>
          <w:tab w:val="num" w:pos="2880"/>
        </w:tabs>
        <w:ind w:left="2880" w:hanging="360"/>
      </w:pPr>
      <w:rPr>
        <w:rFonts w:hint="default"/>
        <w:strike w:val="0"/>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B04A9"/>
    <w:multiLevelType w:val="hybridMultilevel"/>
    <w:tmpl w:val="EC704C64"/>
    <w:lvl w:ilvl="0" w:tplc="67F46C48">
      <w:start w:val="1"/>
      <w:numFmt w:val="lowerLetter"/>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A60DD6"/>
    <w:multiLevelType w:val="hybridMultilevel"/>
    <w:tmpl w:val="F446DA98"/>
    <w:numStyleLink w:val="ImportedStyle6"/>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2"/>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8"/>
  </w:num>
  <w:num w:numId="16">
    <w:abstractNumId w:val="1"/>
  </w:num>
  <w:num w:numId="17">
    <w:abstractNumId w:val="14"/>
  </w:num>
  <w:num w:numId="18">
    <w:abstractNumId w:val="16"/>
  </w:num>
  <w:num w:numId="19">
    <w:abstractNumId w:val="13"/>
  </w:num>
  <w:num w:numId="20">
    <w:abstractNumId w:val="9"/>
  </w:num>
  <w:num w:numId="21">
    <w:abstractNumId w:val="17"/>
  </w:num>
  <w:num w:numId="22">
    <w:abstractNumId w:val="17"/>
    <w:lvlOverride w:ilvl="0">
      <w:lvl w:ilvl="0" w:tplc="F6548D12">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584A422">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7497B6">
        <w:start w:val="1"/>
        <w:numFmt w:val="lowerRoman"/>
        <w:lvlText w:val="%3."/>
        <w:lvlJc w:val="left"/>
        <w:pPr>
          <w:tabs>
            <w:tab w:val="num" w:pos="2160"/>
          </w:tabs>
          <w:ind w:left="144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E6C11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CA7D6E">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6646C2C">
        <w:start w:val="1"/>
        <w:numFmt w:val="lowerRoman"/>
        <w:lvlText w:val="%6."/>
        <w:lvlJc w:val="left"/>
        <w:pPr>
          <w:tabs>
            <w:tab w:val="num" w:pos="4320"/>
          </w:tabs>
          <w:ind w:left="360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E8DBC6">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70B73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CAE874">
        <w:start w:val="1"/>
        <w:numFmt w:val="lowerRoman"/>
        <w:lvlText w:val="%9."/>
        <w:lvlJc w:val="left"/>
        <w:pPr>
          <w:tabs>
            <w:tab w:val="num" w:pos="6480"/>
          </w:tabs>
          <w:ind w:left="576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
  </w:num>
  <w:num w:numId="24">
    <w:abstractNumId w:val="15"/>
  </w:num>
  <w:num w:numId="25">
    <w:abstractNumId w:val="11"/>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2D"/>
    <w:rsid w:val="00001FF0"/>
    <w:rsid w:val="00016CC9"/>
    <w:rsid w:val="00024F7F"/>
    <w:rsid w:val="00035407"/>
    <w:rsid w:val="00035780"/>
    <w:rsid w:val="00037514"/>
    <w:rsid w:val="0005521B"/>
    <w:rsid w:val="00056BA6"/>
    <w:rsid w:val="000573E7"/>
    <w:rsid w:val="0006167D"/>
    <w:rsid w:val="000679FA"/>
    <w:rsid w:val="0007171B"/>
    <w:rsid w:val="000906D1"/>
    <w:rsid w:val="000A50F5"/>
    <w:rsid w:val="000D0F0A"/>
    <w:rsid w:val="000D5589"/>
    <w:rsid w:val="000D7702"/>
    <w:rsid w:val="000D7E76"/>
    <w:rsid w:val="000E15DD"/>
    <w:rsid w:val="000E579F"/>
    <w:rsid w:val="000E673A"/>
    <w:rsid w:val="000F098E"/>
    <w:rsid w:val="000F4766"/>
    <w:rsid w:val="000F74F5"/>
    <w:rsid w:val="0010021B"/>
    <w:rsid w:val="00105372"/>
    <w:rsid w:val="0011458F"/>
    <w:rsid w:val="001210E3"/>
    <w:rsid w:val="0012771C"/>
    <w:rsid w:val="001312AD"/>
    <w:rsid w:val="00131E7A"/>
    <w:rsid w:val="0013382B"/>
    <w:rsid w:val="00134846"/>
    <w:rsid w:val="00135F4E"/>
    <w:rsid w:val="0014227F"/>
    <w:rsid w:val="0015788F"/>
    <w:rsid w:val="00172AF6"/>
    <w:rsid w:val="00176CEE"/>
    <w:rsid w:val="00183B57"/>
    <w:rsid w:val="00186DD8"/>
    <w:rsid w:val="00187751"/>
    <w:rsid w:val="001B13FE"/>
    <w:rsid w:val="001C480F"/>
    <w:rsid w:val="001D67C9"/>
    <w:rsid w:val="001F63D5"/>
    <w:rsid w:val="002067A3"/>
    <w:rsid w:val="00215539"/>
    <w:rsid w:val="00216EBE"/>
    <w:rsid w:val="00217EF8"/>
    <w:rsid w:val="002240F7"/>
    <w:rsid w:val="002271CE"/>
    <w:rsid w:val="00236BFD"/>
    <w:rsid w:val="002556E1"/>
    <w:rsid w:val="00275B92"/>
    <w:rsid w:val="0027610A"/>
    <w:rsid w:val="002836C8"/>
    <w:rsid w:val="00290670"/>
    <w:rsid w:val="002B337D"/>
    <w:rsid w:val="002C1686"/>
    <w:rsid w:val="002C39ED"/>
    <w:rsid w:val="002D0935"/>
    <w:rsid w:val="002D7F9C"/>
    <w:rsid w:val="002E30FD"/>
    <w:rsid w:val="002E3BD3"/>
    <w:rsid w:val="002E6878"/>
    <w:rsid w:val="002F6C73"/>
    <w:rsid w:val="0030169D"/>
    <w:rsid w:val="00302AAD"/>
    <w:rsid w:val="003060EB"/>
    <w:rsid w:val="00306B2C"/>
    <w:rsid w:val="00314020"/>
    <w:rsid w:val="003153EB"/>
    <w:rsid w:val="003160EC"/>
    <w:rsid w:val="00321985"/>
    <w:rsid w:val="003232A2"/>
    <w:rsid w:val="00336881"/>
    <w:rsid w:val="00350EF9"/>
    <w:rsid w:val="00351205"/>
    <w:rsid w:val="00362551"/>
    <w:rsid w:val="00364394"/>
    <w:rsid w:val="00365006"/>
    <w:rsid w:val="00372F74"/>
    <w:rsid w:val="00373429"/>
    <w:rsid w:val="003738B6"/>
    <w:rsid w:val="0039498D"/>
    <w:rsid w:val="003A2CA0"/>
    <w:rsid w:val="003A4572"/>
    <w:rsid w:val="003D6639"/>
    <w:rsid w:val="003E5B0D"/>
    <w:rsid w:val="003E6EA3"/>
    <w:rsid w:val="003F7224"/>
    <w:rsid w:val="00421C56"/>
    <w:rsid w:val="00422762"/>
    <w:rsid w:val="00427D21"/>
    <w:rsid w:val="00430E63"/>
    <w:rsid w:val="004319DD"/>
    <w:rsid w:val="00442EED"/>
    <w:rsid w:val="00443E56"/>
    <w:rsid w:val="00451048"/>
    <w:rsid w:val="004644C2"/>
    <w:rsid w:val="00464AE5"/>
    <w:rsid w:val="004663D4"/>
    <w:rsid w:val="00467F9C"/>
    <w:rsid w:val="00470C71"/>
    <w:rsid w:val="00484975"/>
    <w:rsid w:val="00484DFD"/>
    <w:rsid w:val="004873EA"/>
    <w:rsid w:val="00491EBC"/>
    <w:rsid w:val="00493970"/>
    <w:rsid w:val="004976B8"/>
    <w:rsid w:val="004B2602"/>
    <w:rsid w:val="004B57C8"/>
    <w:rsid w:val="004C3BA5"/>
    <w:rsid w:val="004D3BE5"/>
    <w:rsid w:val="004D6220"/>
    <w:rsid w:val="004E7486"/>
    <w:rsid w:val="00503592"/>
    <w:rsid w:val="005056F9"/>
    <w:rsid w:val="0051041A"/>
    <w:rsid w:val="00511FCD"/>
    <w:rsid w:val="005208AC"/>
    <w:rsid w:val="005211E2"/>
    <w:rsid w:val="0052154E"/>
    <w:rsid w:val="00530CD2"/>
    <w:rsid w:val="00534681"/>
    <w:rsid w:val="0054172D"/>
    <w:rsid w:val="005445B0"/>
    <w:rsid w:val="00550B77"/>
    <w:rsid w:val="005550CA"/>
    <w:rsid w:val="005567B2"/>
    <w:rsid w:val="00563442"/>
    <w:rsid w:val="00565B42"/>
    <w:rsid w:val="005747B0"/>
    <w:rsid w:val="005857AD"/>
    <w:rsid w:val="00593F3C"/>
    <w:rsid w:val="00596137"/>
    <w:rsid w:val="005A056A"/>
    <w:rsid w:val="005A7809"/>
    <w:rsid w:val="005B39F5"/>
    <w:rsid w:val="005C4CE6"/>
    <w:rsid w:val="005E16F3"/>
    <w:rsid w:val="005F3EE8"/>
    <w:rsid w:val="006122BA"/>
    <w:rsid w:val="0062508B"/>
    <w:rsid w:val="006341F7"/>
    <w:rsid w:val="00643C07"/>
    <w:rsid w:val="00645DA3"/>
    <w:rsid w:val="00653885"/>
    <w:rsid w:val="006538CE"/>
    <w:rsid w:val="00664348"/>
    <w:rsid w:val="00664FB6"/>
    <w:rsid w:val="00670691"/>
    <w:rsid w:val="00673967"/>
    <w:rsid w:val="00676956"/>
    <w:rsid w:val="0068708D"/>
    <w:rsid w:val="00691E64"/>
    <w:rsid w:val="00693290"/>
    <w:rsid w:val="00695C58"/>
    <w:rsid w:val="00697E73"/>
    <w:rsid w:val="006A0E48"/>
    <w:rsid w:val="006B2290"/>
    <w:rsid w:val="006B7452"/>
    <w:rsid w:val="006C3370"/>
    <w:rsid w:val="006C7B1F"/>
    <w:rsid w:val="006E29D7"/>
    <w:rsid w:val="006E7239"/>
    <w:rsid w:val="006F4576"/>
    <w:rsid w:val="0071004C"/>
    <w:rsid w:val="007100BA"/>
    <w:rsid w:val="0071306B"/>
    <w:rsid w:val="00717D88"/>
    <w:rsid w:val="007268D5"/>
    <w:rsid w:val="00756E10"/>
    <w:rsid w:val="00770C53"/>
    <w:rsid w:val="00773F1A"/>
    <w:rsid w:val="00786056"/>
    <w:rsid w:val="00791623"/>
    <w:rsid w:val="00793AEA"/>
    <w:rsid w:val="0079428E"/>
    <w:rsid w:val="007942D3"/>
    <w:rsid w:val="00796984"/>
    <w:rsid w:val="007A080D"/>
    <w:rsid w:val="007B2099"/>
    <w:rsid w:val="007B6C09"/>
    <w:rsid w:val="007B6C5D"/>
    <w:rsid w:val="007B7741"/>
    <w:rsid w:val="007C2263"/>
    <w:rsid w:val="007C38D7"/>
    <w:rsid w:val="007C6F74"/>
    <w:rsid w:val="007C7D53"/>
    <w:rsid w:val="007D3351"/>
    <w:rsid w:val="007D3783"/>
    <w:rsid w:val="007D62D9"/>
    <w:rsid w:val="007D6890"/>
    <w:rsid w:val="007E09DA"/>
    <w:rsid w:val="007F40C2"/>
    <w:rsid w:val="007F73BB"/>
    <w:rsid w:val="008178B6"/>
    <w:rsid w:val="0082191A"/>
    <w:rsid w:val="00831113"/>
    <w:rsid w:val="00836492"/>
    <w:rsid w:val="00840703"/>
    <w:rsid w:val="00842539"/>
    <w:rsid w:val="008511F2"/>
    <w:rsid w:val="00865B74"/>
    <w:rsid w:val="00870ED6"/>
    <w:rsid w:val="008974F0"/>
    <w:rsid w:val="008A05E1"/>
    <w:rsid w:val="008A5F38"/>
    <w:rsid w:val="008B012A"/>
    <w:rsid w:val="008B5DDB"/>
    <w:rsid w:val="008C0ACC"/>
    <w:rsid w:val="008C4E21"/>
    <w:rsid w:val="008D31AE"/>
    <w:rsid w:val="008E081D"/>
    <w:rsid w:val="008E2192"/>
    <w:rsid w:val="00900829"/>
    <w:rsid w:val="00906E17"/>
    <w:rsid w:val="0091300F"/>
    <w:rsid w:val="00913D31"/>
    <w:rsid w:val="00916676"/>
    <w:rsid w:val="00921BD8"/>
    <w:rsid w:val="00926C95"/>
    <w:rsid w:val="00930BA1"/>
    <w:rsid w:val="0093169E"/>
    <w:rsid w:val="009323D0"/>
    <w:rsid w:val="009505C9"/>
    <w:rsid w:val="00950752"/>
    <w:rsid w:val="00966424"/>
    <w:rsid w:val="00967024"/>
    <w:rsid w:val="009B1846"/>
    <w:rsid w:val="009C2805"/>
    <w:rsid w:val="009C2DE6"/>
    <w:rsid w:val="009C2ED7"/>
    <w:rsid w:val="009F0FBA"/>
    <w:rsid w:val="009F47D0"/>
    <w:rsid w:val="00A27B07"/>
    <w:rsid w:val="00A373EB"/>
    <w:rsid w:val="00A37416"/>
    <w:rsid w:val="00A37F1F"/>
    <w:rsid w:val="00A40BEF"/>
    <w:rsid w:val="00A55E50"/>
    <w:rsid w:val="00A571F3"/>
    <w:rsid w:val="00A626AC"/>
    <w:rsid w:val="00A67F1A"/>
    <w:rsid w:val="00A85154"/>
    <w:rsid w:val="00A86F01"/>
    <w:rsid w:val="00A96561"/>
    <w:rsid w:val="00A97526"/>
    <w:rsid w:val="00AA5CA2"/>
    <w:rsid w:val="00AA6F92"/>
    <w:rsid w:val="00AB023C"/>
    <w:rsid w:val="00AB6934"/>
    <w:rsid w:val="00AC3F73"/>
    <w:rsid w:val="00AE1C80"/>
    <w:rsid w:val="00AE1DF6"/>
    <w:rsid w:val="00AF2E00"/>
    <w:rsid w:val="00AF3490"/>
    <w:rsid w:val="00AF42DE"/>
    <w:rsid w:val="00AF4976"/>
    <w:rsid w:val="00AF4FCF"/>
    <w:rsid w:val="00AF78FC"/>
    <w:rsid w:val="00B06263"/>
    <w:rsid w:val="00B07895"/>
    <w:rsid w:val="00B141E3"/>
    <w:rsid w:val="00B152FF"/>
    <w:rsid w:val="00B3369F"/>
    <w:rsid w:val="00B350E1"/>
    <w:rsid w:val="00B41C30"/>
    <w:rsid w:val="00B539DB"/>
    <w:rsid w:val="00B60900"/>
    <w:rsid w:val="00B632AA"/>
    <w:rsid w:val="00B764B6"/>
    <w:rsid w:val="00B94E6C"/>
    <w:rsid w:val="00BB3935"/>
    <w:rsid w:val="00BB4606"/>
    <w:rsid w:val="00BC3C3C"/>
    <w:rsid w:val="00BE3DFC"/>
    <w:rsid w:val="00BE41BA"/>
    <w:rsid w:val="00BE5B68"/>
    <w:rsid w:val="00BF31C5"/>
    <w:rsid w:val="00C00D83"/>
    <w:rsid w:val="00C23D2F"/>
    <w:rsid w:val="00C3036A"/>
    <w:rsid w:val="00C306D3"/>
    <w:rsid w:val="00C36203"/>
    <w:rsid w:val="00C443BD"/>
    <w:rsid w:val="00C451C5"/>
    <w:rsid w:val="00C70814"/>
    <w:rsid w:val="00C82045"/>
    <w:rsid w:val="00C9161D"/>
    <w:rsid w:val="00CA0C1D"/>
    <w:rsid w:val="00CA27BD"/>
    <w:rsid w:val="00CA556B"/>
    <w:rsid w:val="00CC4145"/>
    <w:rsid w:val="00CD1678"/>
    <w:rsid w:val="00CD666A"/>
    <w:rsid w:val="00CD68CF"/>
    <w:rsid w:val="00CE1E4C"/>
    <w:rsid w:val="00CF1848"/>
    <w:rsid w:val="00CF2587"/>
    <w:rsid w:val="00D01BEE"/>
    <w:rsid w:val="00D01FC2"/>
    <w:rsid w:val="00D0343B"/>
    <w:rsid w:val="00D12044"/>
    <w:rsid w:val="00D13D11"/>
    <w:rsid w:val="00D1593E"/>
    <w:rsid w:val="00D16A43"/>
    <w:rsid w:val="00D32BE8"/>
    <w:rsid w:val="00D33EFC"/>
    <w:rsid w:val="00D40DBC"/>
    <w:rsid w:val="00D42703"/>
    <w:rsid w:val="00D617CD"/>
    <w:rsid w:val="00D63C81"/>
    <w:rsid w:val="00D76A18"/>
    <w:rsid w:val="00D80849"/>
    <w:rsid w:val="00D82E8F"/>
    <w:rsid w:val="00D86964"/>
    <w:rsid w:val="00D87043"/>
    <w:rsid w:val="00D9270F"/>
    <w:rsid w:val="00D931F9"/>
    <w:rsid w:val="00DA624B"/>
    <w:rsid w:val="00DB0A74"/>
    <w:rsid w:val="00DB5A77"/>
    <w:rsid w:val="00DB71E4"/>
    <w:rsid w:val="00DC2E58"/>
    <w:rsid w:val="00DD118C"/>
    <w:rsid w:val="00DD18F3"/>
    <w:rsid w:val="00DE1F40"/>
    <w:rsid w:val="00DE206E"/>
    <w:rsid w:val="00DF1739"/>
    <w:rsid w:val="00DF6D7D"/>
    <w:rsid w:val="00E02DE3"/>
    <w:rsid w:val="00E12402"/>
    <w:rsid w:val="00E12BCA"/>
    <w:rsid w:val="00E25367"/>
    <w:rsid w:val="00E3229B"/>
    <w:rsid w:val="00E3528A"/>
    <w:rsid w:val="00E41FB2"/>
    <w:rsid w:val="00E439A3"/>
    <w:rsid w:val="00E527B3"/>
    <w:rsid w:val="00E64C3D"/>
    <w:rsid w:val="00E66235"/>
    <w:rsid w:val="00E66A9E"/>
    <w:rsid w:val="00E809AB"/>
    <w:rsid w:val="00E828B5"/>
    <w:rsid w:val="00E83C24"/>
    <w:rsid w:val="00E83F79"/>
    <w:rsid w:val="00E9318D"/>
    <w:rsid w:val="00E97905"/>
    <w:rsid w:val="00EB46EA"/>
    <w:rsid w:val="00ED3228"/>
    <w:rsid w:val="00EF5DAC"/>
    <w:rsid w:val="00EF69BC"/>
    <w:rsid w:val="00F0096C"/>
    <w:rsid w:val="00F04AF2"/>
    <w:rsid w:val="00F20D92"/>
    <w:rsid w:val="00F24C65"/>
    <w:rsid w:val="00F40AF7"/>
    <w:rsid w:val="00F43BC9"/>
    <w:rsid w:val="00F458A3"/>
    <w:rsid w:val="00F53193"/>
    <w:rsid w:val="00F5357E"/>
    <w:rsid w:val="00F5661C"/>
    <w:rsid w:val="00F61EBD"/>
    <w:rsid w:val="00F645C0"/>
    <w:rsid w:val="00F6586C"/>
    <w:rsid w:val="00F65F47"/>
    <w:rsid w:val="00F72EBA"/>
    <w:rsid w:val="00F76639"/>
    <w:rsid w:val="00F82E34"/>
    <w:rsid w:val="00F94774"/>
    <w:rsid w:val="00F9795B"/>
    <w:rsid w:val="00FA2DF5"/>
    <w:rsid w:val="00FA663B"/>
    <w:rsid w:val="00FC2A68"/>
    <w:rsid w:val="00FC53DB"/>
    <w:rsid w:val="00FD71EB"/>
    <w:rsid w:val="00FE28E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298739"/>
  <w15:docId w15:val="{52FA7E70-4753-4C22-A6B4-58FFC23E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semiHidden/>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numbering" w:customStyle="1" w:styleId="ImportedStyle6">
    <w:name w:val="Imported Style 6"/>
    <w:rsid w:val="00306B2C"/>
    <w:pPr>
      <w:numPr>
        <w:numId w:val="20"/>
      </w:numPr>
    </w:pPr>
  </w:style>
  <w:style w:type="numbering" w:customStyle="1" w:styleId="ImportedStyle61">
    <w:name w:val="Imported Style 61"/>
    <w:rsid w:val="0062508B"/>
  </w:style>
  <w:style w:type="paragraph" w:styleId="CommentSubject">
    <w:name w:val="annotation subject"/>
    <w:basedOn w:val="CommentText"/>
    <w:next w:val="CommentText"/>
    <w:link w:val="CommentSubjectChar"/>
    <w:uiPriority w:val="99"/>
    <w:semiHidden/>
    <w:unhideWhenUsed/>
    <w:rsid w:val="005747B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747B0"/>
    <w:rPr>
      <w:rFonts w:ascii="Times New Roman" w:eastAsia="Times New Roman" w:hAnsi="Times New Roman" w:cs="Times New Roman"/>
      <w:b/>
      <w:bCs/>
      <w:sz w:val="20"/>
      <w:szCs w:val="20"/>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2C39ED"/>
    <w:pPr>
      <w:spacing w:after="160" w:line="240" w:lineRule="exact"/>
      <w:jc w:val="left"/>
    </w:pPr>
    <w:rPr>
      <w:rFonts w:asciiTheme="minorHAnsi" w:eastAsiaTheme="minorEastAsia" w:hAnsiTheme="minorHAnsi" w:cstheme="minorBidi"/>
      <w:vertAlign w:val="superscript"/>
      <w:lang w:val="fr-CA"/>
    </w:rPr>
  </w:style>
  <w:style w:type="character" w:customStyle="1" w:styleId="UnresolvedMention">
    <w:name w:val="Unresolved Mention"/>
    <w:basedOn w:val="DefaultParagraphFont"/>
    <w:uiPriority w:val="99"/>
    <w:semiHidden/>
    <w:unhideWhenUsed/>
    <w:rsid w:val="00EB46EA"/>
    <w:rPr>
      <w:color w:val="605E5C"/>
      <w:shd w:val="clear" w:color="auto" w:fill="E1DFDD"/>
    </w:rPr>
  </w:style>
  <w:style w:type="character" w:customStyle="1" w:styleId="None">
    <w:name w:val="None"/>
    <w:rsid w:val="0006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226909">
      <w:bodyDiv w:val="1"/>
      <w:marLeft w:val="0"/>
      <w:marRight w:val="0"/>
      <w:marTop w:val="0"/>
      <w:marBottom w:val="0"/>
      <w:divBdr>
        <w:top w:val="none" w:sz="0" w:space="0" w:color="auto"/>
        <w:left w:val="none" w:sz="0" w:space="0" w:color="auto"/>
        <w:bottom w:val="none" w:sz="0" w:space="0" w:color="auto"/>
        <w:right w:val="none" w:sz="0" w:space="0" w:color="auto"/>
      </w:divBdr>
    </w:div>
    <w:div w:id="794565078">
      <w:bodyDiv w:val="1"/>
      <w:marLeft w:val="0"/>
      <w:marRight w:val="0"/>
      <w:marTop w:val="0"/>
      <w:marBottom w:val="0"/>
      <w:divBdr>
        <w:top w:val="none" w:sz="0" w:space="0" w:color="auto"/>
        <w:left w:val="none" w:sz="0" w:space="0" w:color="auto"/>
        <w:bottom w:val="none" w:sz="0" w:space="0" w:color="auto"/>
        <w:right w:val="none" w:sz="0" w:space="0" w:color="auto"/>
      </w:divBdr>
    </w:div>
    <w:div w:id="1616518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PlaceholderText"/>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26830DBF9D6744C58A7F61BE0FEB9F42"/>
        <w:category>
          <w:name w:val="General"/>
          <w:gallery w:val="placeholder"/>
        </w:category>
        <w:types>
          <w:type w:val="bbPlcHdr"/>
        </w:types>
        <w:behaviors>
          <w:behavior w:val="content"/>
        </w:behaviors>
        <w:guid w:val="{2354F8D7-419C-42DC-80F8-495B664730CB}"/>
      </w:docPartPr>
      <w:docPartBody>
        <w:p w:rsidR="00B120F6" w:rsidRDefault="00F515EE" w:rsidP="00F515EE">
          <w:pPr>
            <w:pStyle w:val="26830DBF9D6744C58A7F61BE0FEB9F4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FA"/>
    <w:rsid w:val="00032833"/>
    <w:rsid w:val="00306EEC"/>
    <w:rsid w:val="00405AB6"/>
    <w:rsid w:val="00416CF4"/>
    <w:rsid w:val="00482F11"/>
    <w:rsid w:val="004C6765"/>
    <w:rsid w:val="004E3BCA"/>
    <w:rsid w:val="004F0C40"/>
    <w:rsid w:val="006948DD"/>
    <w:rsid w:val="007C7D84"/>
    <w:rsid w:val="007E4617"/>
    <w:rsid w:val="00800648"/>
    <w:rsid w:val="00854BF9"/>
    <w:rsid w:val="008C2D52"/>
    <w:rsid w:val="009A09AB"/>
    <w:rsid w:val="00A021D1"/>
    <w:rsid w:val="00AB72FA"/>
    <w:rsid w:val="00B120F6"/>
    <w:rsid w:val="00BF7EB1"/>
    <w:rsid w:val="00D12D0D"/>
    <w:rsid w:val="00D36602"/>
    <w:rsid w:val="00E30B82"/>
    <w:rsid w:val="00E54109"/>
    <w:rsid w:val="00F2293C"/>
    <w:rsid w:val="00F515EE"/>
    <w:rsid w:val="00F517F9"/>
    <w:rsid w:val="00FC7B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515EE"/>
    <w:rPr>
      <w:color w:val="808080"/>
    </w:rPr>
  </w:style>
  <w:style w:type="paragraph" w:customStyle="1" w:styleId="7E0485547563415784F9B28103CD7463">
    <w:name w:val="7E0485547563415784F9B28103CD7463"/>
  </w:style>
  <w:style w:type="paragraph" w:customStyle="1" w:styleId="E0A2A743B81A4B3C85C4D4F24EDEFC7E">
    <w:name w:val="E0A2A743B81A4B3C85C4D4F24EDEFC7E"/>
    <w:rsid w:val="007C7D84"/>
    <w:rPr>
      <w:lang w:val="en-US" w:eastAsia="zh-CN"/>
    </w:rPr>
  </w:style>
  <w:style w:type="paragraph" w:customStyle="1" w:styleId="DA5721DFA4E94DBE9292E6A4F2C650BB">
    <w:name w:val="DA5721DFA4E94DBE9292E6A4F2C650BB"/>
    <w:rsid w:val="00E54109"/>
    <w:rPr>
      <w:lang w:val="en-US" w:eastAsia="zh-CN"/>
    </w:rPr>
  </w:style>
  <w:style w:type="paragraph" w:customStyle="1" w:styleId="26830DBF9D6744C58A7F61BE0FEB9F42">
    <w:name w:val="26830DBF9D6744C58A7F61BE0FEB9F42"/>
    <w:rsid w:val="00F515E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2" ma:contentTypeDescription="Create a new document." ma:contentTypeScope="" ma:versionID="e38eb5d8dd0b4d42a60f279ff1c652e7">
  <xsd:schema xmlns:xsd="http://www.w3.org/2001/XMLSchema" xmlns:xs="http://www.w3.org/2001/XMLSchema" xmlns:p="http://schemas.microsoft.com/office/2006/metadata/properties" xmlns:ns2="c81b4b69-2fdc-4c4e-909f-0c008d05f230" targetNamespace="http://schemas.microsoft.com/office/2006/metadata/properties" ma:root="true" ma:fieldsID="c5a95f72fcac66e009356e114ce37fa7" ns2:_="">
    <xsd:import namespace="c81b4b69-2fdc-4c4e-909f-0c008d05f23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686666-6965-4574-AF3B-43C071AC1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D69EF77F-DC8A-4E99-98B3-88FEC2FD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Template>
  <TotalTime>96</TotalTime>
  <Pages>2</Pages>
  <Words>814</Words>
  <Characters>4645</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CP-10/5.   Funcionamiento y actividades del Centro de Intercambio de Información sobre Seguridad de la Biotecnología (artículo 20)</vt:lpstr>
      <vt:lpstr>Operation and activities of the Biosafety Clearing-House (Article 20)</vt:lpstr>
    </vt:vector>
  </TitlesOfParts>
  <Company>SCBD</Company>
  <LinksUpToDate>false</LinksUpToDate>
  <CharactersWithSpaces>5449</CharactersWithSpaces>
  <SharedDoc>false</SharedDoc>
  <HLinks>
    <vt:vector size="6" baseType="variant">
      <vt:variant>
        <vt:i4>1245201</vt:i4>
      </vt:variant>
      <vt:variant>
        <vt:i4>0</vt:i4>
      </vt:variant>
      <vt:variant>
        <vt:i4>0</vt:i4>
      </vt:variant>
      <vt:variant>
        <vt:i4>5</vt:i4>
      </vt:variant>
      <vt:variant>
        <vt:lpwstr>https://www.cbd.int/doc/c/0467/f15b/8d9256aea9ae53240e3da979/sbi-03-21-en.pdf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CP-10/5.   Funcionamiento y actividades del Centro de Intercambio de Información sobre Seguridad de la Biotecnología (artículo 20)</dc:title>
  <dc:subject>CBD/CP/MOP/DEC/10/5</dc:subject>
  <dc:creator>Veronique Lefebvre</dc:creator>
  <cp:keywords>Conference of the Parties to the Convention on Biological Diversity serving as the meeting of the Parties to the Cartagena Protocol on Biosafety, tenth meeting</cp:keywords>
  <cp:lastModifiedBy>Rosario </cp:lastModifiedBy>
  <cp:revision>21</cp:revision>
  <cp:lastPrinted>2020-01-21T19:56:00Z</cp:lastPrinted>
  <dcterms:created xsi:type="dcterms:W3CDTF">2023-03-19T13:44:00Z</dcterms:created>
  <dcterms:modified xsi:type="dcterms:W3CDTF">2023-03-22T10:37:00Z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