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5580"/>
        <w:gridCol w:w="3697"/>
      </w:tblGrid>
      <w:tr w:rsidR="0066475E" w:rsidRPr="007A1B84" w14:paraId="07F6750D" w14:textId="77777777" w:rsidTr="00891C7D">
        <w:trPr>
          <w:trHeight w:val="851"/>
        </w:trPr>
        <w:tc>
          <w:tcPr>
            <w:tcW w:w="948" w:type="dxa"/>
            <w:tcBorders>
              <w:bottom w:val="single" w:sz="12" w:space="0" w:color="auto"/>
            </w:tcBorders>
          </w:tcPr>
          <w:p w14:paraId="1DEFF495" w14:textId="77777777" w:rsidR="00C9161D" w:rsidRPr="007A1B84" w:rsidRDefault="00C9161D" w:rsidP="00321985">
            <w:r w:rsidRPr="007A1B84">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580" w:type="dxa"/>
            <w:tcBorders>
              <w:bottom w:val="single" w:sz="12" w:space="0" w:color="auto"/>
            </w:tcBorders>
            <w:shd w:val="clear" w:color="auto" w:fill="auto"/>
            <w:tcFitText/>
          </w:tcPr>
          <w:p w14:paraId="1986B63F" w14:textId="1087733B" w:rsidR="00FA663B" w:rsidRPr="007A1B84" w:rsidRDefault="00AA6F92" w:rsidP="00321985">
            <w:r w:rsidRPr="007A1B84">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697" w:type="dxa"/>
            <w:tcBorders>
              <w:bottom w:val="single" w:sz="12" w:space="0" w:color="auto"/>
            </w:tcBorders>
          </w:tcPr>
          <w:p w14:paraId="600A589D" w14:textId="77777777" w:rsidR="00C9161D" w:rsidRPr="007A1B84" w:rsidRDefault="00C9161D" w:rsidP="00891C7D">
            <w:pPr>
              <w:ind w:right="-105"/>
              <w:jc w:val="right"/>
              <w:rPr>
                <w:rFonts w:ascii="Arial" w:hAnsi="Arial" w:cs="Arial"/>
                <w:b/>
                <w:sz w:val="32"/>
                <w:szCs w:val="32"/>
              </w:rPr>
            </w:pPr>
            <w:r w:rsidRPr="007A1B84">
              <w:rPr>
                <w:rFonts w:ascii="Arial" w:hAnsi="Arial" w:cs="Arial"/>
                <w:b/>
                <w:sz w:val="32"/>
                <w:szCs w:val="32"/>
              </w:rPr>
              <w:t>CBD</w:t>
            </w:r>
          </w:p>
        </w:tc>
      </w:tr>
      <w:tr w:rsidR="0066475E" w14:paraId="6F751905" w14:textId="77777777" w:rsidTr="00891C7D">
        <w:tc>
          <w:tcPr>
            <w:tcW w:w="6528" w:type="dxa"/>
            <w:gridSpan w:val="2"/>
            <w:tcBorders>
              <w:top w:val="single" w:sz="12" w:space="0" w:color="auto"/>
              <w:bottom w:val="single" w:sz="36" w:space="0" w:color="auto"/>
            </w:tcBorders>
            <w:vAlign w:val="center"/>
          </w:tcPr>
          <w:p w14:paraId="14F52A6C" w14:textId="77777777" w:rsidR="00C9161D" w:rsidRPr="007A1B84" w:rsidRDefault="00C9161D" w:rsidP="00C9161D">
            <w:r w:rsidRPr="007A1B84">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697" w:type="dxa"/>
            <w:tcBorders>
              <w:top w:val="single" w:sz="12" w:space="0" w:color="auto"/>
              <w:bottom w:val="single" w:sz="36" w:space="0" w:color="auto"/>
            </w:tcBorders>
          </w:tcPr>
          <w:p w14:paraId="1C693BA4" w14:textId="77777777" w:rsidR="00C9161D" w:rsidRPr="007A1B84" w:rsidRDefault="00C9161D" w:rsidP="00176CEE">
            <w:pPr>
              <w:ind w:left="840"/>
              <w:rPr>
                <w:szCs w:val="22"/>
              </w:rPr>
            </w:pPr>
            <w:r w:rsidRPr="007A1B84">
              <w:rPr>
                <w:szCs w:val="22"/>
              </w:rPr>
              <w:t>Distr.</w:t>
            </w:r>
          </w:p>
          <w:p w14:paraId="0C21C438" w14:textId="465A0806" w:rsidR="00C9161D" w:rsidRPr="007A1B84" w:rsidRDefault="00010C93" w:rsidP="00176CEE">
            <w:pPr>
              <w:ind w:left="840"/>
              <w:rPr>
                <w:szCs w:val="22"/>
              </w:rPr>
            </w:pPr>
            <w:r w:rsidRPr="007A1B84">
              <w:rPr>
                <w:caps/>
                <w:szCs w:val="22"/>
              </w:rPr>
              <w:t>General</w:t>
            </w:r>
          </w:p>
          <w:p w14:paraId="06715052" w14:textId="77777777" w:rsidR="00C9161D" w:rsidRPr="007A1B84" w:rsidRDefault="00C9161D" w:rsidP="00176CEE">
            <w:pPr>
              <w:ind w:left="840"/>
              <w:rPr>
                <w:szCs w:val="22"/>
              </w:rPr>
            </w:pPr>
          </w:p>
          <w:p w14:paraId="44230134" w14:textId="06F2AEB1" w:rsidR="00C9161D" w:rsidRPr="007A1B84" w:rsidRDefault="00684976" w:rsidP="00176CEE">
            <w:pPr>
              <w:ind w:left="840"/>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10C93" w:rsidRPr="007A1B84">
                  <w:rPr>
                    <w:lang w:val="en-US"/>
                  </w:rPr>
                  <w:t>CBD/CP/MOP/DEC/10/5</w:t>
                </w:r>
              </w:sdtContent>
            </w:sdt>
          </w:p>
          <w:p w14:paraId="0DF1F033" w14:textId="79DD4DAC" w:rsidR="00C9161D" w:rsidRPr="007A1B84" w:rsidRDefault="00010C93" w:rsidP="00176CEE">
            <w:pPr>
              <w:ind w:left="840"/>
              <w:rPr>
                <w:szCs w:val="22"/>
              </w:rPr>
            </w:pPr>
            <w:r w:rsidRPr="007A1B84">
              <w:rPr>
                <w:szCs w:val="22"/>
                <w:lang w:val="en-US"/>
              </w:rPr>
              <w:t>1</w:t>
            </w:r>
            <w:r w:rsidR="00515F4E" w:rsidRPr="007A1B84">
              <w:rPr>
                <w:szCs w:val="22"/>
                <w:lang w:val="en-US"/>
              </w:rPr>
              <w:t>9 December</w:t>
            </w:r>
            <w:r w:rsidR="00F6586C" w:rsidRPr="007A1B84">
              <w:rPr>
                <w:szCs w:val="22"/>
                <w:lang w:val="en-US"/>
              </w:rPr>
              <w:t xml:space="preserve"> 20</w:t>
            </w:r>
            <w:r w:rsidR="00FC25F8" w:rsidRPr="007A1B84">
              <w:rPr>
                <w:szCs w:val="22"/>
                <w:lang w:val="en-US"/>
              </w:rPr>
              <w:t>2</w:t>
            </w:r>
            <w:r w:rsidR="00B26ACD" w:rsidRPr="007A1B84">
              <w:rPr>
                <w:szCs w:val="22"/>
                <w:lang w:val="en-US"/>
              </w:rPr>
              <w:t>2</w:t>
            </w:r>
          </w:p>
          <w:p w14:paraId="159892DF" w14:textId="77777777" w:rsidR="00C9161D" w:rsidRPr="007A1B84" w:rsidRDefault="00C9161D" w:rsidP="00176CEE">
            <w:pPr>
              <w:ind w:left="840"/>
              <w:rPr>
                <w:szCs w:val="22"/>
              </w:rPr>
            </w:pPr>
          </w:p>
          <w:p w14:paraId="19472D49" w14:textId="77777777" w:rsidR="00C9161D" w:rsidRPr="00C9161D" w:rsidRDefault="006B2290" w:rsidP="00176CEE">
            <w:pPr>
              <w:ind w:left="840"/>
              <w:rPr>
                <w:szCs w:val="22"/>
              </w:rPr>
            </w:pPr>
            <w:r w:rsidRPr="007A1B84">
              <w:rPr>
                <w:szCs w:val="22"/>
              </w:rPr>
              <w:t xml:space="preserve">ORIGINAL: </w:t>
            </w:r>
            <w:r w:rsidR="00C9161D" w:rsidRPr="007A1B84">
              <w:rPr>
                <w:szCs w:val="22"/>
              </w:rPr>
              <w:t>ENGLISH</w:t>
            </w:r>
          </w:p>
          <w:p w14:paraId="5AA10CCE" w14:textId="77777777" w:rsidR="00C9161D" w:rsidRDefault="00C9161D"/>
        </w:tc>
      </w:tr>
    </w:tbl>
    <w:p w14:paraId="1BF4A9A2" w14:textId="51CFE6F1" w:rsidR="003B7BB2" w:rsidRPr="00910961" w:rsidRDefault="003B7BB2" w:rsidP="00891C7D">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3B7BB2">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5AE32059" w:rsidR="00C9161D" w:rsidRPr="00C9161D" w:rsidRDefault="00B26ACD" w:rsidP="00C9161D">
      <w:r>
        <w:rPr>
          <w:snapToGrid w:val="0"/>
          <w:kern w:val="22"/>
          <w:szCs w:val="22"/>
        </w:rPr>
        <w:t>Agenda i</w:t>
      </w:r>
      <w:r w:rsidR="00134846" w:rsidRPr="004B44DE">
        <w:rPr>
          <w:snapToGrid w:val="0"/>
          <w:kern w:val="22"/>
          <w:szCs w:val="22"/>
        </w:rPr>
        <w:t xml:space="preserve">tem </w:t>
      </w:r>
      <w:r w:rsidR="00515F4E">
        <w:rPr>
          <w:snapToGrid w:val="0"/>
          <w:kern w:val="22"/>
          <w:szCs w:val="22"/>
        </w:rPr>
        <w:t>11</w:t>
      </w:r>
      <w:r w:rsidR="00134846" w:rsidRPr="004B44DE">
        <w:rPr>
          <w:snapToGrid w:val="0"/>
          <w:kern w:val="22"/>
          <w:szCs w:val="22"/>
        </w:rPr>
        <w:t xml:space="preserve"> </w:t>
      </w:r>
    </w:p>
    <w:p w14:paraId="5D4691B8" w14:textId="77777777" w:rsidR="00D105AF" w:rsidRPr="004632AF" w:rsidRDefault="00D105AF" w:rsidP="00891C7D">
      <w:pPr>
        <w:spacing w:before="240" w:after="240"/>
        <w:ind w:right="-288"/>
        <w:jc w:val="center"/>
        <w:rPr>
          <w:rFonts w:ascii="Times New Roman Bold" w:hAnsi="Times New Roman Bold"/>
          <w:b/>
          <w:caps/>
        </w:rPr>
      </w:pPr>
      <w:r w:rsidRPr="00162C1D">
        <w:rPr>
          <w:rFonts w:ascii="Times New Roman Bold" w:hAnsi="Times New Roman Bold"/>
          <w:b/>
          <w:caps/>
        </w:rPr>
        <w:t xml:space="preserve">Decision adopted by the Parties to the Cartagena Protocol on </w:t>
      </w:r>
      <w:r w:rsidRPr="004632AF">
        <w:rPr>
          <w:rFonts w:ascii="Times New Roman Bold" w:hAnsi="Times New Roman Bold"/>
          <w:b/>
          <w:caps/>
        </w:rPr>
        <w:t>Biosafety</w:t>
      </w:r>
    </w:p>
    <w:p w14:paraId="46371163" w14:textId="12D94E7C" w:rsidR="00515F4E" w:rsidRPr="004632AF" w:rsidRDefault="00684976" w:rsidP="00891C7D">
      <w:pPr>
        <w:shd w:val="clear" w:color="auto" w:fill="FFFFFF" w:themeFill="background1"/>
        <w:spacing w:before="240" w:after="240"/>
        <w:jc w:val="center"/>
        <w:outlineLvl w:val="1"/>
        <w:rPr>
          <w:b/>
          <w:caps/>
          <w:shd w:val="pct15" w:color="auto" w:fill="FFFFFF"/>
        </w:rPr>
      </w:pPr>
      <w:sdt>
        <w:sdtPr>
          <w:rPr>
            <w:b/>
          </w:rPr>
          <w:alias w:val="Title"/>
          <w:tag w:val=""/>
          <w:id w:val="1866856822"/>
          <w:placeholder>
            <w:docPart w:val="EA0CB49B72C14941B5892E9C2F6C8CF8"/>
          </w:placeholder>
          <w:dataBinding w:prefixMappings="xmlns:ns0='http://purl.org/dc/elements/1.1/' xmlns:ns1='http://schemas.openxmlformats.org/package/2006/metadata/core-properties' " w:xpath="/ns1:coreProperties[1]/ns0:title[1]" w:storeItemID="{6C3C8BC8-F283-45AE-878A-BAB7291924A1}"/>
          <w:text/>
        </w:sdtPr>
        <w:sdtEndPr/>
        <w:sdtContent>
          <w:r w:rsidR="00262B2A" w:rsidRPr="004632AF">
            <w:rPr>
              <w:b/>
            </w:rPr>
            <w:t>CP-10/5.</w:t>
          </w:r>
          <w:r w:rsidR="00262B2A" w:rsidRPr="004632AF">
            <w:rPr>
              <w:b/>
            </w:rPr>
            <w:tab/>
            <w:t>Operation and activities of the Biosafety Clearing-House (Article 20)</w:t>
          </w:r>
        </w:sdtContent>
      </w:sdt>
      <w:r w:rsidR="00515F4E" w:rsidRPr="004632AF">
        <w:rPr>
          <w:b/>
          <w:caps/>
          <w:shd w:val="pct15" w:color="auto" w:fill="FFFFFF"/>
        </w:rPr>
        <w:t xml:space="preserve"> </w:t>
      </w:r>
    </w:p>
    <w:p w14:paraId="0BA1A497" w14:textId="77777777" w:rsidR="00DE6EA8" w:rsidRDefault="00DE6EA8" w:rsidP="00DE6EA8">
      <w:pPr>
        <w:pStyle w:val="Para1"/>
        <w:numPr>
          <w:ilvl w:val="0"/>
          <w:numId w:val="0"/>
        </w:numPr>
        <w:shd w:val="clear" w:color="auto" w:fill="FFFFFF" w:themeFill="background1"/>
        <w:ind w:firstLine="720"/>
        <w:rPr>
          <w:i/>
          <w:iCs/>
          <w:szCs w:val="22"/>
        </w:rPr>
      </w:pPr>
      <w:r w:rsidRPr="0062508B">
        <w:rPr>
          <w:i/>
          <w:iCs/>
          <w:szCs w:val="22"/>
        </w:rPr>
        <w:t>The Conference of the Parties serving as the meeting of the Parties to the Cartagena Protocol on Biosafety</w:t>
      </w:r>
      <w:r>
        <w:rPr>
          <w:i/>
          <w:iCs/>
          <w:szCs w:val="22"/>
        </w:rPr>
        <w:t>,</w:t>
      </w:r>
    </w:p>
    <w:p w14:paraId="231FC410" w14:textId="77777777" w:rsidR="00515F4E" w:rsidRPr="004632AF" w:rsidRDefault="00515F4E" w:rsidP="00515F4E">
      <w:pPr>
        <w:pStyle w:val="Para1"/>
        <w:numPr>
          <w:ilvl w:val="0"/>
          <w:numId w:val="0"/>
        </w:numPr>
        <w:shd w:val="clear" w:color="auto" w:fill="FFFFFF" w:themeFill="background1"/>
        <w:ind w:firstLine="720"/>
        <w:rPr>
          <w:i/>
          <w:iCs/>
          <w:snapToGrid/>
          <w:szCs w:val="22"/>
        </w:rPr>
      </w:pPr>
      <w:r w:rsidRPr="004632AF">
        <w:rPr>
          <w:i/>
          <w:iCs/>
          <w:szCs w:val="22"/>
        </w:rPr>
        <w:t xml:space="preserve">Reaffirming </w:t>
      </w:r>
      <w:r w:rsidRPr="004632AF">
        <w:rPr>
          <w:szCs w:val="22"/>
        </w:rPr>
        <w:t>the key role of the Biosafety Clearing-House as an information-sharing mechanism facilitating the implementation of the Cartagena Protocol on Biosafety and related capacity-building actions, and noting the increasing relevance of the Biosafety Clearing-House for online forums,</w:t>
      </w:r>
    </w:p>
    <w:p w14:paraId="14B161BF" w14:textId="77777777" w:rsidR="00515F4E" w:rsidRPr="00E00A09" w:rsidRDefault="00515F4E" w:rsidP="00515F4E">
      <w:pPr>
        <w:shd w:val="clear" w:color="auto" w:fill="FFFFFF" w:themeFill="background1"/>
        <w:snapToGrid w:val="0"/>
        <w:spacing w:before="120" w:after="120"/>
        <w:ind w:firstLine="720"/>
        <w:rPr>
          <w:snapToGrid w:val="0"/>
          <w:szCs w:val="22"/>
        </w:rPr>
      </w:pPr>
      <w:r w:rsidRPr="00E00A09">
        <w:rPr>
          <w:snapToGrid w:val="0"/>
          <w:color w:val="000000" w:themeColor="text1"/>
          <w:szCs w:val="22"/>
        </w:rPr>
        <w:t>1.</w:t>
      </w:r>
      <w:r w:rsidRPr="00E00A09">
        <w:rPr>
          <w:snapToGrid w:val="0"/>
          <w:color w:val="000000" w:themeColor="text1"/>
          <w:szCs w:val="22"/>
        </w:rPr>
        <w:tab/>
      </w:r>
      <w:r w:rsidRPr="00E00A09">
        <w:rPr>
          <w:i/>
          <w:iCs/>
          <w:snapToGrid w:val="0"/>
          <w:szCs w:val="22"/>
        </w:rPr>
        <w:t xml:space="preserve">Welcomes </w:t>
      </w:r>
      <w:r w:rsidRPr="00E00A09">
        <w:rPr>
          <w:snapToGrid w:val="0"/>
          <w:szCs w:val="22"/>
        </w:rPr>
        <w:t xml:space="preserve">the migration of the central portal of the Biosafety Clearing-House to its new platform and the improvements made in accordance with the joint modalities of operation for the clearing-house mechanism of the Convention, the Biosafety Clearing-House and the Access and Benefit-sharing Clearing-House endorsed in decision CP-9/2; </w:t>
      </w:r>
    </w:p>
    <w:p w14:paraId="73FF9E3F" w14:textId="7306B075" w:rsidR="00515F4E" w:rsidRPr="00E00A09" w:rsidDel="00EF45A3" w:rsidRDefault="00515F4E" w:rsidP="00515F4E">
      <w:pPr>
        <w:shd w:val="clear" w:color="auto" w:fill="FFFFFF" w:themeFill="background1"/>
        <w:snapToGrid w:val="0"/>
        <w:spacing w:before="120" w:after="120"/>
        <w:ind w:firstLine="720"/>
        <w:rPr>
          <w:snapToGrid w:val="0"/>
          <w:szCs w:val="22"/>
        </w:rPr>
      </w:pPr>
      <w:r w:rsidRPr="00E00A09">
        <w:rPr>
          <w:snapToGrid w:val="0"/>
          <w:color w:val="000000" w:themeColor="text1"/>
          <w:szCs w:val="22"/>
        </w:rPr>
        <w:t>2.</w:t>
      </w:r>
      <w:r w:rsidRPr="00E00A09">
        <w:rPr>
          <w:snapToGrid w:val="0"/>
          <w:color w:val="000000" w:themeColor="text1"/>
          <w:szCs w:val="22"/>
        </w:rPr>
        <w:tab/>
      </w:r>
      <w:r w:rsidRPr="00E00A09" w:rsidDel="00EF45A3">
        <w:rPr>
          <w:i/>
          <w:iCs/>
          <w:snapToGrid w:val="0"/>
          <w:szCs w:val="22"/>
        </w:rPr>
        <w:t>Calls upon</w:t>
      </w:r>
      <w:r w:rsidRPr="00E00A09" w:rsidDel="00EF45A3">
        <w:rPr>
          <w:snapToGrid w:val="0"/>
          <w:szCs w:val="22"/>
        </w:rPr>
        <w:t xml:space="preserve"> Parties</w:t>
      </w:r>
      <w:r w:rsidRPr="00E00A09">
        <w:rPr>
          <w:snapToGrid w:val="0"/>
          <w:szCs w:val="22"/>
        </w:rPr>
        <w:t xml:space="preserve"> and</w:t>
      </w:r>
      <w:r w:rsidRPr="00E00A09" w:rsidDel="00EF45A3">
        <w:rPr>
          <w:snapToGrid w:val="0"/>
          <w:szCs w:val="22"/>
        </w:rPr>
        <w:t xml:space="preserve"> other Governments to publish information</w:t>
      </w:r>
      <w:r w:rsidRPr="00E00A09">
        <w:rPr>
          <w:snapToGrid w:val="0"/>
          <w:szCs w:val="22"/>
        </w:rPr>
        <w:t xml:space="preserve"> </w:t>
      </w:r>
      <w:r w:rsidRPr="00E00A09" w:rsidDel="00EF45A3">
        <w:rPr>
          <w:snapToGrid w:val="0"/>
          <w:szCs w:val="22"/>
        </w:rPr>
        <w:t xml:space="preserve">available at the national level </w:t>
      </w:r>
      <w:r w:rsidR="005B3557" w:rsidRPr="00E00A09">
        <w:rPr>
          <w:snapToGrid w:val="0"/>
          <w:szCs w:val="22"/>
        </w:rPr>
        <w:t>in</w:t>
      </w:r>
      <w:r w:rsidRPr="00E00A09" w:rsidDel="00EF45A3">
        <w:rPr>
          <w:snapToGrid w:val="0"/>
          <w:szCs w:val="22"/>
        </w:rPr>
        <w:t xml:space="preserve"> the Biosafety Clearing-House in accordance with the obligations of the </w:t>
      </w:r>
      <w:proofErr w:type="gramStart"/>
      <w:r w:rsidRPr="00E00A09" w:rsidDel="00EF45A3">
        <w:rPr>
          <w:snapToGrid w:val="0"/>
          <w:szCs w:val="22"/>
        </w:rPr>
        <w:t>Protocol</w:t>
      </w:r>
      <w:r w:rsidRPr="00E00A09">
        <w:rPr>
          <w:snapToGrid w:val="0"/>
          <w:szCs w:val="22"/>
        </w:rPr>
        <w:t>;</w:t>
      </w:r>
      <w:proofErr w:type="gramEnd"/>
      <w:r w:rsidRPr="00E00A09" w:rsidDel="00EF45A3">
        <w:rPr>
          <w:snapToGrid w:val="0"/>
          <w:szCs w:val="22"/>
        </w:rPr>
        <w:t xml:space="preserve"> </w:t>
      </w:r>
    </w:p>
    <w:p w14:paraId="3066CA21" w14:textId="0C5ACF1F" w:rsidR="00515F4E" w:rsidRPr="00E00A09" w:rsidDel="00EF45A3" w:rsidRDefault="00515F4E" w:rsidP="00515F4E">
      <w:pPr>
        <w:shd w:val="clear" w:color="auto" w:fill="FFFFFF" w:themeFill="background1"/>
        <w:snapToGrid w:val="0"/>
        <w:spacing w:before="120" w:after="120"/>
        <w:ind w:firstLine="720"/>
        <w:rPr>
          <w:snapToGrid w:val="0"/>
          <w:szCs w:val="22"/>
        </w:rPr>
      </w:pPr>
      <w:r w:rsidRPr="00E00A09">
        <w:rPr>
          <w:snapToGrid w:val="0"/>
          <w:color w:val="000000" w:themeColor="text1"/>
          <w:szCs w:val="22"/>
        </w:rPr>
        <w:t>3.</w:t>
      </w:r>
      <w:r w:rsidRPr="00E00A09">
        <w:rPr>
          <w:snapToGrid w:val="0"/>
          <w:color w:val="000000" w:themeColor="text1"/>
          <w:szCs w:val="22"/>
        </w:rPr>
        <w:tab/>
      </w:r>
      <w:r w:rsidRPr="00E00A09">
        <w:rPr>
          <w:i/>
          <w:iCs/>
          <w:snapToGrid w:val="0"/>
          <w:szCs w:val="22"/>
        </w:rPr>
        <w:t>Calls upon</w:t>
      </w:r>
      <w:r w:rsidRPr="00E00A09" w:rsidDel="00EF45A3">
        <w:rPr>
          <w:snapToGrid w:val="0"/>
          <w:szCs w:val="22"/>
        </w:rPr>
        <w:t xml:space="preserve"> Parties, other Governments and relevant organizations to review </w:t>
      </w:r>
      <w:r w:rsidRPr="00E00A09">
        <w:rPr>
          <w:snapToGrid w:val="0"/>
          <w:szCs w:val="22"/>
        </w:rPr>
        <w:t>records they have</w:t>
      </w:r>
      <w:r w:rsidRPr="00E00A09" w:rsidDel="00EF45A3">
        <w:rPr>
          <w:snapToGrid w:val="0"/>
          <w:szCs w:val="22"/>
        </w:rPr>
        <w:t xml:space="preserve"> previously published </w:t>
      </w:r>
      <w:r w:rsidR="005B3557" w:rsidRPr="00E00A09">
        <w:rPr>
          <w:snapToGrid w:val="0"/>
          <w:szCs w:val="22"/>
        </w:rPr>
        <w:t>in</w:t>
      </w:r>
      <w:r w:rsidRPr="00E00A09" w:rsidDel="00EF45A3">
        <w:rPr>
          <w:snapToGrid w:val="0"/>
          <w:szCs w:val="22"/>
        </w:rPr>
        <w:t xml:space="preserve"> the Biosafety Clearing-House</w:t>
      </w:r>
      <w:r w:rsidRPr="00E00A09">
        <w:rPr>
          <w:snapToGrid w:val="0"/>
          <w:szCs w:val="22"/>
        </w:rPr>
        <w:t xml:space="preserve"> to verify their accuracy on the new platform</w:t>
      </w:r>
      <w:r w:rsidRPr="00E00A09" w:rsidDel="00EF45A3">
        <w:rPr>
          <w:snapToGrid w:val="0"/>
          <w:szCs w:val="22"/>
        </w:rPr>
        <w:t xml:space="preserve"> and </w:t>
      </w:r>
      <w:r w:rsidRPr="00E00A09">
        <w:rPr>
          <w:snapToGrid w:val="0"/>
          <w:szCs w:val="22"/>
        </w:rPr>
        <w:t xml:space="preserve">to </w:t>
      </w:r>
      <w:r w:rsidRPr="00E00A09" w:rsidDel="00EF45A3">
        <w:rPr>
          <w:snapToGrid w:val="0"/>
          <w:szCs w:val="22"/>
        </w:rPr>
        <w:t xml:space="preserve">make any revisions or updates </w:t>
      </w:r>
      <w:r w:rsidRPr="00E00A09">
        <w:rPr>
          <w:snapToGrid w:val="0"/>
          <w:szCs w:val="22"/>
        </w:rPr>
        <w:t xml:space="preserve">as necessary in a timely </w:t>
      </w:r>
      <w:proofErr w:type="gramStart"/>
      <w:r w:rsidRPr="00E00A09">
        <w:rPr>
          <w:snapToGrid w:val="0"/>
          <w:szCs w:val="22"/>
        </w:rPr>
        <w:t>manner;</w:t>
      </w:r>
      <w:proofErr w:type="gramEnd"/>
    </w:p>
    <w:p w14:paraId="7265158C" w14:textId="4C0A8C1C" w:rsidR="00515F4E" w:rsidRPr="00E00A09" w:rsidRDefault="00515F4E" w:rsidP="00891C7D">
      <w:pPr>
        <w:ind w:firstLine="720"/>
        <w:rPr>
          <w:sz w:val="24"/>
          <w:lang w:val="en-US" w:eastAsia="zh-CN"/>
        </w:rPr>
      </w:pPr>
      <w:r w:rsidRPr="00E00A09">
        <w:rPr>
          <w:snapToGrid w:val="0"/>
          <w:color w:val="000000" w:themeColor="text1"/>
          <w:szCs w:val="22"/>
        </w:rPr>
        <w:t>4.</w:t>
      </w:r>
      <w:r w:rsidRPr="00E00A09">
        <w:rPr>
          <w:snapToGrid w:val="0"/>
          <w:color w:val="000000" w:themeColor="text1"/>
          <w:szCs w:val="22"/>
        </w:rPr>
        <w:tab/>
      </w:r>
      <w:r w:rsidRPr="00E00A09">
        <w:rPr>
          <w:i/>
          <w:iCs/>
          <w:szCs w:val="22"/>
        </w:rPr>
        <w:t xml:space="preserve">Takes note </w:t>
      </w:r>
      <w:r w:rsidRPr="00E00A09">
        <w:rPr>
          <w:szCs w:val="22"/>
        </w:rPr>
        <w:t xml:space="preserve">of goal A.2 and related capacity-building activities in the </w:t>
      </w:r>
      <w:r w:rsidR="00E50A63" w:rsidRPr="00E00A09">
        <w:rPr>
          <w:szCs w:val="22"/>
        </w:rPr>
        <w:t>I</w:t>
      </w:r>
      <w:r w:rsidRPr="00E00A09">
        <w:rPr>
          <w:szCs w:val="22"/>
        </w:rPr>
        <w:t xml:space="preserve">mplementation </w:t>
      </w:r>
      <w:r w:rsidR="00E50A63" w:rsidRPr="00E00A09">
        <w:rPr>
          <w:szCs w:val="22"/>
        </w:rPr>
        <w:t>P</w:t>
      </w:r>
      <w:r w:rsidRPr="00E00A09">
        <w:rPr>
          <w:szCs w:val="22"/>
        </w:rPr>
        <w:t>lan</w:t>
      </w:r>
      <w:bookmarkStart w:id="0" w:name="_Hlk125554387"/>
      <w:r w:rsidR="00660946">
        <w:rPr>
          <w:szCs w:val="22"/>
        </w:rPr>
        <w:t xml:space="preserve"> for the Cartagena Protocol on Biosafety</w:t>
      </w:r>
      <w:r w:rsidR="00E50A63" w:rsidRPr="00E00A09">
        <w:rPr>
          <w:rStyle w:val="FootnoteReference"/>
          <w:szCs w:val="22"/>
        </w:rPr>
        <w:footnoteReference w:id="1"/>
      </w:r>
      <w:bookmarkEnd w:id="0"/>
      <w:r w:rsidRPr="00E00A09">
        <w:rPr>
          <w:szCs w:val="22"/>
        </w:rPr>
        <w:t xml:space="preserve"> and the </w:t>
      </w:r>
      <w:r w:rsidR="00E50A63" w:rsidRPr="00E00A09">
        <w:rPr>
          <w:szCs w:val="22"/>
        </w:rPr>
        <w:t>C</w:t>
      </w:r>
      <w:r w:rsidRPr="00E00A09">
        <w:rPr>
          <w:szCs w:val="22"/>
        </w:rPr>
        <w:t xml:space="preserve">apacity-building </w:t>
      </w:r>
      <w:r w:rsidR="00E50A63" w:rsidRPr="00E00A09">
        <w:rPr>
          <w:szCs w:val="22"/>
        </w:rPr>
        <w:t>A</w:t>
      </w:r>
      <w:r w:rsidRPr="00E00A09">
        <w:rPr>
          <w:szCs w:val="22"/>
        </w:rPr>
        <w:t xml:space="preserve">ction </w:t>
      </w:r>
      <w:r w:rsidR="00E50A63" w:rsidRPr="00E00A09">
        <w:rPr>
          <w:szCs w:val="22"/>
        </w:rPr>
        <w:t>P</w:t>
      </w:r>
      <w:r w:rsidRPr="00E00A09">
        <w:rPr>
          <w:szCs w:val="22"/>
        </w:rPr>
        <w:t>lan for the Cartagena Protocol on Biosafety</w:t>
      </w:r>
      <w:r w:rsidR="00D27D33" w:rsidRPr="00D27D33">
        <w:rPr>
          <w:szCs w:val="22"/>
          <w:vertAlign w:val="superscript"/>
        </w:rPr>
        <w:footnoteReference w:id="2"/>
      </w:r>
      <w:r w:rsidRPr="00E00A09">
        <w:rPr>
          <w:sz w:val="24"/>
          <w:lang w:val="en-US" w:eastAsia="zh-CN"/>
        </w:rPr>
        <w:t xml:space="preserve"> </w:t>
      </w:r>
      <w:r w:rsidRPr="00E00A09">
        <w:rPr>
          <w:szCs w:val="22"/>
        </w:rPr>
        <w:t xml:space="preserve">and </w:t>
      </w:r>
      <w:r w:rsidRPr="00891C7D">
        <w:rPr>
          <w:szCs w:val="22"/>
        </w:rPr>
        <w:t>invites</w:t>
      </w:r>
      <w:r w:rsidRPr="00E00A09">
        <w:rPr>
          <w:szCs w:val="22"/>
        </w:rPr>
        <w:t xml:space="preserve"> Parties, other Governments and relevant organizations to carry out related activities with a view to further strengthening the role of the Biosafety Clearing-House in the implementation of the Cartagena Protocol;</w:t>
      </w:r>
    </w:p>
    <w:p w14:paraId="2AF89997" w14:textId="2C9EB73E" w:rsidR="00515F4E" w:rsidRPr="00E00A09" w:rsidRDefault="00515F4E" w:rsidP="00515F4E">
      <w:pPr>
        <w:shd w:val="clear" w:color="auto" w:fill="FFFFFF" w:themeFill="background1"/>
        <w:snapToGrid w:val="0"/>
        <w:spacing w:before="120" w:after="120"/>
        <w:ind w:firstLine="720"/>
        <w:rPr>
          <w:szCs w:val="22"/>
        </w:rPr>
      </w:pPr>
      <w:r w:rsidRPr="00E00A09">
        <w:rPr>
          <w:snapToGrid w:val="0"/>
          <w:color w:val="000000" w:themeColor="text1"/>
          <w:szCs w:val="22"/>
        </w:rPr>
        <w:t>5.</w:t>
      </w:r>
      <w:r w:rsidRPr="00E00A09">
        <w:rPr>
          <w:snapToGrid w:val="0"/>
          <w:color w:val="000000" w:themeColor="text1"/>
          <w:szCs w:val="22"/>
        </w:rPr>
        <w:tab/>
      </w:r>
      <w:r w:rsidRPr="00E00A09">
        <w:rPr>
          <w:i/>
          <w:iCs/>
          <w:snapToGrid w:val="0"/>
          <w:szCs w:val="22"/>
          <w:lang w:val="en-US"/>
        </w:rPr>
        <w:t>Welcomes</w:t>
      </w:r>
      <w:r w:rsidRPr="00E00A09">
        <w:rPr>
          <w:i/>
          <w:iCs/>
          <w:snapToGrid w:val="0"/>
          <w:szCs w:val="22"/>
        </w:rPr>
        <w:t xml:space="preserve"> </w:t>
      </w:r>
      <w:r w:rsidRPr="00E00A09">
        <w:rPr>
          <w:snapToGrid w:val="0"/>
          <w:szCs w:val="22"/>
        </w:rPr>
        <w:t>the successful implementation of the United Nations Environment Programme</w:t>
      </w:r>
      <w:r w:rsidR="004607ED" w:rsidRPr="00E00A09">
        <w:rPr>
          <w:snapToGrid w:val="0"/>
          <w:szCs w:val="22"/>
        </w:rPr>
        <w:t xml:space="preserve"> </w:t>
      </w:r>
      <w:r w:rsidRPr="00E00A09">
        <w:rPr>
          <w:snapToGrid w:val="0"/>
          <w:szCs w:val="22"/>
        </w:rPr>
        <w:t>—</w:t>
      </w:r>
      <w:r w:rsidR="004607ED" w:rsidRPr="00E00A09">
        <w:rPr>
          <w:snapToGrid w:val="0"/>
          <w:szCs w:val="22"/>
        </w:rPr>
        <w:t xml:space="preserve"> </w:t>
      </w:r>
      <w:r w:rsidRPr="00E00A09">
        <w:rPr>
          <w:snapToGrid w:val="0"/>
          <w:szCs w:val="22"/>
        </w:rPr>
        <w:t xml:space="preserve">Global Environment Facility “Project for Sustainable Capacity Building for Effective Participation in the Biosafety Clearing-House” (BCH III Project) and </w:t>
      </w:r>
      <w:r w:rsidRPr="00E00A09">
        <w:rPr>
          <w:snapToGrid w:val="0"/>
          <w:szCs w:val="18"/>
        </w:rPr>
        <w:t>invites the United Nations Environment Programme to develop</w:t>
      </w:r>
      <w:r w:rsidRPr="00E00A09">
        <w:rPr>
          <w:snapToGrid w:val="0"/>
          <w:szCs w:val="22"/>
        </w:rPr>
        <w:t xml:space="preserve"> further capacity-building projects related to the Biosafety Clearing-House;</w:t>
      </w:r>
      <w:r w:rsidRPr="00E00A09">
        <w:rPr>
          <w:i/>
          <w:iCs/>
          <w:snapToGrid w:val="0"/>
          <w:szCs w:val="22"/>
        </w:rPr>
        <w:t xml:space="preserve"> </w:t>
      </w:r>
    </w:p>
    <w:p w14:paraId="1E2907E8" w14:textId="4BADE0D1" w:rsidR="00515F4E" w:rsidRPr="0062508B" w:rsidRDefault="00515F4E" w:rsidP="00515F4E">
      <w:pPr>
        <w:shd w:val="clear" w:color="auto" w:fill="FFFFFF" w:themeFill="background1"/>
        <w:snapToGrid w:val="0"/>
        <w:spacing w:before="120" w:after="120"/>
        <w:ind w:firstLine="720"/>
        <w:rPr>
          <w:snapToGrid w:val="0"/>
          <w:szCs w:val="22"/>
        </w:rPr>
      </w:pPr>
      <w:r w:rsidRPr="00E00A09">
        <w:rPr>
          <w:snapToGrid w:val="0"/>
          <w:color w:val="000000" w:themeColor="text1"/>
          <w:szCs w:val="22"/>
        </w:rPr>
        <w:t>6.</w:t>
      </w:r>
      <w:r w:rsidRPr="00E00A09">
        <w:rPr>
          <w:snapToGrid w:val="0"/>
          <w:color w:val="000000" w:themeColor="text1"/>
          <w:szCs w:val="22"/>
        </w:rPr>
        <w:tab/>
      </w:r>
      <w:r w:rsidR="00A824F1" w:rsidRPr="00891C7D">
        <w:rPr>
          <w:i/>
          <w:iCs/>
          <w:snapToGrid w:val="0"/>
          <w:color w:val="000000" w:themeColor="text1"/>
          <w:szCs w:val="22"/>
        </w:rPr>
        <w:t>Also w</w:t>
      </w:r>
      <w:r w:rsidRPr="00E00A09">
        <w:rPr>
          <w:i/>
          <w:iCs/>
          <w:snapToGrid w:val="0"/>
          <w:szCs w:val="22"/>
        </w:rPr>
        <w:t xml:space="preserve">elcomes </w:t>
      </w:r>
      <w:r w:rsidRPr="00E00A09">
        <w:rPr>
          <w:snapToGrid w:val="0"/>
          <w:szCs w:val="22"/>
        </w:rPr>
        <w:t>the collaborative activities undertaken between the biosafety databases of the Food and Agriculture Organization of the United Nations and the Organisation for Economic Co-operation and Development and the Biosafety Clearing-House;</w:t>
      </w:r>
    </w:p>
    <w:p w14:paraId="2720FECA" w14:textId="77777777" w:rsidR="00515F4E" w:rsidRPr="002836C8" w:rsidRDefault="00515F4E" w:rsidP="00515F4E">
      <w:pPr>
        <w:shd w:val="clear" w:color="auto" w:fill="FFFFFF" w:themeFill="background1"/>
        <w:snapToGrid w:val="0"/>
        <w:spacing w:before="120" w:after="120"/>
        <w:ind w:firstLine="720"/>
        <w:rPr>
          <w:snapToGrid w:val="0"/>
          <w:color w:val="000000" w:themeColor="text1"/>
          <w:szCs w:val="22"/>
        </w:rPr>
      </w:pPr>
      <w:r>
        <w:rPr>
          <w:snapToGrid w:val="0"/>
          <w:color w:val="000000" w:themeColor="text1"/>
          <w:szCs w:val="22"/>
        </w:rPr>
        <w:t>7</w:t>
      </w:r>
      <w:r w:rsidRPr="002836C8">
        <w:rPr>
          <w:snapToGrid w:val="0"/>
          <w:color w:val="000000" w:themeColor="text1"/>
          <w:szCs w:val="22"/>
        </w:rPr>
        <w:t>.</w:t>
      </w:r>
      <w:r w:rsidRPr="002836C8">
        <w:rPr>
          <w:snapToGrid w:val="0"/>
          <w:color w:val="000000" w:themeColor="text1"/>
          <w:szCs w:val="22"/>
        </w:rPr>
        <w:tab/>
      </w:r>
      <w:r w:rsidRPr="002836C8">
        <w:rPr>
          <w:i/>
          <w:iCs/>
          <w:snapToGrid w:val="0"/>
          <w:color w:val="000000" w:themeColor="text1"/>
          <w:szCs w:val="22"/>
        </w:rPr>
        <w:t>Requests</w:t>
      </w:r>
      <w:r w:rsidRPr="002836C8">
        <w:rPr>
          <w:snapToGrid w:val="0"/>
          <w:color w:val="000000" w:themeColor="text1"/>
          <w:szCs w:val="22"/>
        </w:rPr>
        <w:t xml:space="preserve"> the Executive Secretary to continue to maintain and make necessary improvements to the Biosafety Clearing-House, including:</w:t>
      </w:r>
    </w:p>
    <w:p w14:paraId="37DB4501" w14:textId="508EDD83" w:rsidR="00515F4E" w:rsidRPr="0062508B" w:rsidRDefault="00515F4E" w:rsidP="00515F4E">
      <w:pPr>
        <w:suppressLineNumbers/>
        <w:shd w:val="clear" w:color="auto" w:fill="FFFFFF" w:themeFill="background1"/>
        <w:suppressAutoHyphens/>
        <w:spacing w:before="120" w:after="120"/>
        <w:ind w:firstLine="720"/>
        <w:rPr>
          <w:color w:val="000000" w:themeColor="text1"/>
          <w:szCs w:val="22"/>
        </w:rPr>
      </w:pPr>
      <w:r>
        <w:rPr>
          <w:color w:val="000000" w:themeColor="text1"/>
          <w:szCs w:val="22"/>
        </w:rPr>
        <w:t>(a)</w:t>
      </w:r>
      <w:r>
        <w:rPr>
          <w:color w:val="000000" w:themeColor="text1"/>
          <w:szCs w:val="22"/>
        </w:rPr>
        <w:tab/>
      </w:r>
      <w:r w:rsidRPr="0062508B">
        <w:rPr>
          <w:color w:val="000000" w:themeColor="text1"/>
          <w:szCs w:val="22"/>
        </w:rPr>
        <w:t xml:space="preserve">Translating further pages of the </w:t>
      </w:r>
      <w:r>
        <w:rPr>
          <w:color w:val="000000" w:themeColor="text1"/>
          <w:szCs w:val="22"/>
        </w:rPr>
        <w:t>Biosafety Clearing-House</w:t>
      </w:r>
      <w:r w:rsidRPr="0062508B">
        <w:rPr>
          <w:color w:val="000000" w:themeColor="text1"/>
          <w:szCs w:val="22"/>
        </w:rPr>
        <w:t>, including new features and content as they are developed to ensure that the Biosafety Clearing-House</w:t>
      </w:r>
      <w:r w:rsidRPr="0062508B" w:rsidDel="00857D1F">
        <w:rPr>
          <w:color w:val="000000" w:themeColor="text1"/>
          <w:szCs w:val="22"/>
        </w:rPr>
        <w:t xml:space="preserve"> </w:t>
      </w:r>
      <w:r w:rsidRPr="0062508B">
        <w:rPr>
          <w:color w:val="000000" w:themeColor="text1"/>
          <w:szCs w:val="22"/>
        </w:rPr>
        <w:t xml:space="preserve">is available in the six official languages of the United Nations; </w:t>
      </w:r>
    </w:p>
    <w:p w14:paraId="71F304FC" w14:textId="77777777" w:rsidR="00515F4E" w:rsidRPr="008B3B7E" w:rsidRDefault="00515F4E" w:rsidP="00515F4E">
      <w:pPr>
        <w:suppressLineNumbers/>
        <w:shd w:val="clear" w:color="auto" w:fill="FFFFFF" w:themeFill="background1"/>
        <w:suppressAutoHyphens/>
        <w:spacing w:before="120" w:after="120"/>
        <w:ind w:firstLine="720"/>
        <w:rPr>
          <w:color w:val="000000" w:themeColor="text1"/>
          <w:szCs w:val="22"/>
        </w:rPr>
      </w:pPr>
      <w:r>
        <w:rPr>
          <w:color w:val="000000" w:themeColor="text1"/>
          <w:szCs w:val="22"/>
        </w:rPr>
        <w:t>(b)</w:t>
      </w:r>
      <w:r>
        <w:rPr>
          <w:color w:val="000000" w:themeColor="text1"/>
          <w:szCs w:val="22"/>
        </w:rPr>
        <w:tab/>
      </w:r>
      <w:r w:rsidRPr="0062508B">
        <w:rPr>
          <w:color w:val="000000" w:themeColor="text1"/>
          <w:szCs w:val="22"/>
        </w:rPr>
        <w:t xml:space="preserve">Exploring how the </w:t>
      </w:r>
      <w:proofErr w:type="spellStart"/>
      <w:r w:rsidRPr="0062508B">
        <w:rPr>
          <w:color w:val="000000" w:themeColor="text1"/>
          <w:szCs w:val="22"/>
        </w:rPr>
        <w:t>Bioland</w:t>
      </w:r>
      <w:proofErr w:type="spellEnd"/>
      <w:r w:rsidRPr="0062508B">
        <w:rPr>
          <w:color w:val="000000" w:themeColor="text1"/>
          <w:szCs w:val="22"/>
        </w:rPr>
        <w:t xml:space="preserve"> tool can be used to facilitate the </w:t>
      </w:r>
      <w:r w:rsidRPr="008B3B7E">
        <w:rPr>
          <w:color w:val="000000" w:themeColor="text1"/>
          <w:szCs w:val="22"/>
        </w:rPr>
        <w:t>linkage between national websites and the Biosafety Clearing-House, and other mechanisms that allow national clearing-houses to retrieve information from the Biosafety Clearing-House;</w:t>
      </w:r>
    </w:p>
    <w:p w14:paraId="64570699" w14:textId="5BBBC510" w:rsidR="00515F4E" w:rsidRPr="0062508B" w:rsidRDefault="00515F4E" w:rsidP="00515F4E">
      <w:pPr>
        <w:suppressLineNumbers/>
        <w:shd w:val="clear" w:color="auto" w:fill="FFFFFF" w:themeFill="background1"/>
        <w:suppressAutoHyphens/>
        <w:spacing w:before="120" w:after="120"/>
        <w:ind w:firstLine="720"/>
        <w:rPr>
          <w:color w:val="000000" w:themeColor="text1"/>
          <w:szCs w:val="22"/>
        </w:rPr>
      </w:pPr>
      <w:r w:rsidRPr="008B3B7E">
        <w:rPr>
          <w:color w:val="000000" w:themeColor="text1"/>
          <w:szCs w:val="22"/>
        </w:rPr>
        <w:t>(c)</w:t>
      </w:r>
      <w:r w:rsidRPr="008B3B7E">
        <w:rPr>
          <w:color w:val="000000" w:themeColor="text1"/>
          <w:szCs w:val="22"/>
        </w:rPr>
        <w:tab/>
        <w:t xml:space="preserve">Continuing to ensure information </w:t>
      </w:r>
      <w:r w:rsidR="005C5E12" w:rsidRPr="008B3B7E">
        <w:rPr>
          <w:color w:val="000000" w:themeColor="text1"/>
          <w:szCs w:val="22"/>
        </w:rPr>
        <w:t>in</w:t>
      </w:r>
      <w:r w:rsidRPr="008B3B7E">
        <w:rPr>
          <w:color w:val="000000" w:themeColor="text1"/>
          <w:szCs w:val="22"/>
        </w:rPr>
        <w:t xml:space="preserve"> the clearing-house is up-to-date</w:t>
      </w:r>
      <w:r w:rsidR="00931CB0" w:rsidRPr="008B3B7E">
        <w:rPr>
          <w:color w:val="000000" w:themeColor="text1"/>
          <w:szCs w:val="22"/>
        </w:rPr>
        <w:t>;</w:t>
      </w:r>
    </w:p>
    <w:p w14:paraId="79A5006F" w14:textId="77777777" w:rsidR="00515F4E" w:rsidRPr="002836C8" w:rsidRDefault="00515F4E" w:rsidP="00515F4E">
      <w:pPr>
        <w:keepNext/>
        <w:suppressLineNumbers/>
        <w:shd w:val="clear" w:color="auto" w:fill="FFFFFF" w:themeFill="background1"/>
        <w:suppressAutoHyphens/>
        <w:snapToGrid w:val="0"/>
        <w:spacing w:before="120" w:after="120"/>
        <w:ind w:firstLine="720"/>
        <w:rPr>
          <w:snapToGrid w:val="0"/>
          <w:color w:val="000000" w:themeColor="text1"/>
          <w:szCs w:val="22"/>
        </w:rPr>
      </w:pPr>
      <w:r>
        <w:rPr>
          <w:snapToGrid w:val="0"/>
          <w:color w:val="000000" w:themeColor="text1"/>
          <w:szCs w:val="22"/>
        </w:rPr>
        <w:t>8</w:t>
      </w:r>
      <w:r w:rsidRPr="002836C8">
        <w:rPr>
          <w:i/>
          <w:iCs/>
          <w:snapToGrid w:val="0"/>
          <w:color w:val="000000" w:themeColor="text1"/>
          <w:szCs w:val="22"/>
        </w:rPr>
        <w:t>.</w:t>
      </w:r>
      <w:r w:rsidRPr="002836C8">
        <w:rPr>
          <w:i/>
          <w:iCs/>
          <w:snapToGrid w:val="0"/>
          <w:color w:val="000000" w:themeColor="text1"/>
          <w:szCs w:val="22"/>
        </w:rPr>
        <w:tab/>
        <w:t>Also requests</w:t>
      </w:r>
      <w:r w:rsidRPr="002836C8">
        <w:rPr>
          <w:snapToGrid w:val="0"/>
          <w:color w:val="000000" w:themeColor="text1"/>
          <w:szCs w:val="22"/>
        </w:rPr>
        <w:t xml:space="preserve"> the Executive Secretary: </w:t>
      </w:r>
    </w:p>
    <w:p w14:paraId="4A0E8EE5" w14:textId="6746D42C" w:rsidR="00515F4E" w:rsidRPr="0062508B" w:rsidRDefault="00515F4E" w:rsidP="00BD6205">
      <w:pPr>
        <w:suppressLineNumbers/>
        <w:shd w:val="clear" w:color="auto" w:fill="FFFFFF" w:themeFill="background1"/>
        <w:suppressAutoHyphens/>
        <w:spacing w:before="120" w:after="120"/>
        <w:ind w:firstLine="720"/>
        <w:rPr>
          <w:color w:val="000000" w:themeColor="text1"/>
          <w:szCs w:val="22"/>
        </w:rPr>
      </w:pPr>
      <w:r>
        <w:rPr>
          <w:color w:val="000000" w:themeColor="text1"/>
          <w:szCs w:val="22"/>
        </w:rPr>
        <w:t>(a)</w:t>
      </w:r>
      <w:r>
        <w:rPr>
          <w:color w:val="000000" w:themeColor="text1"/>
          <w:szCs w:val="22"/>
        </w:rPr>
        <w:tab/>
        <w:t xml:space="preserve">To develop capacity-building materials based on priorities identified by Parties </w:t>
      </w:r>
      <w:r w:rsidRPr="0062508B">
        <w:rPr>
          <w:color w:val="000000" w:themeColor="text1"/>
          <w:szCs w:val="22"/>
        </w:rPr>
        <w:t xml:space="preserve">and </w:t>
      </w:r>
      <w:r w:rsidR="00912CC1">
        <w:rPr>
          <w:color w:val="000000" w:themeColor="text1"/>
          <w:szCs w:val="22"/>
        </w:rPr>
        <w:t xml:space="preserve">to </w:t>
      </w:r>
      <w:r w:rsidR="008C7391">
        <w:rPr>
          <w:color w:val="000000" w:themeColor="text1"/>
          <w:szCs w:val="22"/>
        </w:rPr>
        <w:t>conduct</w:t>
      </w:r>
      <w:r w:rsidRPr="0062508B">
        <w:rPr>
          <w:color w:val="000000" w:themeColor="text1"/>
          <w:szCs w:val="22"/>
        </w:rPr>
        <w:t xml:space="preserve"> trainings on the new functionalities of the Biosafety Clearing-House</w:t>
      </w:r>
      <w:r>
        <w:rPr>
          <w:color w:val="000000" w:themeColor="text1"/>
          <w:szCs w:val="22"/>
        </w:rPr>
        <w:t xml:space="preserve"> </w:t>
      </w:r>
      <w:r w:rsidRPr="0062508B">
        <w:rPr>
          <w:color w:val="000000" w:themeColor="text1"/>
          <w:szCs w:val="22"/>
        </w:rPr>
        <w:t xml:space="preserve">including as a contribution to the key activities highlighted in the </w:t>
      </w:r>
      <w:r w:rsidR="002D61B1" w:rsidRPr="003A0057">
        <w:rPr>
          <w:color w:val="000000" w:themeColor="text1"/>
          <w:szCs w:val="22"/>
        </w:rPr>
        <w:t>C</w:t>
      </w:r>
      <w:r w:rsidRPr="003A0057">
        <w:rPr>
          <w:color w:val="000000" w:themeColor="text1"/>
          <w:szCs w:val="22"/>
        </w:rPr>
        <w:t>apacity-</w:t>
      </w:r>
      <w:r w:rsidRPr="00487DEF">
        <w:rPr>
          <w:color w:val="000000" w:themeColor="text1"/>
          <w:szCs w:val="22"/>
        </w:rPr>
        <w:t xml:space="preserve">building </w:t>
      </w:r>
      <w:r w:rsidR="002D61B1" w:rsidRPr="00487DEF">
        <w:rPr>
          <w:color w:val="000000" w:themeColor="text1"/>
          <w:szCs w:val="22"/>
        </w:rPr>
        <w:t>A</w:t>
      </w:r>
      <w:r w:rsidRPr="00487DEF">
        <w:rPr>
          <w:color w:val="000000" w:themeColor="text1"/>
          <w:szCs w:val="22"/>
        </w:rPr>
        <w:t xml:space="preserve">ction </w:t>
      </w:r>
      <w:r w:rsidR="002D61B1" w:rsidRPr="00487DEF">
        <w:rPr>
          <w:color w:val="000000" w:themeColor="text1"/>
          <w:szCs w:val="22"/>
        </w:rPr>
        <w:t>P</w:t>
      </w:r>
      <w:r w:rsidRPr="00487DEF">
        <w:rPr>
          <w:color w:val="000000" w:themeColor="text1"/>
          <w:szCs w:val="22"/>
        </w:rPr>
        <w:t>lan</w:t>
      </w:r>
      <w:r w:rsidR="00BC03C9" w:rsidRPr="00487DEF">
        <w:rPr>
          <w:color w:val="000000" w:themeColor="text1"/>
          <w:szCs w:val="22"/>
        </w:rPr>
        <w:t xml:space="preserve"> for the Cartagena Protocol on Biosafety</w:t>
      </w:r>
      <w:r w:rsidR="00487DEF" w:rsidRPr="00487DEF">
        <w:rPr>
          <w:color w:val="000000" w:themeColor="text1"/>
          <w:szCs w:val="22"/>
        </w:rPr>
        <w:t xml:space="preserve"> adopted in decision CP-10/4</w:t>
      </w:r>
      <w:r w:rsidRPr="00487DEF">
        <w:rPr>
          <w:color w:val="000000" w:themeColor="text1"/>
          <w:szCs w:val="22"/>
        </w:rPr>
        <w:t>;</w:t>
      </w:r>
      <w:r w:rsidR="00487DEF">
        <w:rPr>
          <w:color w:val="000000" w:themeColor="text1"/>
          <w:szCs w:val="22"/>
        </w:rPr>
        <w:t xml:space="preserve"> </w:t>
      </w:r>
    </w:p>
    <w:p w14:paraId="2B8CC8AD" w14:textId="77777777" w:rsidR="00515F4E" w:rsidRPr="0062508B" w:rsidRDefault="00515F4E" w:rsidP="00891C7D">
      <w:pPr>
        <w:suppressLineNumbers/>
        <w:shd w:val="clear" w:color="auto" w:fill="FFFFFF" w:themeFill="background1"/>
        <w:suppressAutoHyphens/>
        <w:spacing w:before="120" w:after="120"/>
        <w:ind w:firstLine="720"/>
        <w:rPr>
          <w:color w:val="000000" w:themeColor="text1"/>
          <w:szCs w:val="22"/>
        </w:rPr>
      </w:pPr>
      <w:r>
        <w:rPr>
          <w:color w:val="000000" w:themeColor="text1"/>
          <w:szCs w:val="22"/>
        </w:rPr>
        <w:t>(b)</w:t>
      </w:r>
      <w:r>
        <w:rPr>
          <w:color w:val="000000" w:themeColor="text1"/>
          <w:szCs w:val="22"/>
        </w:rPr>
        <w:tab/>
      </w:r>
      <w:r w:rsidRPr="0062508B">
        <w:rPr>
          <w:color w:val="000000" w:themeColor="text1"/>
          <w:szCs w:val="22"/>
        </w:rPr>
        <w:t xml:space="preserve">To explore options for </w:t>
      </w:r>
      <w:r>
        <w:rPr>
          <w:color w:val="000000" w:themeColor="text1"/>
          <w:szCs w:val="22"/>
        </w:rPr>
        <w:t xml:space="preserve">and implement </w:t>
      </w:r>
      <w:r w:rsidRPr="0062508B">
        <w:rPr>
          <w:color w:val="000000" w:themeColor="text1"/>
          <w:szCs w:val="22"/>
        </w:rPr>
        <w:t xml:space="preserve">a coordinated approach to the web infrastructure for online forums across the clearing-houses; </w:t>
      </w:r>
    </w:p>
    <w:p w14:paraId="52FB5463" w14:textId="512C96A6" w:rsidR="00515F4E" w:rsidRDefault="00515F4E" w:rsidP="00891C7D">
      <w:pPr>
        <w:suppressLineNumbers/>
        <w:shd w:val="clear" w:color="auto" w:fill="FFFFFF" w:themeFill="background1"/>
        <w:suppressAutoHyphens/>
        <w:spacing w:before="120" w:after="120"/>
        <w:ind w:firstLine="720"/>
        <w:rPr>
          <w:color w:val="000000" w:themeColor="text1"/>
          <w:szCs w:val="22"/>
        </w:rPr>
      </w:pPr>
      <w:r>
        <w:rPr>
          <w:color w:val="000000" w:themeColor="text1"/>
          <w:szCs w:val="22"/>
        </w:rPr>
        <w:t>(c)</w:t>
      </w:r>
      <w:r>
        <w:rPr>
          <w:color w:val="000000" w:themeColor="text1"/>
          <w:szCs w:val="22"/>
        </w:rPr>
        <w:tab/>
      </w:r>
      <w:r w:rsidRPr="0062508B">
        <w:rPr>
          <w:color w:val="000000" w:themeColor="text1"/>
          <w:szCs w:val="22"/>
        </w:rPr>
        <w:t>To continue collaborating with other biosafety-related databases and organizations.</w:t>
      </w:r>
    </w:p>
    <w:p w14:paraId="369C4243" w14:textId="6866049E" w:rsidR="00515F4E" w:rsidRPr="00E76FD2" w:rsidRDefault="00515F4E" w:rsidP="00891C7D">
      <w:pPr>
        <w:suppressLineNumbers/>
        <w:shd w:val="clear" w:color="auto" w:fill="FFFFFF" w:themeFill="background1"/>
        <w:suppressAutoHyphens/>
        <w:spacing w:before="120" w:after="120"/>
        <w:jc w:val="left"/>
      </w:pPr>
    </w:p>
    <w:p w14:paraId="77913080" w14:textId="0D87C93A" w:rsidR="00E76FD2" w:rsidRPr="00E76FD2" w:rsidRDefault="00515F4E" w:rsidP="00166372">
      <w:pPr>
        <w:shd w:val="clear" w:color="auto" w:fill="FFFFFF" w:themeFill="background1"/>
        <w:jc w:val="center"/>
      </w:pPr>
      <w:r w:rsidRPr="00E76FD2">
        <w:t>__________</w:t>
      </w:r>
    </w:p>
    <w:sectPr w:rsidR="00E76FD2" w:rsidRPr="00E76FD2" w:rsidSect="001B1D8F">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A8DB" w14:textId="77777777" w:rsidR="00684976" w:rsidRDefault="00684976" w:rsidP="00CF1848">
      <w:r>
        <w:separator/>
      </w:r>
    </w:p>
  </w:endnote>
  <w:endnote w:type="continuationSeparator" w:id="0">
    <w:p w14:paraId="211FC377" w14:textId="77777777" w:rsidR="00684976" w:rsidRDefault="0068497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B145" w14:textId="77777777" w:rsidR="00684976" w:rsidRDefault="00684976" w:rsidP="00CF1848">
      <w:r>
        <w:separator/>
      </w:r>
    </w:p>
  </w:footnote>
  <w:footnote w:type="continuationSeparator" w:id="0">
    <w:p w14:paraId="5BE6924C" w14:textId="77777777" w:rsidR="00684976" w:rsidRDefault="00684976" w:rsidP="00CF1848">
      <w:r>
        <w:continuationSeparator/>
      </w:r>
    </w:p>
  </w:footnote>
  <w:footnote w:id="1">
    <w:p w14:paraId="34C6847D" w14:textId="4DC3AD57" w:rsidR="00E50A63" w:rsidRPr="00E50A63" w:rsidRDefault="00E50A63" w:rsidP="00E50A63">
      <w:pPr>
        <w:pStyle w:val="FootnoteText"/>
        <w:ind w:firstLine="0"/>
        <w:rPr>
          <w:szCs w:val="18"/>
        </w:rPr>
      </w:pPr>
      <w:r w:rsidRPr="00E50A63">
        <w:rPr>
          <w:rStyle w:val="FootnoteReference"/>
          <w:sz w:val="18"/>
          <w:szCs w:val="18"/>
        </w:rPr>
        <w:footnoteRef/>
      </w:r>
      <w:r w:rsidRPr="00E50A63">
        <w:rPr>
          <w:szCs w:val="18"/>
        </w:rPr>
        <w:t xml:space="preserve"> Decision CP-10/3, annex.</w:t>
      </w:r>
    </w:p>
  </w:footnote>
  <w:footnote w:id="2">
    <w:p w14:paraId="21FFEE7F" w14:textId="77777777" w:rsidR="00D27D33" w:rsidRPr="00E50A63" w:rsidRDefault="00D27D33" w:rsidP="00D27D33">
      <w:pPr>
        <w:pStyle w:val="FootnoteText"/>
        <w:ind w:firstLine="0"/>
      </w:pPr>
      <w:r w:rsidRPr="00E50A63">
        <w:rPr>
          <w:rStyle w:val="FootnoteReference"/>
          <w:sz w:val="18"/>
          <w:szCs w:val="18"/>
        </w:rPr>
        <w:footnoteRef/>
      </w:r>
      <w:r w:rsidRPr="00E50A63">
        <w:rPr>
          <w:szCs w:val="18"/>
        </w:rPr>
        <w:t xml:space="preserve"> Decision CP-10/4,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3469BE4" w:rsidR="00534681" w:rsidRPr="00134846" w:rsidRDefault="00010C93" w:rsidP="00534681">
        <w:pPr>
          <w:pStyle w:val="Header"/>
          <w:rPr>
            <w:lang w:val="fr-FR"/>
          </w:rPr>
        </w:pPr>
        <w:r>
          <w:rPr>
            <w:lang w:val="fr-FR"/>
          </w:rPr>
          <w:t>CBD/CP/MOP/DEC/10/5</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66D72FA0" w:rsidR="009505C9" w:rsidRPr="00134846" w:rsidRDefault="00010C93" w:rsidP="009505C9">
        <w:pPr>
          <w:pStyle w:val="Header"/>
          <w:jc w:val="right"/>
          <w:rPr>
            <w:lang w:val="fr-FR"/>
          </w:rPr>
        </w:pPr>
        <w:r>
          <w:rPr>
            <w:lang w:val="fr-FR"/>
          </w:rPr>
          <w:t>CBD/CP/MOP/DEC/10/5</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273810">
    <w:abstractNumId w:val="3"/>
  </w:num>
  <w:num w:numId="2" w16cid:durableId="1579436671">
    <w:abstractNumId w:val="6"/>
  </w:num>
  <w:num w:numId="3" w16cid:durableId="1518150969">
    <w:abstractNumId w:val="4"/>
  </w:num>
  <w:num w:numId="4" w16cid:durableId="1100101730">
    <w:abstractNumId w:val="6"/>
  </w:num>
  <w:num w:numId="5" w16cid:durableId="1035155951">
    <w:abstractNumId w:val="5"/>
  </w:num>
  <w:num w:numId="6" w16cid:durableId="718168567">
    <w:abstractNumId w:val="0"/>
  </w:num>
  <w:num w:numId="7" w16cid:durableId="1371421875">
    <w:abstractNumId w:val="2"/>
  </w:num>
  <w:num w:numId="8" w16cid:durableId="2114785060">
    <w:abstractNumId w:val="4"/>
    <w:lvlOverride w:ilvl="0">
      <w:startOverride w:val="1"/>
    </w:lvlOverride>
  </w:num>
  <w:num w:numId="9" w16cid:durableId="489831022">
    <w:abstractNumId w:val="9"/>
  </w:num>
  <w:num w:numId="10" w16cid:durableId="555312993">
    <w:abstractNumId w:val="4"/>
    <w:lvlOverride w:ilvl="0">
      <w:startOverride w:val="1"/>
    </w:lvlOverride>
  </w:num>
  <w:num w:numId="11" w16cid:durableId="983848412">
    <w:abstractNumId w:val="4"/>
    <w:lvlOverride w:ilvl="0">
      <w:startOverride w:val="1"/>
    </w:lvlOverride>
  </w:num>
  <w:num w:numId="12" w16cid:durableId="1336885529">
    <w:abstractNumId w:val="4"/>
    <w:lvlOverride w:ilvl="0">
      <w:startOverride w:val="1"/>
    </w:lvlOverride>
  </w:num>
  <w:num w:numId="13" w16cid:durableId="313142630">
    <w:abstractNumId w:val="4"/>
    <w:lvlOverride w:ilvl="0">
      <w:startOverride w:val="1"/>
    </w:lvlOverride>
  </w:num>
  <w:num w:numId="14" w16cid:durableId="512038393">
    <w:abstractNumId w:val="8"/>
  </w:num>
  <w:num w:numId="15" w16cid:durableId="144788247">
    <w:abstractNumId w:val="7"/>
  </w:num>
  <w:num w:numId="16" w16cid:durableId="150215971">
    <w:abstractNumId w:val="1"/>
  </w:num>
  <w:num w:numId="17" w16cid:durableId="1531143830">
    <w:abstractNumId w:val="10"/>
  </w:num>
  <w:num w:numId="18" w16cid:durableId="1443306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09D7"/>
    <w:rsid w:val="00010C93"/>
    <w:rsid w:val="00020A25"/>
    <w:rsid w:val="00051F74"/>
    <w:rsid w:val="000523F3"/>
    <w:rsid w:val="0007171B"/>
    <w:rsid w:val="00076DC4"/>
    <w:rsid w:val="000C64C2"/>
    <w:rsid w:val="000E673A"/>
    <w:rsid w:val="000F74F5"/>
    <w:rsid w:val="00105372"/>
    <w:rsid w:val="001312AD"/>
    <w:rsid w:val="00131E7A"/>
    <w:rsid w:val="00134846"/>
    <w:rsid w:val="00166372"/>
    <w:rsid w:val="00172AF6"/>
    <w:rsid w:val="00176CEE"/>
    <w:rsid w:val="0018081A"/>
    <w:rsid w:val="00186DD8"/>
    <w:rsid w:val="00191F10"/>
    <w:rsid w:val="001B13FE"/>
    <w:rsid w:val="001B1D8F"/>
    <w:rsid w:val="001E20E2"/>
    <w:rsid w:val="001F0EAA"/>
    <w:rsid w:val="00201591"/>
    <w:rsid w:val="0022736C"/>
    <w:rsid w:val="00246675"/>
    <w:rsid w:val="00247E03"/>
    <w:rsid w:val="00262B2A"/>
    <w:rsid w:val="002661BD"/>
    <w:rsid w:val="002A7E7D"/>
    <w:rsid w:val="002B1356"/>
    <w:rsid w:val="002B398D"/>
    <w:rsid w:val="002C3C82"/>
    <w:rsid w:val="002D61B1"/>
    <w:rsid w:val="002E5A39"/>
    <w:rsid w:val="002F454F"/>
    <w:rsid w:val="0030169D"/>
    <w:rsid w:val="003060EB"/>
    <w:rsid w:val="003153EB"/>
    <w:rsid w:val="00321985"/>
    <w:rsid w:val="00351205"/>
    <w:rsid w:val="00372F74"/>
    <w:rsid w:val="003A0057"/>
    <w:rsid w:val="003A6633"/>
    <w:rsid w:val="003B571B"/>
    <w:rsid w:val="003B7BB2"/>
    <w:rsid w:val="003E64E9"/>
    <w:rsid w:val="003F7224"/>
    <w:rsid w:val="00427D21"/>
    <w:rsid w:val="004357A8"/>
    <w:rsid w:val="004607ED"/>
    <w:rsid w:val="004632AF"/>
    <w:rsid w:val="004644C2"/>
    <w:rsid w:val="00467F9C"/>
    <w:rsid w:val="00487DEF"/>
    <w:rsid w:val="004D4839"/>
    <w:rsid w:val="004F21DE"/>
    <w:rsid w:val="004F4A4F"/>
    <w:rsid w:val="005007A1"/>
    <w:rsid w:val="00515F4E"/>
    <w:rsid w:val="00534681"/>
    <w:rsid w:val="00546C64"/>
    <w:rsid w:val="00563442"/>
    <w:rsid w:val="005648B8"/>
    <w:rsid w:val="00565B42"/>
    <w:rsid w:val="005B3557"/>
    <w:rsid w:val="005B4ADC"/>
    <w:rsid w:val="005B6BA6"/>
    <w:rsid w:val="005C4CE6"/>
    <w:rsid w:val="005C5E12"/>
    <w:rsid w:val="005E0ED3"/>
    <w:rsid w:val="006122BA"/>
    <w:rsid w:val="00617EDC"/>
    <w:rsid w:val="00630A44"/>
    <w:rsid w:val="0063588C"/>
    <w:rsid w:val="00660946"/>
    <w:rsid w:val="0066475E"/>
    <w:rsid w:val="00684976"/>
    <w:rsid w:val="006A03E5"/>
    <w:rsid w:val="006A244C"/>
    <w:rsid w:val="006A5673"/>
    <w:rsid w:val="006B2290"/>
    <w:rsid w:val="006C0DD2"/>
    <w:rsid w:val="006C6891"/>
    <w:rsid w:val="006D6C11"/>
    <w:rsid w:val="00717D88"/>
    <w:rsid w:val="00786056"/>
    <w:rsid w:val="007942D3"/>
    <w:rsid w:val="007A1B84"/>
    <w:rsid w:val="007B2099"/>
    <w:rsid w:val="007B2E21"/>
    <w:rsid w:val="007B6C09"/>
    <w:rsid w:val="007B7741"/>
    <w:rsid w:val="007E09DA"/>
    <w:rsid w:val="007F5814"/>
    <w:rsid w:val="007F595F"/>
    <w:rsid w:val="007F7824"/>
    <w:rsid w:val="00803C59"/>
    <w:rsid w:val="008178B6"/>
    <w:rsid w:val="00865B74"/>
    <w:rsid w:val="00891C7D"/>
    <w:rsid w:val="008974F0"/>
    <w:rsid w:val="008A1AAA"/>
    <w:rsid w:val="008B012A"/>
    <w:rsid w:val="008B3B7E"/>
    <w:rsid w:val="008C7391"/>
    <w:rsid w:val="009045CD"/>
    <w:rsid w:val="00906E17"/>
    <w:rsid w:val="009072D2"/>
    <w:rsid w:val="00912CC1"/>
    <w:rsid w:val="00930BA1"/>
    <w:rsid w:val="0093169E"/>
    <w:rsid w:val="00931CB0"/>
    <w:rsid w:val="00937130"/>
    <w:rsid w:val="009505C9"/>
    <w:rsid w:val="00950752"/>
    <w:rsid w:val="00966424"/>
    <w:rsid w:val="009C2DE6"/>
    <w:rsid w:val="009F5A6C"/>
    <w:rsid w:val="00A1252A"/>
    <w:rsid w:val="00A373BD"/>
    <w:rsid w:val="00A80F63"/>
    <w:rsid w:val="00A824F1"/>
    <w:rsid w:val="00A83646"/>
    <w:rsid w:val="00A8640D"/>
    <w:rsid w:val="00A86772"/>
    <w:rsid w:val="00A970C0"/>
    <w:rsid w:val="00AA6F92"/>
    <w:rsid w:val="00AB6934"/>
    <w:rsid w:val="00AD7FFC"/>
    <w:rsid w:val="00AF42DE"/>
    <w:rsid w:val="00B26ACD"/>
    <w:rsid w:val="00B3369F"/>
    <w:rsid w:val="00B4773B"/>
    <w:rsid w:val="00B80E96"/>
    <w:rsid w:val="00B85D79"/>
    <w:rsid w:val="00B94E6C"/>
    <w:rsid w:val="00BB4606"/>
    <w:rsid w:val="00BC03C9"/>
    <w:rsid w:val="00BD6205"/>
    <w:rsid w:val="00BF11F9"/>
    <w:rsid w:val="00C141DB"/>
    <w:rsid w:val="00C23D2F"/>
    <w:rsid w:val="00C24C8F"/>
    <w:rsid w:val="00C443BD"/>
    <w:rsid w:val="00C451C5"/>
    <w:rsid w:val="00C9161D"/>
    <w:rsid w:val="00CA0C1D"/>
    <w:rsid w:val="00CA383E"/>
    <w:rsid w:val="00CD65FC"/>
    <w:rsid w:val="00CF1848"/>
    <w:rsid w:val="00D105AF"/>
    <w:rsid w:val="00D12044"/>
    <w:rsid w:val="00D27D33"/>
    <w:rsid w:val="00D30264"/>
    <w:rsid w:val="00D33EFC"/>
    <w:rsid w:val="00D40B1E"/>
    <w:rsid w:val="00D40DBC"/>
    <w:rsid w:val="00D67904"/>
    <w:rsid w:val="00D76A18"/>
    <w:rsid w:val="00D80849"/>
    <w:rsid w:val="00D809AD"/>
    <w:rsid w:val="00D82E8F"/>
    <w:rsid w:val="00D91803"/>
    <w:rsid w:val="00DC1413"/>
    <w:rsid w:val="00DC3395"/>
    <w:rsid w:val="00DD0D84"/>
    <w:rsid w:val="00DD118C"/>
    <w:rsid w:val="00DE6EA8"/>
    <w:rsid w:val="00E00A09"/>
    <w:rsid w:val="00E02251"/>
    <w:rsid w:val="00E21F89"/>
    <w:rsid w:val="00E50A63"/>
    <w:rsid w:val="00E553FD"/>
    <w:rsid w:val="00E6531A"/>
    <w:rsid w:val="00E66235"/>
    <w:rsid w:val="00E6648C"/>
    <w:rsid w:val="00E76FD2"/>
    <w:rsid w:val="00E83C24"/>
    <w:rsid w:val="00E9090B"/>
    <w:rsid w:val="00E9318D"/>
    <w:rsid w:val="00EA4D25"/>
    <w:rsid w:val="00EC1F46"/>
    <w:rsid w:val="00ED16EB"/>
    <w:rsid w:val="00ED3A95"/>
    <w:rsid w:val="00EE7885"/>
    <w:rsid w:val="00F01116"/>
    <w:rsid w:val="00F46730"/>
    <w:rsid w:val="00F53193"/>
    <w:rsid w:val="00F5357E"/>
    <w:rsid w:val="00F6586C"/>
    <w:rsid w:val="00F9391B"/>
    <w:rsid w:val="00F94774"/>
    <w:rsid w:val="00FA0E9A"/>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semiHidden/>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5F4E"/>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010C93"/>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A8364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8364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A0CB49B72C14941B5892E9C2F6C8CF8"/>
        <w:category>
          <w:name w:val="General"/>
          <w:gallery w:val="placeholder"/>
        </w:category>
        <w:types>
          <w:type w:val="bbPlcHdr"/>
        </w:types>
        <w:behaviors>
          <w:behavior w:val="content"/>
        </w:behaviors>
        <w:guid w:val="{BA1F5BAD-801B-4AC2-ACA6-E4C93DD8A181}"/>
      </w:docPartPr>
      <w:docPartBody>
        <w:p w:rsidR="003C37BD" w:rsidRDefault="00862E04" w:rsidP="00862E04">
          <w:pPr>
            <w:pStyle w:val="EA0CB49B72C14941B5892E9C2F6C8CF8"/>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789F"/>
    <w:rsid w:val="00271EBF"/>
    <w:rsid w:val="00282400"/>
    <w:rsid w:val="003A32A9"/>
    <w:rsid w:val="003C37BD"/>
    <w:rsid w:val="0046422C"/>
    <w:rsid w:val="004760CF"/>
    <w:rsid w:val="004E092F"/>
    <w:rsid w:val="00500A2B"/>
    <w:rsid w:val="00502815"/>
    <w:rsid w:val="00516BF5"/>
    <w:rsid w:val="0058288D"/>
    <w:rsid w:val="005B79DC"/>
    <w:rsid w:val="0062538C"/>
    <w:rsid w:val="00665C6B"/>
    <w:rsid w:val="006801B3"/>
    <w:rsid w:val="007B1BD6"/>
    <w:rsid w:val="00810A55"/>
    <w:rsid w:val="00862E04"/>
    <w:rsid w:val="008C6619"/>
    <w:rsid w:val="008D3270"/>
    <w:rsid w:val="008D420E"/>
    <w:rsid w:val="008E17C6"/>
    <w:rsid w:val="008E3E5A"/>
    <w:rsid w:val="00913096"/>
    <w:rsid w:val="0098642F"/>
    <w:rsid w:val="00A36CAC"/>
    <w:rsid w:val="00AA29B4"/>
    <w:rsid w:val="00AD047A"/>
    <w:rsid w:val="00B27D2C"/>
    <w:rsid w:val="00B40F1B"/>
    <w:rsid w:val="00B525D8"/>
    <w:rsid w:val="00C8104B"/>
    <w:rsid w:val="00D31D12"/>
    <w:rsid w:val="00E15C97"/>
    <w:rsid w:val="00EA4E96"/>
    <w:rsid w:val="00EF0077"/>
    <w:rsid w:val="00F74E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E04"/>
    <w:rPr>
      <w:color w:val="808080"/>
    </w:rPr>
  </w:style>
  <w:style w:type="paragraph" w:customStyle="1" w:styleId="EA0CB49B72C14941B5892E9C2F6C8CF8">
    <w:name w:val="EA0CB49B72C14941B5892E9C2F6C8CF8"/>
    <w:rsid w:val="00862E04"/>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ACAD3537-9B56-4A2E-9CC3-115274524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3462</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CP-10/5.	Operation and activities of the Biosafety Clearing-House (Article 20)</vt:lpstr>
    </vt:vector>
  </TitlesOfParts>
  <Company>SCBD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CP-10/5.	Operation and activities of the Biosafety Clearing-House (Article 20)</dc:title>
  <dc:subject>CBD/CP/MOP/DEC/10/5</dc:subject>
  <dc:creator>SCBD</dc:creator>
  <cp:keywords>Decision adopted by the Parties to the Cartagena Protocol on Biosafety</cp:keywords>
  <cp:lastModifiedBy>Veronique Lefebvre</cp:lastModifiedBy>
  <cp:revision>4</cp:revision>
  <cp:lastPrinted>2023-02-08T22:29:00Z</cp:lastPrinted>
  <dcterms:created xsi:type="dcterms:W3CDTF">2023-03-16T17:22:00Z</dcterms:created>
  <dcterms:modified xsi:type="dcterms:W3CDTF">2023-03-16T17:23:00Z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8079cd569a853bc1af3682148e1847c1335bb3626862ece895cfad6ea7aa6e4d</vt:lpwstr>
  </property>
</Properties>
</file>