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141"/>
        <w:gridCol w:w="4864"/>
      </w:tblGrid>
      <w:tr w:rsidR="004743CB" w:rsidRPr="00704084" w14:paraId="1735809E" w14:textId="77777777" w:rsidTr="00274B14">
        <w:trPr>
          <w:trHeight w:val="844"/>
        </w:trPr>
        <w:tc>
          <w:tcPr>
            <w:tcW w:w="236" w:type="dxa"/>
            <w:tcBorders>
              <w:bottom w:val="single" w:sz="12" w:space="0" w:color="auto"/>
            </w:tcBorders>
          </w:tcPr>
          <w:p w14:paraId="2B0F937B" w14:textId="77777777" w:rsidR="004743CB" w:rsidRPr="00704084" w:rsidRDefault="004743CB" w:rsidP="00274B14">
            <w:pPr>
              <w:suppressLineNumbers/>
              <w:suppressAutoHyphens/>
              <w:rPr>
                <w:snapToGrid w:val="0"/>
                <w:kern w:val="22"/>
                <w:lang w:val="fr-FR"/>
              </w:rPr>
            </w:pPr>
            <w:r w:rsidRPr="00704084">
              <w:rPr>
                <w:noProof/>
                <w:snapToGrid w:val="0"/>
                <w:kern w:val="22"/>
                <w:lang w:val="fr-FR" w:eastAsia="fr-FR"/>
              </w:rPr>
              <w:drawing>
                <wp:anchor distT="0" distB="0" distL="114300" distR="114300" simplePos="0" relativeHeight="251659264" behindDoc="0" locked="0" layoutInCell="1" allowOverlap="1" wp14:anchorId="4E7EAA42" wp14:editId="6C5678EB">
                  <wp:simplePos x="0" y="0"/>
                  <wp:positionH relativeFrom="column">
                    <wp:posOffset>365</wp:posOffset>
                  </wp:positionH>
                  <wp:positionV relativeFrom="page">
                    <wp:posOffset>-122</wp:posOffset>
                  </wp:positionV>
                  <wp:extent cx="482400" cy="406800"/>
                  <wp:effectExtent l="0" t="0" r="0" b="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4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41" w:type="dxa"/>
            <w:tcBorders>
              <w:bottom w:val="single" w:sz="12" w:space="0" w:color="auto"/>
            </w:tcBorders>
            <w:shd w:val="clear" w:color="auto" w:fill="auto"/>
            <w:tcFitText/>
          </w:tcPr>
          <w:p w14:paraId="0F99AE7A" w14:textId="77777777" w:rsidR="004743CB" w:rsidRPr="00704084" w:rsidRDefault="004743CB" w:rsidP="00274B14">
            <w:pPr>
              <w:suppressLineNumbers/>
              <w:suppressAutoHyphens/>
              <w:rPr>
                <w:snapToGrid w:val="0"/>
                <w:kern w:val="22"/>
                <w:lang w:val="fr-FR"/>
              </w:rPr>
            </w:pPr>
          </w:p>
        </w:tc>
        <w:tc>
          <w:tcPr>
            <w:tcW w:w="4864" w:type="dxa"/>
            <w:tcBorders>
              <w:bottom w:val="single" w:sz="12" w:space="0" w:color="auto"/>
            </w:tcBorders>
          </w:tcPr>
          <w:p w14:paraId="15C73B2A" w14:textId="60E7FF1E" w:rsidR="004743CB" w:rsidRPr="00704084" w:rsidRDefault="004743CB" w:rsidP="00274B14">
            <w:pPr>
              <w:suppressLineNumbers/>
              <w:suppressAutoHyphens/>
              <w:jc w:val="right"/>
              <w:rPr>
                <w:rFonts w:ascii="Arial" w:hAnsi="Arial" w:cs="Arial"/>
                <w:b/>
                <w:snapToGrid w:val="0"/>
                <w:kern w:val="22"/>
                <w:sz w:val="32"/>
                <w:szCs w:val="32"/>
                <w:lang w:val="fr-FR"/>
              </w:rPr>
            </w:pPr>
            <w:r w:rsidRPr="00704084">
              <w:rPr>
                <w:rFonts w:ascii="Arial" w:hAnsi="Arial" w:cs="Arial"/>
                <w:b/>
                <w:snapToGrid w:val="0"/>
                <w:kern w:val="22"/>
                <w:sz w:val="32"/>
                <w:szCs w:val="32"/>
                <w:lang w:val="fr-FR"/>
              </w:rPr>
              <w:t>CB</w:t>
            </w:r>
            <w:r w:rsidR="00FE36E2">
              <w:rPr>
                <w:rFonts w:ascii="Arial" w:hAnsi="Arial" w:cs="Arial"/>
                <w:b/>
                <w:snapToGrid w:val="0"/>
                <w:kern w:val="22"/>
                <w:sz w:val="32"/>
                <w:szCs w:val="32"/>
                <w:lang w:val="fr-FR"/>
              </w:rPr>
              <w:t>D</w:t>
            </w:r>
          </w:p>
        </w:tc>
      </w:tr>
      <w:tr w:rsidR="004743CB" w:rsidRPr="00704084" w14:paraId="05F20B6C" w14:textId="77777777" w:rsidTr="00274B14">
        <w:tc>
          <w:tcPr>
            <w:tcW w:w="5377" w:type="dxa"/>
            <w:gridSpan w:val="2"/>
            <w:tcBorders>
              <w:top w:val="single" w:sz="12" w:space="0" w:color="auto"/>
              <w:bottom w:val="single" w:sz="36" w:space="0" w:color="auto"/>
            </w:tcBorders>
            <w:vAlign w:val="center"/>
          </w:tcPr>
          <w:p w14:paraId="7A93F660" w14:textId="77777777" w:rsidR="004743CB" w:rsidRPr="00704084" w:rsidRDefault="004743CB" w:rsidP="00274B14">
            <w:pPr>
              <w:suppressLineNumbers/>
              <w:suppressAutoHyphens/>
              <w:rPr>
                <w:snapToGrid w:val="0"/>
                <w:kern w:val="22"/>
                <w:lang w:val="fr-FR"/>
              </w:rPr>
            </w:pPr>
            <w:r w:rsidRPr="00704084">
              <w:rPr>
                <w:noProof/>
                <w:lang w:val="fr-FR" w:eastAsia="fr-FR"/>
              </w:rPr>
              <w:drawing>
                <wp:inline distT="0" distB="0" distL="0" distR="0" wp14:anchorId="4C69D27F" wp14:editId="12BD272F">
                  <wp:extent cx="2857500" cy="1076325"/>
                  <wp:effectExtent l="0" t="0" r="0" b="9525"/>
                  <wp:docPr id="9"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BD_logo_fr-CMYK-black [Conver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864" w:type="dxa"/>
            <w:tcBorders>
              <w:top w:val="single" w:sz="12" w:space="0" w:color="auto"/>
              <w:bottom w:val="single" w:sz="36" w:space="0" w:color="auto"/>
            </w:tcBorders>
          </w:tcPr>
          <w:p w14:paraId="195FBDEF" w14:textId="77777777" w:rsidR="004743CB" w:rsidRPr="00704084" w:rsidRDefault="004743CB" w:rsidP="00274B14">
            <w:pPr>
              <w:suppressLineNumbers/>
              <w:suppressAutoHyphens/>
              <w:ind w:left="1644"/>
              <w:rPr>
                <w:snapToGrid w:val="0"/>
                <w:kern w:val="22"/>
                <w:szCs w:val="22"/>
                <w:lang w:val="fr-FR"/>
              </w:rPr>
            </w:pPr>
            <w:r w:rsidRPr="00704084">
              <w:rPr>
                <w:snapToGrid w:val="0"/>
                <w:kern w:val="22"/>
                <w:szCs w:val="22"/>
                <w:lang w:val="fr-FR"/>
              </w:rPr>
              <w:t>Distr.</w:t>
            </w:r>
          </w:p>
          <w:p w14:paraId="09063373" w14:textId="7B65BC2A" w:rsidR="004743CB" w:rsidRPr="00704084" w:rsidRDefault="00274B14" w:rsidP="00274B14">
            <w:pPr>
              <w:suppressLineNumbers/>
              <w:suppressAutoHyphens/>
              <w:ind w:left="1644"/>
              <w:jc w:val="left"/>
              <w:rPr>
                <w:snapToGrid w:val="0"/>
                <w:kern w:val="22"/>
                <w:szCs w:val="22"/>
                <w:lang w:val="fr-FR"/>
              </w:rPr>
            </w:pPr>
            <w:sdt>
              <w:sdtPr>
                <w:rPr>
                  <w:snapToGrid w:val="0"/>
                  <w:kern w:val="22"/>
                  <w:szCs w:val="22"/>
                  <w:lang w:val="fr-FR"/>
                </w:rPr>
                <w:alias w:val="Status"/>
                <w:tag w:val=""/>
                <w:id w:val="307985777"/>
                <w:placeholder>
                  <w:docPart w:val="A9F144F1A510484892B473BD8F625F97"/>
                </w:placeholder>
                <w:dataBinding w:prefixMappings="xmlns:ns0='http://purl.org/dc/elements/1.1/' xmlns:ns1='http://schemas.openxmlformats.org/package/2006/metadata/core-properties' " w:xpath="/ns1:coreProperties[1]/ns1:contentStatus[1]" w:storeItemID="{6C3C8BC8-F283-45AE-878A-BAB7291924A1}"/>
                <w:text/>
              </w:sdtPr>
              <w:sdtContent>
                <w:r w:rsidR="001D7B70">
                  <w:rPr>
                    <w:snapToGrid w:val="0"/>
                    <w:kern w:val="22"/>
                    <w:szCs w:val="22"/>
                    <w:lang w:val="fr-FR"/>
                  </w:rPr>
                  <w:t>G</w:t>
                </w:r>
                <w:r w:rsidR="001D7B70" w:rsidRPr="00704084">
                  <w:rPr>
                    <w:snapToGrid w:val="0"/>
                    <w:kern w:val="22"/>
                    <w:szCs w:val="22"/>
                    <w:lang w:val="fr-FR"/>
                  </w:rPr>
                  <w:t>É</w:t>
                </w:r>
                <w:r w:rsidR="001D7B70">
                  <w:rPr>
                    <w:snapToGrid w:val="0"/>
                    <w:kern w:val="22"/>
                    <w:szCs w:val="22"/>
                    <w:lang w:val="fr-FR"/>
                  </w:rPr>
                  <w:t>N</w:t>
                </w:r>
                <w:r w:rsidR="001D7B70" w:rsidRPr="001F27AD">
                  <w:rPr>
                    <w:snapToGrid w:val="0"/>
                    <w:kern w:val="22"/>
                    <w:szCs w:val="22"/>
                    <w:lang w:val="fr-FR"/>
                  </w:rPr>
                  <w:t>É</w:t>
                </w:r>
                <w:r w:rsidR="001D7B70">
                  <w:rPr>
                    <w:snapToGrid w:val="0"/>
                    <w:kern w:val="22"/>
                    <w:szCs w:val="22"/>
                    <w:lang w:val="fr-FR"/>
                  </w:rPr>
                  <w:t>RALE</w:t>
                </w:r>
              </w:sdtContent>
            </w:sdt>
          </w:p>
          <w:p w14:paraId="4DF06A0A" w14:textId="77777777" w:rsidR="004743CB" w:rsidRPr="00704084" w:rsidRDefault="004743CB" w:rsidP="00274B14">
            <w:pPr>
              <w:suppressLineNumbers/>
              <w:suppressAutoHyphens/>
              <w:ind w:left="1644"/>
              <w:rPr>
                <w:snapToGrid w:val="0"/>
                <w:kern w:val="22"/>
                <w:szCs w:val="22"/>
                <w:lang w:val="fr-FR"/>
              </w:rPr>
            </w:pPr>
          </w:p>
          <w:p w14:paraId="1B20E25E" w14:textId="1210AE39" w:rsidR="004743CB" w:rsidRPr="00704084" w:rsidRDefault="00274B14" w:rsidP="00274B14">
            <w:pPr>
              <w:suppressLineNumbers/>
              <w:suppressAutoHyphens/>
              <w:ind w:left="1644"/>
              <w:rPr>
                <w:snapToGrid w:val="0"/>
                <w:kern w:val="22"/>
                <w:szCs w:val="22"/>
                <w:lang w:val="fr-FR"/>
              </w:rPr>
            </w:pPr>
            <w:sdt>
              <w:sdtPr>
                <w:rPr>
                  <w:lang w:val="fr-FR"/>
                </w:rPr>
                <w:alias w:val="Subject"/>
                <w:tag w:val=""/>
                <w:id w:val="2137136483"/>
                <w:placeholder>
                  <w:docPart w:val="AEEC0901934E4529A266ECEE908FE4BB"/>
                </w:placeholder>
                <w:dataBinding w:prefixMappings="xmlns:ns0='http://purl.org/dc/elements/1.1/' xmlns:ns1='http://schemas.openxmlformats.org/package/2006/metadata/core-properties' " w:xpath="/ns1:coreProperties[1]/ns0:subject[1]" w:storeItemID="{6C3C8BC8-F283-45AE-878A-BAB7291924A1}"/>
                <w:text/>
              </w:sdtPr>
              <w:sdtContent>
                <w:r w:rsidR="004743CB" w:rsidRPr="00704084">
                  <w:rPr>
                    <w:lang w:val="fr-FR"/>
                  </w:rPr>
                  <w:t>CBD/CP/MOP/</w:t>
                </w:r>
                <w:r w:rsidR="001D7B70">
                  <w:rPr>
                    <w:lang w:val="fr-FR"/>
                  </w:rPr>
                  <w:t>DEC/10/</w:t>
                </w:r>
                <w:r w:rsidR="004743CB" w:rsidRPr="00704084">
                  <w:rPr>
                    <w:lang w:val="fr-FR"/>
                  </w:rPr>
                  <w:t>4</w:t>
                </w:r>
              </w:sdtContent>
            </w:sdt>
          </w:p>
          <w:p w14:paraId="5798F6BB" w14:textId="7740FB58" w:rsidR="004743CB" w:rsidRPr="00704084" w:rsidRDefault="001D7B70" w:rsidP="00274B14">
            <w:pPr>
              <w:suppressLineNumbers/>
              <w:suppressAutoHyphens/>
              <w:ind w:left="1644"/>
              <w:jc w:val="left"/>
              <w:rPr>
                <w:snapToGrid w:val="0"/>
                <w:kern w:val="22"/>
                <w:szCs w:val="22"/>
                <w:lang w:val="fr-FR"/>
              </w:rPr>
            </w:pPr>
            <w:r>
              <w:rPr>
                <w:snapToGrid w:val="0"/>
                <w:kern w:val="22"/>
                <w:szCs w:val="22"/>
                <w:lang w:val="fr-FR"/>
              </w:rPr>
              <w:t>19</w:t>
            </w:r>
            <w:r w:rsidR="004743CB" w:rsidRPr="00704084">
              <w:rPr>
                <w:snapToGrid w:val="0"/>
                <w:kern w:val="22"/>
                <w:szCs w:val="22"/>
                <w:lang w:val="fr-FR"/>
              </w:rPr>
              <w:t xml:space="preserve"> décembre 2022</w:t>
            </w:r>
          </w:p>
          <w:p w14:paraId="223E41D2" w14:textId="77777777" w:rsidR="004743CB" w:rsidRPr="00704084" w:rsidRDefault="004743CB" w:rsidP="00274B14">
            <w:pPr>
              <w:suppressLineNumbers/>
              <w:suppressAutoHyphens/>
              <w:ind w:left="1644"/>
              <w:rPr>
                <w:snapToGrid w:val="0"/>
                <w:kern w:val="22"/>
                <w:szCs w:val="22"/>
                <w:lang w:val="fr-FR"/>
              </w:rPr>
            </w:pPr>
          </w:p>
          <w:p w14:paraId="496FDF9E" w14:textId="77777777" w:rsidR="004743CB" w:rsidRPr="00704084" w:rsidRDefault="004743CB" w:rsidP="00274B14">
            <w:pPr>
              <w:suppressLineNumbers/>
              <w:suppressAutoHyphens/>
              <w:ind w:left="1644"/>
              <w:rPr>
                <w:snapToGrid w:val="0"/>
                <w:kern w:val="22"/>
                <w:szCs w:val="22"/>
                <w:lang w:val="fr-FR"/>
              </w:rPr>
            </w:pPr>
            <w:r w:rsidRPr="00704084">
              <w:rPr>
                <w:snapToGrid w:val="0"/>
                <w:kern w:val="22"/>
                <w:szCs w:val="22"/>
                <w:lang w:val="fr-FR"/>
              </w:rPr>
              <w:t xml:space="preserve">FRANÇAIS </w:t>
            </w:r>
            <w:r w:rsidRPr="00704084">
              <w:rPr>
                <w:snapToGrid w:val="0"/>
                <w:kern w:val="22"/>
                <w:szCs w:val="22"/>
                <w:lang w:val="fr-FR"/>
              </w:rPr>
              <w:br/>
              <w:t>ORIGINAL : ANGLAIS</w:t>
            </w:r>
          </w:p>
          <w:p w14:paraId="63E2916E" w14:textId="77777777" w:rsidR="004743CB" w:rsidRPr="00704084" w:rsidRDefault="004743CB" w:rsidP="00274B14">
            <w:pPr>
              <w:suppressLineNumbers/>
              <w:suppressAutoHyphens/>
              <w:rPr>
                <w:snapToGrid w:val="0"/>
                <w:kern w:val="22"/>
                <w:szCs w:val="22"/>
                <w:lang w:val="fr-FR"/>
              </w:rPr>
            </w:pPr>
          </w:p>
        </w:tc>
      </w:tr>
    </w:tbl>
    <w:p w14:paraId="131FA824" w14:textId="6AF22DBF" w:rsidR="00903805" w:rsidRPr="00704084" w:rsidRDefault="004743CB" w:rsidP="001D7B70">
      <w:pPr>
        <w:pStyle w:val="Cornernotation"/>
        <w:kinsoku w:val="0"/>
        <w:overflowPunct w:val="0"/>
        <w:autoSpaceDE w:val="0"/>
        <w:autoSpaceDN w:val="0"/>
        <w:spacing w:before="60"/>
        <w:ind w:left="142" w:right="4115" w:hanging="142"/>
        <w:rPr>
          <w:snapToGrid w:val="0"/>
          <w:kern w:val="22"/>
          <w:lang w:val="fr-FR"/>
        </w:rPr>
      </w:pPr>
      <w:r w:rsidRPr="00704084">
        <w:rPr>
          <w:noProof/>
          <w:snapToGrid w:val="0"/>
          <w:lang w:val="fr-FR" w:eastAsia="fr-FR"/>
        </w:rPr>
        <w:drawing>
          <wp:anchor distT="0" distB="0" distL="114300" distR="114300" simplePos="0" relativeHeight="251660288" behindDoc="0" locked="0" layoutInCell="1" allowOverlap="1" wp14:anchorId="7D94EFC4" wp14:editId="55BF2D29">
            <wp:simplePos x="0" y="0"/>
            <wp:positionH relativeFrom="column">
              <wp:posOffset>447675</wp:posOffset>
            </wp:positionH>
            <wp:positionV relativeFrom="paragraph">
              <wp:posOffset>-2030095</wp:posOffset>
            </wp:positionV>
            <wp:extent cx="590400" cy="342000"/>
            <wp:effectExtent l="0" t="0" r="635" b="12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00" cy="342000"/>
                    </a:xfrm>
                    <a:prstGeom prst="rect">
                      <a:avLst/>
                    </a:prstGeom>
                    <a:noFill/>
                  </pic:spPr>
                </pic:pic>
              </a:graphicData>
            </a:graphic>
            <wp14:sizeRelH relativeFrom="margin">
              <wp14:pctWidth>0</wp14:pctWidth>
            </wp14:sizeRelH>
            <wp14:sizeRelV relativeFrom="margin">
              <wp14:pctHeight>0</wp14:pctHeight>
            </wp14:sizeRelV>
          </wp:anchor>
        </w:drawing>
      </w:r>
      <w:r w:rsidRPr="00704084">
        <w:rPr>
          <w:snapToGrid w:val="0"/>
          <w:kern w:val="22"/>
          <w:lang w:val="fr-FR"/>
        </w:rPr>
        <w:t xml:space="preserve">CONFÉRENCE DES PARTIES À </w:t>
      </w:r>
      <w:r w:rsidR="00412865" w:rsidRPr="00704084">
        <w:rPr>
          <w:snapToGrid w:val="0"/>
          <w:kern w:val="22"/>
          <w:lang w:val="fr-FR"/>
        </w:rPr>
        <w:t xml:space="preserve">LA </w:t>
      </w:r>
      <w:r w:rsidRPr="00704084">
        <w:rPr>
          <w:snapToGrid w:val="0"/>
          <w:kern w:val="22"/>
          <w:lang w:val="fr-FR"/>
        </w:rPr>
        <w:t xml:space="preserve">CONVENTION SUR LA </w:t>
      </w:r>
      <w:r w:rsidR="00412865" w:rsidRPr="00704084">
        <w:rPr>
          <w:snapToGrid w:val="0"/>
          <w:kern w:val="22"/>
          <w:lang w:val="fr-FR"/>
        </w:rPr>
        <w:t>DIVERSITÉ BIOLOGIQUE SIÉGEANT EN TANT QUE RÉUNION DES PARTIES AU PROTOCOLE DE CARTAGENA SUR LA PRÉVENTION DES RISQUES BIOTECHNOLOGIQUES</w:t>
      </w:r>
    </w:p>
    <w:p w14:paraId="131FA825" w14:textId="634990A7" w:rsidR="00903805" w:rsidRPr="00704084" w:rsidRDefault="00412865" w:rsidP="00903805">
      <w:pPr>
        <w:pStyle w:val="Cornernotation"/>
        <w:ind w:right="4115"/>
        <w:rPr>
          <w:lang w:val="fr-FR"/>
        </w:rPr>
      </w:pPr>
      <w:r w:rsidRPr="00704084">
        <w:rPr>
          <w:snapToGrid w:val="0"/>
          <w:kern w:val="22"/>
          <w:lang w:val="fr-FR"/>
        </w:rPr>
        <w:t>Dixième réunion</w:t>
      </w:r>
      <w:r w:rsidR="0081052E" w:rsidRPr="00704084">
        <w:rPr>
          <w:snapToGrid w:val="0"/>
          <w:kern w:val="22"/>
          <w:lang w:val="fr-FR"/>
        </w:rPr>
        <w:t>, deuxième partie</w:t>
      </w:r>
    </w:p>
    <w:p w14:paraId="131FA826" w14:textId="77777777" w:rsidR="00903805" w:rsidRPr="00704084" w:rsidRDefault="00412865" w:rsidP="00903805">
      <w:pPr>
        <w:pStyle w:val="Cornernotation"/>
        <w:kinsoku w:val="0"/>
        <w:overflowPunct w:val="0"/>
        <w:autoSpaceDE w:val="0"/>
        <w:autoSpaceDN w:val="0"/>
        <w:ind w:left="227" w:right="4075" w:hanging="227"/>
        <w:rPr>
          <w:snapToGrid w:val="0"/>
          <w:kern w:val="22"/>
          <w:szCs w:val="22"/>
          <w:lang w:val="fr-FR" w:eastAsia="nb-NO"/>
        </w:rPr>
      </w:pPr>
      <w:r w:rsidRPr="00704084">
        <w:rPr>
          <w:snapToGrid w:val="0"/>
          <w:kern w:val="22"/>
          <w:szCs w:val="22"/>
          <w:lang w:val="fr-FR" w:eastAsia="nb-NO"/>
        </w:rPr>
        <w:t>Montréal (Canada), 7</w:t>
      </w:r>
      <w:r w:rsidR="004645B4" w:rsidRPr="00704084">
        <w:rPr>
          <w:snapToGrid w:val="0"/>
          <w:kern w:val="22"/>
          <w:szCs w:val="22"/>
          <w:lang w:val="fr-FR" w:eastAsia="nb-NO"/>
        </w:rPr>
        <w:noBreakHyphen/>
      </w:r>
      <w:r w:rsidRPr="00704084">
        <w:rPr>
          <w:snapToGrid w:val="0"/>
          <w:kern w:val="22"/>
          <w:szCs w:val="22"/>
          <w:lang w:val="fr-FR" w:eastAsia="nb-NO"/>
        </w:rPr>
        <w:t>19 décembre 2022</w:t>
      </w:r>
    </w:p>
    <w:p w14:paraId="71ABB61A" w14:textId="487206C4" w:rsidR="001D7B70" w:rsidRDefault="00412865" w:rsidP="006B59AF">
      <w:pPr>
        <w:pStyle w:val="Cornernotation"/>
        <w:ind w:right="4784"/>
        <w:rPr>
          <w:snapToGrid w:val="0"/>
          <w:kern w:val="22"/>
          <w:szCs w:val="22"/>
          <w:lang w:val="fr-FR"/>
        </w:rPr>
      </w:pPr>
      <w:r w:rsidRPr="00704084">
        <w:rPr>
          <w:snapToGrid w:val="0"/>
          <w:kern w:val="22"/>
          <w:szCs w:val="22"/>
          <w:lang w:val="fr-FR"/>
        </w:rPr>
        <w:t>Point 7B de l</w:t>
      </w:r>
      <w:r w:rsidR="004645B4" w:rsidRPr="00704084">
        <w:rPr>
          <w:snapToGrid w:val="0"/>
          <w:kern w:val="22"/>
          <w:szCs w:val="22"/>
          <w:lang w:val="fr-FR"/>
        </w:rPr>
        <w:t>’</w:t>
      </w:r>
      <w:r w:rsidRPr="00704084">
        <w:rPr>
          <w:snapToGrid w:val="0"/>
          <w:kern w:val="22"/>
          <w:szCs w:val="22"/>
          <w:lang w:val="fr-FR"/>
        </w:rPr>
        <w:t>ordre du jour</w:t>
      </w:r>
    </w:p>
    <w:p w14:paraId="63760704" w14:textId="229BA768" w:rsidR="001D7B70" w:rsidRPr="006B59AF" w:rsidRDefault="006B59AF" w:rsidP="006B59AF">
      <w:pPr>
        <w:spacing w:before="240" w:after="240"/>
        <w:ind w:right="-288"/>
        <w:jc w:val="center"/>
        <w:rPr>
          <w:rFonts w:ascii="Times New Roman Bold" w:hAnsi="Times New Roman Bold"/>
          <w:b/>
          <w:caps/>
          <w:lang w:val="fr-FR"/>
        </w:rPr>
      </w:pPr>
      <w:r>
        <w:rPr>
          <w:rFonts w:ascii="Times New Roman Bold" w:hAnsi="Times New Roman Bold"/>
          <w:b/>
          <w:caps/>
          <w:lang w:val="fr-FR"/>
        </w:rPr>
        <w:t>D</w:t>
      </w:r>
      <w:r>
        <w:rPr>
          <w:rFonts w:ascii="Times New Roman Bold" w:hAnsi="Times New Roman Bold" w:cs="Times New Roman Bold"/>
          <w:b/>
          <w:caps/>
          <w:lang w:val="fr-FR"/>
        </w:rPr>
        <w:t>É</w:t>
      </w:r>
      <w:r>
        <w:rPr>
          <w:rFonts w:ascii="Times New Roman Bold" w:hAnsi="Times New Roman Bold"/>
          <w:b/>
          <w:caps/>
          <w:lang w:val="fr-FR"/>
        </w:rPr>
        <w:t>cision adopt</w:t>
      </w:r>
      <w:r>
        <w:rPr>
          <w:rFonts w:ascii="Times New Roman Bold" w:hAnsi="Times New Roman Bold" w:cs="Times New Roman Bold"/>
          <w:b/>
          <w:caps/>
          <w:lang w:val="fr-FR"/>
        </w:rPr>
        <w:t>É</w:t>
      </w:r>
      <w:r>
        <w:rPr>
          <w:rFonts w:ascii="Times New Roman Bold" w:hAnsi="Times New Roman Bold"/>
          <w:b/>
          <w:caps/>
          <w:lang w:val="fr-FR"/>
        </w:rPr>
        <w:t>e par les Parties au protocole de Cartagena sur la pr</w:t>
      </w:r>
      <w:r>
        <w:rPr>
          <w:rFonts w:ascii="Times New Roman Bold" w:hAnsi="Times New Roman Bold" w:cs="Times New Roman Bold"/>
          <w:b/>
          <w:caps/>
          <w:lang w:val="fr-FR"/>
        </w:rPr>
        <w:t>É</w:t>
      </w:r>
      <w:r>
        <w:rPr>
          <w:rFonts w:ascii="Times New Roman Bold" w:hAnsi="Times New Roman Bold"/>
          <w:b/>
          <w:caps/>
          <w:lang w:val="fr-FR"/>
        </w:rPr>
        <w:t>vention des risques biotechnologiques</w:t>
      </w:r>
    </w:p>
    <w:p w14:paraId="131FA829" w14:textId="060BA90F" w:rsidR="00C9161D" w:rsidRPr="00704084" w:rsidRDefault="00735382" w:rsidP="00735382">
      <w:pPr>
        <w:spacing w:before="240" w:after="240"/>
        <w:ind w:left="1701" w:hanging="1275"/>
        <w:jc w:val="left"/>
        <w:rPr>
          <w:b/>
          <w:caps/>
          <w:lang w:val="fr-FR"/>
        </w:rPr>
      </w:pPr>
      <w:r>
        <w:rPr>
          <w:rFonts w:asciiTheme="majorBidi" w:hAnsiTheme="majorBidi" w:cstheme="majorBidi"/>
          <w:b/>
          <w:bCs/>
          <w:lang w:val="fr-FR"/>
        </w:rPr>
        <w:t xml:space="preserve">CP-10/4. </w:t>
      </w:r>
      <w:r>
        <w:rPr>
          <w:rFonts w:asciiTheme="majorBidi" w:hAnsiTheme="majorBidi" w:cstheme="majorBidi"/>
          <w:b/>
          <w:bCs/>
          <w:lang w:val="fr-FR"/>
        </w:rPr>
        <w:tab/>
      </w:r>
      <w:r w:rsidR="00412865" w:rsidRPr="00704084">
        <w:rPr>
          <w:rFonts w:asciiTheme="majorBidi" w:hAnsiTheme="majorBidi" w:cstheme="majorBidi"/>
          <w:b/>
          <w:bCs/>
          <w:lang w:val="fr-FR"/>
        </w:rPr>
        <w:t>Plan d</w:t>
      </w:r>
      <w:r w:rsidR="004645B4" w:rsidRPr="00704084">
        <w:rPr>
          <w:rFonts w:asciiTheme="majorBidi" w:hAnsiTheme="majorBidi" w:cstheme="majorBidi"/>
          <w:b/>
          <w:bCs/>
          <w:lang w:val="fr-FR"/>
        </w:rPr>
        <w:t>’</w:t>
      </w:r>
      <w:r w:rsidR="00412865" w:rsidRPr="00704084">
        <w:rPr>
          <w:rFonts w:asciiTheme="majorBidi" w:hAnsiTheme="majorBidi" w:cstheme="majorBidi"/>
          <w:b/>
          <w:bCs/>
          <w:lang w:val="fr-FR"/>
        </w:rPr>
        <w:t>action pour le renforcement des capacités du Protocole de Cartagena sur la prévention des risques biotechnologiques et du Protocole additionnel de Nagoya</w:t>
      </w:r>
      <w:r w:rsidR="004645B4" w:rsidRPr="00704084">
        <w:rPr>
          <w:rFonts w:asciiTheme="majorBidi" w:hAnsiTheme="majorBidi" w:cstheme="majorBidi"/>
          <w:b/>
          <w:bCs/>
          <w:lang w:val="fr-FR"/>
        </w:rPr>
        <w:noBreakHyphen/>
      </w:r>
      <w:r w:rsidR="006B59AF">
        <w:rPr>
          <w:rFonts w:asciiTheme="majorBidi" w:hAnsiTheme="majorBidi" w:cstheme="majorBidi"/>
          <w:b/>
          <w:bCs/>
          <w:lang w:val="fr-FR"/>
        </w:rPr>
        <w:t xml:space="preserve">Kuala Lumpur sur la </w:t>
      </w:r>
      <w:r w:rsidR="00412865" w:rsidRPr="00704084">
        <w:rPr>
          <w:rFonts w:asciiTheme="majorBidi" w:hAnsiTheme="majorBidi" w:cstheme="majorBidi"/>
          <w:b/>
          <w:bCs/>
          <w:lang w:val="fr-FR"/>
        </w:rPr>
        <w:t>responsabilité et la réparation</w:t>
      </w:r>
    </w:p>
    <w:p w14:paraId="131FA82B" w14:textId="77777777" w:rsidR="00C03F8E" w:rsidRPr="00704084" w:rsidRDefault="00D36E75" w:rsidP="00576225">
      <w:pPr>
        <w:shd w:val="clear" w:color="auto" w:fill="FFFFFF" w:themeFill="background1"/>
        <w:spacing w:before="120" w:after="120"/>
        <w:ind w:firstLine="720"/>
        <w:rPr>
          <w:i/>
          <w:iCs/>
          <w:szCs w:val="22"/>
          <w:lang w:val="fr-FR"/>
        </w:rPr>
      </w:pPr>
      <w:r w:rsidRPr="00704084">
        <w:rPr>
          <w:i/>
          <w:iCs/>
          <w:kern w:val="22"/>
          <w:szCs w:val="22"/>
          <w:lang w:val="fr-FR"/>
        </w:rPr>
        <w:t>La Conférence des Parties siégeant en tant que réunion des Parties au Protocole de Cartagena sur la prévention des risques biotechnologiques</w:t>
      </w:r>
      <w:r w:rsidRPr="00704084">
        <w:rPr>
          <w:i/>
          <w:iCs/>
          <w:szCs w:val="22"/>
          <w:lang w:val="fr-FR"/>
        </w:rPr>
        <w:t>,</w:t>
      </w:r>
    </w:p>
    <w:p w14:paraId="131FA82C" w14:textId="35B2F9F4" w:rsidR="00633D52" w:rsidRDefault="00D36E75" w:rsidP="00633D52">
      <w:pPr>
        <w:spacing w:before="120" w:after="120"/>
        <w:ind w:firstLine="720"/>
        <w:rPr>
          <w:rFonts w:asciiTheme="majorBidi" w:hAnsiTheme="majorBidi" w:cstheme="majorBidi"/>
          <w:iCs/>
          <w:lang w:val="fr-FR"/>
        </w:rPr>
      </w:pPr>
      <w:r w:rsidRPr="00704084">
        <w:rPr>
          <w:rFonts w:asciiTheme="majorBidi" w:hAnsiTheme="majorBidi" w:cstheme="majorBidi"/>
          <w:i/>
          <w:iCs/>
          <w:lang w:val="fr-FR"/>
        </w:rPr>
        <w:t xml:space="preserve">Reconnaissant </w:t>
      </w:r>
      <w:r w:rsidRPr="00704084">
        <w:rPr>
          <w:rFonts w:asciiTheme="majorBidi" w:hAnsiTheme="majorBidi" w:cstheme="majorBidi"/>
          <w:iCs/>
          <w:lang w:val="fr-FR"/>
        </w:rPr>
        <w:t>l</w:t>
      </w:r>
      <w:r w:rsidR="004645B4" w:rsidRPr="00704084">
        <w:rPr>
          <w:rFonts w:asciiTheme="majorBidi" w:hAnsiTheme="majorBidi" w:cstheme="majorBidi"/>
          <w:iCs/>
          <w:lang w:val="fr-FR"/>
        </w:rPr>
        <w:t>’</w:t>
      </w:r>
      <w:r w:rsidRPr="00704084">
        <w:rPr>
          <w:rFonts w:asciiTheme="majorBidi" w:hAnsiTheme="majorBidi" w:cstheme="majorBidi"/>
          <w:iCs/>
          <w:lang w:val="fr-FR"/>
        </w:rPr>
        <w:t>utilité du cadre et plan d</w:t>
      </w:r>
      <w:r w:rsidR="004645B4" w:rsidRPr="00704084">
        <w:rPr>
          <w:rFonts w:asciiTheme="majorBidi" w:hAnsiTheme="majorBidi" w:cstheme="majorBidi"/>
          <w:iCs/>
          <w:lang w:val="fr-FR"/>
        </w:rPr>
        <w:t>’</w:t>
      </w:r>
      <w:r w:rsidRPr="00704084">
        <w:rPr>
          <w:rFonts w:asciiTheme="majorBidi" w:hAnsiTheme="majorBidi" w:cstheme="majorBidi"/>
          <w:iCs/>
          <w:lang w:val="fr-FR"/>
        </w:rPr>
        <w:t xml:space="preserve">action pour le renforcement des capacités pour </w:t>
      </w:r>
      <w:r w:rsidR="00597279">
        <w:rPr>
          <w:rFonts w:asciiTheme="majorBidi" w:hAnsiTheme="majorBidi" w:cstheme="majorBidi"/>
          <w:iCs/>
          <w:lang w:val="fr-FR"/>
        </w:rPr>
        <w:t xml:space="preserve">assurer </w:t>
      </w:r>
      <w:r w:rsidRPr="00704084">
        <w:rPr>
          <w:rFonts w:asciiTheme="majorBidi" w:hAnsiTheme="majorBidi" w:cstheme="majorBidi"/>
          <w:iCs/>
          <w:lang w:val="fr-FR"/>
        </w:rPr>
        <w:t>l</w:t>
      </w:r>
      <w:r w:rsidR="004645B4" w:rsidRPr="00704084">
        <w:rPr>
          <w:rFonts w:asciiTheme="majorBidi" w:hAnsiTheme="majorBidi" w:cstheme="majorBidi"/>
          <w:iCs/>
          <w:lang w:val="fr-FR"/>
        </w:rPr>
        <w:t>’</w:t>
      </w:r>
      <w:r w:rsidRPr="00704084">
        <w:rPr>
          <w:rFonts w:asciiTheme="majorBidi" w:hAnsiTheme="majorBidi" w:cstheme="majorBidi"/>
          <w:iCs/>
          <w:lang w:val="fr-FR"/>
        </w:rPr>
        <w:t>application effective du Protocole de Cartagena</w:t>
      </w:r>
      <w:r w:rsidR="00930A7E">
        <w:rPr>
          <w:rFonts w:asciiTheme="majorBidi" w:hAnsiTheme="majorBidi" w:cstheme="majorBidi"/>
          <w:iCs/>
          <w:lang w:val="fr-FR"/>
        </w:rPr>
        <w:t xml:space="preserve"> sur la prévention des risques biotechnologiques</w:t>
      </w:r>
      <w:r w:rsidRPr="00704084">
        <w:rPr>
          <w:rStyle w:val="FootnoteReference"/>
          <w:rFonts w:asciiTheme="majorBidi" w:hAnsiTheme="majorBidi" w:cstheme="majorBidi"/>
          <w:lang w:val="fr-FR"/>
        </w:rPr>
        <w:footnoteReference w:id="1"/>
      </w:r>
      <w:r w:rsidR="00597279">
        <w:rPr>
          <w:rFonts w:asciiTheme="majorBidi" w:hAnsiTheme="majorBidi" w:cstheme="majorBidi"/>
          <w:iCs/>
          <w:lang w:val="fr-FR"/>
        </w:rPr>
        <w:t>,</w:t>
      </w:r>
    </w:p>
    <w:p w14:paraId="50D9A405" w14:textId="40CF8315" w:rsidR="002521FB" w:rsidRPr="00704084" w:rsidRDefault="002521FB" w:rsidP="00633D52">
      <w:pPr>
        <w:spacing w:before="120" w:after="120"/>
        <w:ind w:firstLine="720"/>
        <w:rPr>
          <w:rFonts w:asciiTheme="majorBidi" w:hAnsiTheme="majorBidi" w:cstheme="majorBidi"/>
          <w:lang w:val="fr-FR"/>
        </w:rPr>
      </w:pPr>
      <w:r>
        <w:rPr>
          <w:i/>
          <w:iCs/>
          <w:kern w:val="22"/>
          <w:lang w:val="fr-FR"/>
        </w:rPr>
        <w:t>Rappelant</w:t>
      </w:r>
      <w:r>
        <w:rPr>
          <w:kern w:val="22"/>
          <w:lang w:val="fr-FR"/>
        </w:rPr>
        <w:t xml:space="preserve"> la décision CP-9/7, dans laquelle elle a décidé d’élaborer un plan de mise en œuvre pour le Protocole de Cartagena sur la prévention des risques biotechnologiques basé sur le cadre mondial de la biodiversité pour l’après-2020 et complémentaire de celui-ci,</w:t>
      </w:r>
    </w:p>
    <w:p w14:paraId="131FA82D" w14:textId="628E35D9" w:rsidR="00633D52" w:rsidRPr="00704084" w:rsidRDefault="00D36E75" w:rsidP="00633D52">
      <w:pPr>
        <w:spacing w:before="120" w:after="120"/>
        <w:ind w:firstLine="720"/>
        <w:rPr>
          <w:rFonts w:asciiTheme="majorBidi" w:hAnsiTheme="majorBidi" w:cstheme="majorBidi"/>
          <w:lang w:val="fr-FR"/>
        </w:rPr>
      </w:pPr>
      <w:r w:rsidRPr="00704084">
        <w:rPr>
          <w:i/>
          <w:iCs/>
          <w:kern w:val="22"/>
          <w:lang w:val="fr-FR"/>
        </w:rPr>
        <w:t>Rappelant</w:t>
      </w:r>
      <w:r w:rsidR="002521FB">
        <w:rPr>
          <w:i/>
          <w:iCs/>
          <w:kern w:val="22"/>
          <w:lang w:val="fr-FR"/>
        </w:rPr>
        <w:t xml:space="preserve"> également</w:t>
      </w:r>
      <w:r w:rsidRPr="00704084">
        <w:rPr>
          <w:kern w:val="22"/>
          <w:lang w:val="fr-FR"/>
        </w:rPr>
        <w:t xml:space="preserve"> la décision CP</w:t>
      </w:r>
      <w:r w:rsidR="004645B4" w:rsidRPr="00704084">
        <w:rPr>
          <w:kern w:val="22"/>
          <w:lang w:val="fr-FR"/>
        </w:rPr>
        <w:noBreakHyphen/>
      </w:r>
      <w:r w:rsidRPr="00704084">
        <w:rPr>
          <w:kern w:val="22"/>
          <w:lang w:val="fr-FR"/>
        </w:rPr>
        <w:t>9/3, dans laquelle elle a reconnu la nécessité d</w:t>
      </w:r>
      <w:r w:rsidR="004645B4" w:rsidRPr="00704084">
        <w:rPr>
          <w:kern w:val="22"/>
          <w:lang w:val="fr-FR"/>
        </w:rPr>
        <w:t>’</w:t>
      </w:r>
      <w:r w:rsidRPr="00704084">
        <w:rPr>
          <w:kern w:val="22"/>
          <w:lang w:val="fr-FR"/>
        </w:rPr>
        <w:t>élaborer un plan d</w:t>
      </w:r>
      <w:r w:rsidR="004645B4" w:rsidRPr="00704084">
        <w:rPr>
          <w:kern w:val="22"/>
          <w:lang w:val="fr-FR"/>
        </w:rPr>
        <w:t>’</w:t>
      </w:r>
      <w:r w:rsidRPr="00704084">
        <w:rPr>
          <w:kern w:val="22"/>
          <w:lang w:val="fr-FR"/>
        </w:rPr>
        <w:t>action spécifique pour le renforcement des capacités en vue de l</w:t>
      </w:r>
      <w:r w:rsidR="004645B4" w:rsidRPr="00704084">
        <w:rPr>
          <w:kern w:val="22"/>
          <w:lang w:val="fr-FR"/>
        </w:rPr>
        <w:t>’</w:t>
      </w:r>
      <w:r w:rsidRPr="00704084">
        <w:rPr>
          <w:kern w:val="22"/>
          <w:lang w:val="fr-FR"/>
        </w:rPr>
        <w:t xml:space="preserve">application du Protocole de Cartagena et de son Protocole additionnel, compatible avec le </w:t>
      </w:r>
      <w:r w:rsidR="006A6FCE">
        <w:rPr>
          <w:kern w:val="22"/>
          <w:lang w:val="fr-FR"/>
        </w:rPr>
        <w:t>Plan</w:t>
      </w:r>
      <w:r w:rsidRPr="00704084">
        <w:rPr>
          <w:kern w:val="22"/>
          <w:lang w:val="fr-FR"/>
        </w:rPr>
        <w:t xml:space="preserve"> de mise en œuvre du Protocole de Cartagena</w:t>
      </w:r>
      <w:r w:rsidR="002521FB">
        <w:rPr>
          <w:kern w:val="22"/>
          <w:lang w:val="fr-FR"/>
        </w:rPr>
        <w:t xml:space="preserve"> </w:t>
      </w:r>
      <w:r w:rsidR="002521FB">
        <w:rPr>
          <w:rFonts w:asciiTheme="majorBidi" w:hAnsiTheme="majorBidi" w:cstheme="majorBidi"/>
          <w:iCs/>
          <w:lang w:val="fr-FR"/>
        </w:rPr>
        <w:t>sur la prévention des risques biotechnologiques</w:t>
      </w:r>
      <w:r w:rsidRPr="00704084">
        <w:rPr>
          <w:kern w:val="22"/>
          <w:lang w:val="fr-FR"/>
        </w:rPr>
        <w:t xml:space="preserve"> et complémentaire du cadre stratégique à</w:t>
      </w:r>
      <w:r w:rsidR="00597279">
        <w:rPr>
          <w:kern w:val="22"/>
          <w:lang w:val="fr-FR"/>
        </w:rPr>
        <w:t xml:space="preserve"> long terme pour </w:t>
      </w:r>
      <w:r w:rsidRPr="00704084">
        <w:rPr>
          <w:kern w:val="22"/>
          <w:lang w:val="fr-FR"/>
        </w:rPr>
        <w:t>le renforcemen</w:t>
      </w:r>
      <w:r w:rsidR="002521FB">
        <w:rPr>
          <w:kern w:val="22"/>
          <w:lang w:val="fr-FR"/>
        </w:rPr>
        <w:t xml:space="preserve">t des capacités après </w:t>
      </w:r>
      <w:r w:rsidRPr="00704084">
        <w:rPr>
          <w:kern w:val="22"/>
          <w:lang w:val="fr-FR"/>
        </w:rPr>
        <w:t>2020</w:t>
      </w:r>
      <w:r w:rsidR="00CD7DDC" w:rsidRPr="00704084">
        <w:rPr>
          <w:kern w:val="22"/>
          <w:lang w:val="fr-FR"/>
        </w:rPr>
        <w:t>,</w:t>
      </w:r>
    </w:p>
    <w:p w14:paraId="131FA82F" w14:textId="3F71F048" w:rsidR="00CD7DDC" w:rsidRPr="00704084" w:rsidRDefault="00CD7DDC" w:rsidP="002521FB">
      <w:pPr>
        <w:spacing w:after="120"/>
        <w:ind w:firstLine="720"/>
        <w:rPr>
          <w:rFonts w:asciiTheme="majorBidi" w:hAnsiTheme="majorBidi" w:cstheme="majorBidi"/>
          <w:lang w:val="fr-FR"/>
        </w:rPr>
      </w:pPr>
      <w:r w:rsidRPr="00704084">
        <w:rPr>
          <w:i/>
          <w:iCs/>
          <w:kern w:val="22"/>
          <w:lang w:val="fr-FR"/>
        </w:rPr>
        <w:t>Accueillant avec satisfaction</w:t>
      </w:r>
      <w:r w:rsidRPr="00704084">
        <w:rPr>
          <w:kern w:val="22"/>
          <w:lang w:val="fr-FR"/>
        </w:rPr>
        <w:t xml:space="preserve"> la contribution du Groupe de liaison sur le Protocole de Cartagena </w:t>
      </w:r>
      <w:r w:rsidR="00C219BB">
        <w:rPr>
          <w:rFonts w:asciiTheme="majorBidi" w:hAnsiTheme="majorBidi" w:cstheme="majorBidi"/>
          <w:iCs/>
          <w:lang w:val="fr-FR"/>
        </w:rPr>
        <w:t>sur la prévention des risques biotechnologiques</w:t>
      </w:r>
      <w:r w:rsidR="00C219BB" w:rsidRPr="00704084">
        <w:rPr>
          <w:kern w:val="22"/>
          <w:lang w:val="fr-FR"/>
        </w:rPr>
        <w:t xml:space="preserve"> </w:t>
      </w:r>
      <w:r w:rsidRPr="00704084">
        <w:rPr>
          <w:kern w:val="22"/>
          <w:lang w:val="fr-FR"/>
        </w:rPr>
        <w:t>à l</w:t>
      </w:r>
      <w:r w:rsidR="004645B4" w:rsidRPr="00704084">
        <w:rPr>
          <w:kern w:val="22"/>
          <w:lang w:val="fr-FR"/>
        </w:rPr>
        <w:t>’</w:t>
      </w:r>
      <w:r w:rsidRPr="00704084">
        <w:rPr>
          <w:kern w:val="22"/>
          <w:lang w:val="fr-FR"/>
        </w:rPr>
        <w:t xml:space="preserve">élaboration du </w:t>
      </w:r>
      <w:r w:rsidR="006A6FCE">
        <w:rPr>
          <w:kern w:val="22"/>
          <w:lang w:val="fr-FR"/>
        </w:rPr>
        <w:t>Plan</w:t>
      </w:r>
      <w:r w:rsidRPr="00704084">
        <w:rPr>
          <w:kern w:val="22"/>
          <w:lang w:val="fr-FR"/>
        </w:rPr>
        <w:t xml:space="preserve"> d</w:t>
      </w:r>
      <w:r w:rsidR="004645B4" w:rsidRPr="00704084">
        <w:rPr>
          <w:kern w:val="22"/>
          <w:lang w:val="fr-FR"/>
        </w:rPr>
        <w:t>’</w:t>
      </w:r>
      <w:r w:rsidRPr="00704084">
        <w:rPr>
          <w:kern w:val="22"/>
          <w:lang w:val="fr-FR"/>
        </w:rPr>
        <w:t>action pour le renforcement des capacités, et l</w:t>
      </w:r>
      <w:r w:rsidR="004645B4" w:rsidRPr="00704084">
        <w:rPr>
          <w:kern w:val="22"/>
          <w:lang w:val="fr-FR"/>
        </w:rPr>
        <w:t>’</w:t>
      </w:r>
      <w:r w:rsidRPr="00704084">
        <w:rPr>
          <w:kern w:val="22"/>
          <w:lang w:val="fr-FR"/>
        </w:rPr>
        <w:t>examen par l</w:t>
      </w:r>
      <w:r w:rsidR="004645B4" w:rsidRPr="00704084">
        <w:rPr>
          <w:kern w:val="22"/>
          <w:lang w:val="fr-FR"/>
        </w:rPr>
        <w:t>’</w:t>
      </w:r>
      <w:r w:rsidR="00C219BB">
        <w:rPr>
          <w:kern w:val="22"/>
          <w:lang w:val="fr-FR"/>
        </w:rPr>
        <w:t xml:space="preserve">Organe </w:t>
      </w:r>
      <w:r w:rsidRPr="00704084">
        <w:rPr>
          <w:kern w:val="22"/>
          <w:lang w:val="fr-FR"/>
        </w:rPr>
        <w:t>subsidiaire chargé de l</w:t>
      </w:r>
      <w:r w:rsidR="004645B4" w:rsidRPr="00704084">
        <w:rPr>
          <w:kern w:val="22"/>
          <w:lang w:val="fr-FR"/>
        </w:rPr>
        <w:t>’</w:t>
      </w:r>
      <w:r w:rsidRPr="00704084">
        <w:rPr>
          <w:kern w:val="22"/>
          <w:lang w:val="fr-FR"/>
        </w:rPr>
        <w:t>application</w:t>
      </w:r>
      <w:r w:rsidRPr="00704084">
        <w:rPr>
          <w:rFonts w:asciiTheme="majorBidi" w:hAnsiTheme="majorBidi" w:cstheme="majorBidi"/>
          <w:lang w:val="fr-FR"/>
        </w:rPr>
        <w:t xml:space="preserve"> à sa troisième réunion,</w:t>
      </w:r>
    </w:p>
    <w:p w14:paraId="131FA830" w14:textId="64DC1961" w:rsidR="00CD7DDC" w:rsidRPr="00704084" w:rsidRDefault="00CD7DDC" w:rsidP="00CD7DDC">
      <w:pPr>
        <w:ind w:firstLine="720"/>
        <w:rPr>
          <w:rFonts w:asciiTheme="majorBidi" w:hAnsiTheme="majorBidi" w:cstheme="majorBidi"/>
          <w:lang w:val="fr-FR"/>
        </w:rPr>
      </w:pPr>
      <w:r w:rsidRPr="00704084">
        <w:rPr>
          <w:rFonts w:asciiTheme="majorBidi" w:hAnsiTheme="majorBidi" w:cstheme="majorBidi"/>
          <w:i/>
          <w:lang w:val="fr-FR"/>
        </w:rPr>
        <w:t xml:space="preserve">Reconnaissant </w:t>
      </w:r>
      <w:r w:rsidRPr="00704084">
        <w:rPr>
          <w:rFonts w:asciiTheme="majorBidi" w:hAnsiTheme="majorBidi" w:cstheme="majorBidi"/>
          <w:lang w:val="fr-FR"/>
        </w:rPr>
        <w:t>l</w:t>
      </w:r>
      <w:r w:rsidR="004645B4" w:rsidRPr="00704084">
        <w:rPr>
          <w:rFonts w:asciiTheme="majorBidi" w:hAnsiTheme="majorBidi" w:cstheme="majorBidi"/>
          <w:lang w:val="fr-FR"/>
        </w:rPr>
        <w:t>’</w:t>
      </w:r>
      <w:r w:rsidRPr="00704084">
        <w:rPr>
          <w:rFonts w:asciiTheme="majorBidi" w:hAnsiTheme="majorBidi" w:cstheme="majorBidi"/>
          <w:lang w:val="fr-FR"/>
        </w:rPr>
        <w:t>intérêt présenté par le Protocole</w:t>
      </w:r>
      <w:r w:rsidR="002C0908">
        <w:rPr>
          <w:rFonts w:asciiTheme="majorBidi" w:hAnsiTheme="majorBidi" w:cstheme="majorBidi"/>
          <w:lang w:val="fr-FR"/>
        </w:rPr>
        <w:t xml:space="preserve"> de Cartagena </w:t>
      </w:r>
      <w:r w:rsidR="002C0908">
        <w:rPr>
          <w:rFonts w:asciiTheme="majorBidi" w:hAnsiTheme="majorBidi" w:cstheme="majorBidi"/>
          <w:iCs/>
          <w:lang w:val="fr-FR"/>
        </w:rPr>
        <w:t>sur la prévention des risques biotechnologiques</w:t>
      </w:r>
      <w:r w:rsidRPr="00704084">
        <w:rPr>
          <w:rFonts w:asciiTheme="majorBidi" w:hAnsiTheme="majorBidi" w:cstheme="majorBidi"/>
          <w:lang w:val="fr-FR"/>
        </w:rPr>
        <w:t xml:space="preserve">, </w:t>
      </w:r>
      <w:r w:rsidR="002C0908">
        <w:rPr>
          <w:rFonts w:asciiTheme="majorBidi" w:hAnsiTheme="majorBidi" w:cstheme="majorBidi"/>
          <w:lang w:val="fr-CA"/>
        </w:rPr>
        <w:t xml:space="preserve">le Plan de mise en œuvre du Protocole de Cartagena </w:t>
      </w:r>
      <w:r w:rsidR="002C0908">
        <w:rPr>
          <w:kern w:val="22"/>
          <w:lang w:val="fr-FR"/>
        </w:rPr>
        <w:t>sur la prévention des risques biotechnologiques</w:t>
      </w:r>
      <w:r w:rsidR="002C0908">
        <w:rPr>
          <w:rStyle w:val="FootnoteReference"/>
          <w:kern w:val="22"/>
          <w:lang w:val="fr-FR"/>
        </w:rPr>
        <w:footnoteReference w:id="2"/>
      </w:r>
      <w:r w:rsidR="002C0908">
        <w:rPr>
          <w:rFonts w:asciiTheme="majorBidi" w:hAnsiTheme="majorBidi" w:cstheme="majorBidi"/>
          <w:lang w:val="fr-CA"/>
        </w:rPr>
        <w:t xml:space="preserve"> et le Plan d’action pour le renforcement des capacités du Protocole de Cartagena </w:t>
      </w:r>
      <w:r w:rsidR="002C0908">
        <w:rPr>
          <w:kern w:val="22"/>
          <w:lang w:val="fr-FR"/>
        </w:rPr>
        <w:t>sur la prévention des risques biotechnologiques</w:t>
      </w:r>
      <w:r w:rsidR="002C0908">
        <w:rPr>
          <w:rFonts w:asciiTheme="majorBidi" w:hAnsiTheme="majorBidi" w:cstheme="majorBidi"/>
          <w:lang w:val="fr-CA"/>
        </w:rPr>
        <w:t xml:space="preserve">, </w:t>
      </w:r>
      <w:r w:rsidRPr="00704084">
        <w:rPr>
          <w:rFonts w:asciiTheme="majorBidi" w:hAnsiTheme="majorBidi" w:cstheme="majorBidi"/>
          <w:lang w:val="fr-FR"/>
        </w:rPr>
        <w:t>en t</w:t>
      </w:r>
      <w:r w:rsidR="002C0908">
        <w:rPr>
          <w:rFonts w:asciiTheme="majorBidi" w:hAnsiTheme="majorBidi" w:cstheme="majorBidi"/>
          <w:lang w:val="fr-FR"/>
        </w:rPr>
        <w:t xml:space="preserve">ant que plans </w:t>
      </w:r>
      <w:r w:rsidRPr="00704084">
        <w:rPr>
          <w:rFonts w:asciiTheme="majorBidi" w:hAnsiTheme="majorBidi" w:cstheme="majorBidi"/>
          <w:lang w:val="fr-FR"/>
        </w:rPr>
        <w:t>interconnectés</w:t>
      </w:r>
      <w:r w:rsidR="002C0908">
        <w:rPr>
          <w:rFonts w:asciiTheme="majorBidi" w:hAnsiTheme="majorBidi" w:cstheme="majorBidi"/>
          <w:lang w:val="fr-FR"/>
        </w:rPr>
        <w:t xml:space="preserve"> mais distincts</w:t>
      </w:r>
      <w:r w:rsidRPr="00704084">
        <w:rPr>
          <w:rFonts w:asciiTheme="majorBidi" w:hAnsiTheme="majorBidi" w:cstheme="majorBidi"/>
          <w:lang w:val="fr-FR"/>
        </w:rPr>
        <w:t>, pour atteindre les objectifs de la Convention sur la diversité biologique,</w:t>
      </w:r>
    </w:p>
    <w:p w14:paraId="131FA831" w14:textId="7A17F159" w:rsidR="00633D52" w:rsidRPr="00704084" w:rsidRDefault="00CD7DDC" w:rsidP="00CD7DDC">
      <w:pPr>
        <w:spacing w:before="120" w:after="120"/>
        <w:ind w:firstLine="720"/>
        <w:rPr>
          <w:rFonts w:asciiTheme="majorBidi" w:hAnsiTheme="majorBidi" w:cstheme="majorBidi"/>
          <w:spacing w:val="-2"/>
          <w:lang w:val="fr-FR"/>
        </w:rPr>
      </w:pPr>
      <w:r w:rsidRPr="00704084">
        <w:rPr>
          <w:rFonts w:asciiTheme="majorBidi" w:hAnsiTheme="majorBidi" w:cstheme="majorBidi"/>
          <w:i/>
          <w:spacing w:val="-2"/>
          <w:lang w:val="fr-FR"/>
        </w:rPr>
        <w:lastRenderedPageBreak/>
        <w:t xml:space="preserve">Reconnaissant </w:t>
      </w:r>
      <w:r w:rsidRPr="00704084">
        <w:rPr>
          <w:rFonts w:asciiTheme="majorBidi" w:hAnsiTheme="majorBidi" w:cstheme="majorBidi"/>
          <w:spacing w:val="-2"/>
          <w:lang w:val="fr-FR"/>
        </w:rPr>
        <w:t>la nécessité d</w:t>
      </w:r>
      <w:r w:rsidR="004645B4" w:rsidRPr="00704084">
        <w:rPr>
          <w:rFonts w:asciiTheme="majorBidi" w:hAnsiTheme="majorBidi" w:cstheme="majorBidi"/>
          <w:spacing w:val="-2"/>
          <w:lang w:val="fr-FR"/>
        </w:rPr>
        <w:t>’</w:t>
      </w:r>
      <w:r w:rsidRPr="00704084">
        <w:rPr>
          <w:rFonts w:asciiTheme="majorBidi" w:hAnsiTheme="majorBidi" w:cstheme="majorBidi"/>
          <w:spacing w:val="-2"/>
          <w:lang w:val="fr-FR"/>
        </w:rPr>
        <w:t>établir régulièrement des priorités pour planifier et programmer les travaux à en</w:t>
      </w:r>
      <w:r w:rsidR="00B00AD7">
        <w:rPr>
          <w:rFonts w:asciiTheme="majorBidi" w:hAnsiTheme="majorBidi" w:cstheme="majorBidi"/>
          <w:spacing w:val="-2"/>
          <w:lang w:val="fr-FR"/>
        </w:rPr>
        <w:t>treprendre pendant la période couverte par le</w:t>
      </w:r>
      <w:r w:rsidR="00597279">
        <w:rPr>
          <w:rFonts w:asciiTheme="majorBidi" w:hAnsiTheme="majorBidi" w:cstheme="majorBidi"/>
          <w:spacing w:val="-2"/>
          <w:lang w:val="fr-FR"/>
        </w:rPr>
        <w:t xml:space="preserve"> P</w:t>
      </w:r>
      <w:r w:rsidRPr="00704084">
        <w:rPr>
          <w:rFonts w:asciiTheme="majorBidi" w:hAnsiTheme="majorBidi" w:cstheme="majorBidi"/>
          <w:spacing w:val="-2"/>
          <w:lang w:val="fr-FR"/>
        </w:rPr>
        <w:t>lan d</w:t>
      </w:r>
      <w:r w:rsidR="004645B4" w:rsidRPr="00704084">
        <w:rPr>
          <w:rFonts w:asciiTheme="majorBidi" w:hAnsiTheme="majorBidi" w:cstheme="majorBidi"/>
          <w:spacing w:val="-2"/>
          <w:lang w:val="fr-FR"/>
        </w:rPr>
        <w:t>’</w:t>
      </w:r>
      <w:r w:rsidRPr="00704084">
        <w:rPr>
          <w:rFonts w:asciiTheme="majorBidi" w:hAnsiTheme="majorBidi" w:cstheme="majorBidi"/>
          <w:spacing w:val="-2"/>
          <w:lang w:val="fr-FR"/>
        </w:rPr>
        <w:t>action pour le renforcement des capacités,</w:t>
      </w:r>
    </w:p>
    <w:p w14:paraId="65439384" w14:textId="1A383521" w:rsidR="003C7E5C" w:rsidRPr="00704084" w:rsidRDefault="00B00AD7" w:rsidP="00CD7DDC">
      <w:pPr>
        <w:spacing w:before="120" w:after="120"/>
        <w:ind w:firstLine="720"/>
        <w:rPr>
          <w:rFonts w:asciiTheme="majorBidi" w:hAnsiTheme="majorBidi" w:cstheme="majorBidi"/>
          <w:spacing w:val="-2"/>
          <w:lang w:val="fr-FR"/>
        </w:rPr>
      </w:pPr>
      <w:r>
        <w:rPr>
          <w:rFonts w:asciiTheme="majorBidi" w:hAnsiTheme="majorBidi" w:cstheme="majorBidi"/>
          <w:i/>
          <w:iCs/>
          <w:spacing w:val="-2"/>
          <w:lang w:val="fr-FR"/>
        </w:rPr>
        <w:t>Prenant note</w:t>
      </w:r>
      <w:r>
        <w:rPr>
          <w:rFonts w:asciiTheme="majorBidi" w:hAnsiTheme="majorBidi" w:cstheme="majorBidi"/>
          <w:spacing w:val="-2"/>
          <w:lang w:val="fr-FR"/>
        </w:rPr>
        <w:t xml:space="preserve"> de la décision CP-10/6</w:t>
      </w:r>
      <w:r w:rsidR="003C7E5C" w:rsidRPr="00704084">
        <w:rPr>
          <w:rFonts w:asciiTheme="majorBidi" w:hAnsiTheme="majorBidi" w:cstheme="majorBidi"/>
          <w:spacing w:val="-2"/>
          <w:lang w:val="fr-FR"/>
        </w:rPr>
        <w:t xml:space="preserve"> sur les</w:t>
      </w:r>
      <w:r>
        <w:rPr>
          <w:rFonts w:asciiTheme="majorBidi" w:hAnsiTheme="majorBidi" w:cstheme="majorBidi"/>
          <w:spacing w:val="-2"/>
          <w:lang w:val="fr-FR"/>
        </w:rPr>
        <w:t xml:space="preserve"> questions relatives au mécanisme de financement et aux</w:t>
      </w:r>
      <w:r w:rsidR="003C7E5C" w:rsidRPr="00704084">
        <w:rPr>
          <w:rFonts w:asciiTheme="majorBidi" w:hAnsiTheme="majorBidi" w:cstheme="majorBidi"/>
          <w:spacing w:val="-2"/>
          <w:lang w:val="fr-FR"/>
        </w:rPr>
        <w:t xml:space="preserve"> ressources</w:t>
      </w:r>
      <w:r>
        <w:rPr>
          <w:rFonts w:asciiTheme="majorBidi" w:hAnsiTheme="majorBidi" w:cstheme="majorBidi"/>
          <w:spacing w:val="-2"/>
          <w:lang w:val="fr-FR"/>
        </w:rPr>
        <w:t xml:space="preserve"> financières</w:t>
      </w:r>
      <w:r w:rsidR="003C7E5C" w:rsidRPr="00704084">
        <w:rPr>
          <w:rFonts w:asciiTheme="majorBidi" w:hAnsiTheme="majorBidi" w:cstheme="majorBidi"/>
          <w:spacing w:val="-2"/>
          <w:lang w:val="fr-FR"/>
        </w:rPr>
        <w:t>,</w:t>
      </w:r>
    </w:p>
    <w:p w14:paraId="131FA832" w14:textId="001C2672" w:rsidR="00633D52" w:rsidRPr="00704084" w:rsidRDefault="00633D52" w:rsidP="00633D52">
      <w:pPr>
        <w:spacing w:before="120" w:after="120"/>
        <w:ind w:firstLine="720"/>
        <w:rPr>
          <w:rFonts w:asciiTheme="majorBidi" w:hAnsiTheme="majorBidi" w:cstheme="majorBidi"/>
          <w:lang w:val="fr-FR"/>
        </w:rPr>
      </w:pPr>
      <w:r w:rsidRPr="00704084">
        <w:rPr>
          <w:rFonts w:asciiTheme="majorBidi" w:hAnsiTheme="majorBidi" w:cstheme="majorBidi"/>
          <w:lang w:val="fr-FR"/>
        </w:rPr>
        <w:t>1.</w:t>
      </w:r>
      <w:r w:rsidRPr="00704084">
        <w:rPr>
          <w:rFonts w:asciiTheme="majorBidi" w:hAnsiTheme="majorBidi" w:cstheme="majorBidi"/>
          <w:lang w:val="fr-FR"/>
        </w:rPr>
        <w:tab/>
      </w:r>
      <w:r w:rsidR="00670AE5" w:rsidRPr="00704084">
        <w:rPr>
          <w:rFonts w:asciiTheme="majorBidi" w:hAnsiTheme="majorBidi" w:cstheme="majorBidi"/>
          <w:i/>
          <w:iCs/>
          <w:lang w:val="fr-FR"/>
        </w:rPr>
        <w:t xml:space="preserve">Adopte </w:t>
      </w:r>
      <w:r w:rsidR="00B00AD7">
        <w:rPr>
          <w:rFonts w:asciiTheme="majorBidi" w:hAnsiTheme="majorBidi" w:cstheme="majorBidi"/>
          <w:lang w:val="fr-FR"/>
        </w:rPr>
        <w:t>le P</w:t>
      </w:r>
      <w:r w:rsidR="00670AE5" w:rsidRPr="00704084">
        <w:rPr>
          <w:rFonts w:asciiTheme="majorBidi" w:hAnsiTheme="majorBidi" w:cstheme="majorBidi"/>
          <w:lang w:val="fr-FR"/>
        </w:rPr>
        <w:t>lan d</w:t>
      </w:r>
      <w:r w:rsidR="004645B4" w:rsidRPr="00704084">
        <w:rPr>
          <w:rFonts w:asciiTheme="majorBidi" w:hAnsiTheme="majorBidi" w:cstheme="majorBidi"/>
          <w:lang w:val="fr-FR"/>
        </w:rPr>
        <w:t>’</w:t>
      </w:r>
      <w:r w:rsidR="00670AE5" w:rsidRPr="00704084">
        <w:rPr>
          <w:rFonts w:asciiTheme="majorBidi" w:hAnsiTheme="majorBidi" w:cstheme="majorBidi"/>
          <w:lang w:val="fr-FR"/>
        </w:rPr>
        <w:t>action pour le renforcement des capacités</w:t>
      </w:r>
      <w:r w:rsidR="00B00AD7" w:rsidRPr="00B00AD7">
        <w:rPr>
          <w:rFonts w:asciiTheme="majorBidi" w:hAnsiTheme="majorBidi" w:cstheme="majorBidi"/>
          <w:lang w:val="fr-CA"/>
        </w:rPr>
        <w:t xml:space="preserve"> </w:t>
      </w:r>
      <w:r w:rsidR="00B00AD7">
        <w:rPr>
          <w:rFonts w:asciiTheme="majorBidi" w:hAnsiTheme="majorBidi" w:cstheme="majorBidi"/>
          <w:lang w:val="fr-CA"/>
        </w:rPr>
        <w:t xml:space="preserve">du Protocole de Cartagena </w:t>
      </w:r>
      <w:r w:rsidR="00B00AD7">
        <w:rPr>
          <w:kern w:val="22"/>
          <w:lang w:val="fr-FR"/>
        </w:rPr>
        <w:t>sur la prévention des risques biotechnologiques</w:t>
      </w:r>
      <w:r w:rsidR="00670AE5" w:rsidRPr="00704084">
        <w:rPr>
          <w:rFonts w:asciiTheme="majorBidi" w:hAnsiTheme="majorBidi" w:cstheme="majorBidi"/>
          <w:lang w:val="fr-FR"/>
        </w:rPr>
        <w:t>, tel qu</w:t>
      </w:r>
      <w:r w:rsidR="004645B4" w:rsidRPr="00704084">
        <w:rPr>
          <w:rFonts w:asciiTheme="majorBidi" w:hAnsiTheme="majorBidi" w:cstheme="majorBidi"/>
          <w:lang w:val="fr-FR"/>
        </w:rPr>
        <w:t>’</w:t>
      </w:r>
      <w:r w:rsidR="00B00AD7">
        <w:rPr>
          <w:rFonts w:asciiTheme="majorBidi" w:hAnsiTheme="majorBidi" w:cstheme="majorBidi"/>
          <w:lang w:val="fr-FR"/>
        </w:rPr>
        <w:t xml:space="preserve">il figure dans </w:t>
      </w:r>
      <w:r w:rsidR="00670AE5" w:rsidRPr="00704084">
        <w:rPr>
          <w:rFonts w:asciiTheme="majorBidi" w:hAnsiTheme="majorBidi" w:cstheme="majorBidi"/>
          <w:lang w:val="fr-FR"/>
        </w:rPr>
        <w:t>l</w:t>
      </w:r>
      <w:r w:rsidR="004645B4" w:rsidRPr="00704084">
        <w:rPr>
          <w:rFonts w:asciiTheme="majorBidi" w:hAnsiTheme="majorBidi" w:cstheme="majorBidi"/>
          <w:lang w:val="fr-FR"/>
        </w:rPr>
        <w:t>’</w:t>
      </w:r>
      <w:r w:rsidR="00670AE5" w:rsidRPr="00704084">
        <w:rPr>
          <w:rFonts w:asciiTheme="majorBidi" w:hAnsiTheme="majorBidi" w:cstheme="majorBidi"/>
          <w:lang w:val="fr-FR"/>
        </w:rPr>
        <w:t xml:space="preserve">annexe à la présente </w:t>
      </w:r>
      <w:r w:rsidR="00B00AD7">
        <w:rPr>
          <w:rFonts w:asciiTheme="majorBidi" w:hAnsiTheme="majorBidi" w:cstheme="majorBidi"/>
          <w:lang w:val="fr-FR"/>
        </w:rPr>
        <w:t>décision</w:t>
      </w:r>
      <w:r w:rsidR="003D27B5" w:rsidRPr="00704084">
        <w:rPr>
          <w:rFonts w:asciiTheme="majorBidi" w:hAnsiTheme="majorBidi" w:cstheme="majorBidi"/>
          <w:lang w:val="fr-FR"/>
        </w:rPr>
        <w:t>;</w:t>
      </w:r>
    </w:p>
    <w:p w14:paraId="131FA833" w14:textId="039BADFF" w:rsidR="00633D52" w:rsidRPr="00704084" w:rsidRDefault="00633D52" w:rsidP="00633D52">
      <w:pPr>
        <w:spacing w:before="120" w:after="120"/>
        <w:ind w:firstLine="720"/>
        <w:rPr>
          <w:rFonts w:asciiTheme="majorBidi" w:hAnsiTheme="majorBidi" w:cstheme="majorBidi"/>
          <w:lang w:val="fr-FR"/>
        </w:rPr>
      </w:pPr>
      <w:r w:rsidRPr="00704084">
        <w:rPr>
          <w:rFonts w:asciiTheme="majorBidi" w:hAnsiTheme="majorBidi" w:cstheme="majorBidi"/>
          <w:lang w:val="fr-FR"/>
        </w:rPr>
        <w:t>2.</w:t>
      </w:r>
      <w:r w:rsidRPr="00704084">
        <w:rPr>
          <w:rFonts w:asciiTheme="majorBidi" w:hAnsiTheme="majorBidi" w:cstheme="majorBidi"/>
          <w:lang w:val="fr-FR"/>
        </w:rPr>
        <w:tab/>
      </w:r>
      <w:r w:rsidR="00670AE5" w:rsidRPr="00704084">
        <w:rPr>
          <w:rFonts w:asciiTheme="majorBidi" w:hAnsiTheme="majorBidi" w:cstheme="majorBidi"/>
          <w:i/>
          <w:lang w:val="fr-FR"/>
        </w:rPr>
        <w:t>Accueille avec satisfaction</w:t>
      </w:r>
      <w:r w:rsidR="00670AE5" w:rsidRPr="00704084">
        <w:rPr>
          <w:rFonts w:asciiTheme="majorBidi" w:hAnsiTheme="majorBidi" w:cstheme="majorBidi"/>
          <w:lang w:val="fr-FR"/>
        </w:rPr>
        <w:t xml:space="preserve"> le cadre stratégique à long terme pour le renforcement des capacités</w:t>
      </w:r>
      <w:r w:rsidR="00597279">
        <w:rPr>
          <w:rFonts w:asciiTheme="majorBidi" w:hAnsiTheme="majorBidi" w:cstheme="majorBidi"/>
          <w:lang w:val="fr-FR"/>
        </w:rPr>
        <w:t xml:space="preserve"> et</w:t>
      </w:r>
      <w:r w:rsidR="00597279" w:rsidRPr="00597279">
        <w:rPr>
          <w:rFonts w:asciiTheme="majorBidi" w:hAnsiTheme="majorBidi" w:cstheme="majorBidi"/>
          <w:lang w:val="fr-FR"/>
        </w:rPr>
        <w:t xml:space="preserve"> </w:t>
      </w:r>
      <w:r w:rsidR="00597279" w:rsidRPr="00704084">
        <w:rPr>
          <w:rFonts w:asciiTheme="majorBidi" w:hAnsiTheme="majorBidi" w:cstheme="majorBidi"/>
          <w:lang w:val="fr-FR"/>
        </w:rPr>
        <w:t>la création</w:t>
      </w:r>
      <w:r w:rsidR="00597279">
        <w:rPr>
          <w:rFonts w:asciiTheme="majorBidi" w:hAnsiTheme="majorBidi" w:cstheme="majorBidi"/>
          <w:lang w:val="fr-FR"/>
        </w:rPr>
        <w:t xml:space="preserve"> de capacités,</w:t>
      </w:r>
      <w:r w:rsidR="00670AE5" w:rsidRPr="00704084">
        <w:rPr>
          <w:rFonts w:asciiTheme="majorBidi" w:hAnsiTheme="majorBidi" w:cstheme="majorBidi"/>
          <w:lang w:val="fr-FR"/>
        </w:rPr>
        <w:t xml:space="preserve"> </w:t>
      </w:r>
      <w:r w:rsidR="00597279">
        <w:rPr>
          <w:rFonts w:asciiTheme="majorBidi" w:hAnsiTheme="majorBidi" w:cstheme="majorBidi"/>
          <w:lang w:val="fr-FR"/>
        </w:rPr>
        <w:t>tel qu’</w:t>
      </w:r>
      <w:r w:rsidR="00670AE5" w:rsidRPr="00704084">
        <w:rPr>
          <w:rFonts w:asciiTheme="majorBidi" w:hAnsiTheme="majorBidi" w:cstheme="majorBidi"/>
          <w:lang w:val="fr-FR"/>
        </w:rPr>
        <w:t>adopté dans la décision</w:t>
      </w:r>
      <w:r w:rsidR="00724AAB">
        <w:rPr>
          <w:rFonts w:asciiTheme="majorBidi" w:hAnsiTheme="majorBidi" w:cstheme="majorBidi"/>
          <w:lang w:val="fr-FR"/>
        </w:rPr>
        <w:t xml:space="preserve"> </w:t>
      </w:r>
      <w:r w:rsidR="00670AE5" w:rsidRPr="00704084">
        <w:rPr>
          <w:rFonts w:asciiTheme="majorBidi" w:hAnsiTheme="majorBidi" w:cstheme="majorBidi"/>
          <w:lang w:val="fr-FR"/>
        </w:rPr>
        <w:t>15/</w:t>
      </w:r>
      <w:r w:rsidR="00724AAB">
        <w:rPr>
          <w:rFonts w:asciiTheme="majorBidi" w:hAnsiTheme="majorBidi" w:cstheme="majorBidi"/>
          <w:lang w:val="fr-FR"/>
        </w:rPr>
        <w:t>8 de la Conférence des Parties</w:t>
      </w:r>
      <w:r w:rsidR="003D27B5" w:rsidRPr="00704084">
        <w:rPr>
          <w:rFonts w:asciiTheme="majorBidi" w:hAnsiTheme="majorBidi" w:cstheme="majorBidi"/>
          <w:lang w:val="fr-FR"/>
        </w:rPr>
        <w:t>;</w:t>
      </w:r>
    </w:p>
    <w:p w14:paraId="131FA834" w14:textId="3768610B" w:rsidR="00633D52" w:rsidRPr="00704084" w:rsidRDefault="00633D52" w:rsidP="00633D52">
      <w:pPr>
        <w:spacing w:before="120" w:after="120"/>
        <w:ind w:firstLine="720"/>
        <w:rPr>
          <w:rFonts w:asciiTheme="majorBidi" w:hAnsiTheme="majorBidi" w:cstheme="majorBidi"/>
          <w:i/>
          <w:lang w:val="fr-FR"/>
        </w:rPr>
      </w:pPr>
      <w:r w:rsidRPr="00704084">
        <w:rPr>
          <w:rFonts w:asciiTheme="majorBidi" w:hAnsiTheme="majorBidi" w:cstheme="majorBidi"/>
          <w:lang w:val="fr-FR"/>
        </w:rPr>
        <w:t>3.</w:t>
      </w:r>
      <w:r w:rsidRPr="00704084">
        <w:rPr>
          <w:rFonts w:asciiTheme="majorBidi" w:hAnsiTheme="majorBidi" w:cstheme="majorBidi"/>
          <w:lang w:val="fr-FR"/>
        </w:rPr>
        <w:tab/>
      </w:r>
      <w:r w:rsidR="00992F89" w:rsidRPr="00704084">
        <w:rPr>
          <w:rFonts w:asciiTheme="majorBidi" w:hAnsiTheme="majorBidi" w:cstheme="majorBidi"/>
          <w:i/>
          <w:iCs/>
          <w:lang w:val="fr-FR"/>
        </w:rPr>
        <w:t xml:space="preserve">Reconnaît </w:t>
      </w:r>
      <w:r w:rsidR="00724AAB">
        <w:rPr>
          <w:rFonts w:asciiTheme="majorBidi" w:hAnsiTheme="majorBidi" w:cstheme="majorBidi"/>
          <w:iCs/>
          <w:lang w:val="fr-FR"/>
        </w:rPr>
        <w:t>le caractère complémentaire du P</w:t>
      </w:r>
      <w:r w:rsidR="00992F89" w:rsidRPr="00704084">
        <w:rPr>
          <w:rFonts w:asciiTheme="majorBidi" w:hAnsiTheme="majorBidi" w:cstheme="majorBidi"/>
          <w:iCs/>
          <w:lang w:val="fr-FR"/>
        </w:rPr>
        <w:t>lan d</w:t>
      </w:r>
      <w:r w:rsidR="004645B4" w:rsidRPr="00704084">
        <w:rPr>
          <w:rFonts w:asciiTheme="majorBidi" w:hAnsiTheme="majorBidi" w:cstheme="majorBidi"/>
          <w:iCs/>
          <w:lang w:val="fr-FR"/>
        </w:rPr>
        <w:t>’</w:t>
      </w:r>
      <w:r w:rsidR="00992F89" w:rsidRPr="00704084">
        <w:rPr>
          <w:rFonts w:asciiTheme="majorBidi" w:hAnsiTheme="majorBidi" w:cstheme="majorBidi"/>
          <w:iCs/>
          <w:lang w:val="fr-FR"/>
        </w:rPr>
        <w:t xml:space="preserve">action pour le renforcement des capacités </w:t>
      </w:r>
      <w:r w:rsidR="00724AAB">
        <w:rPr>
          <w:rFonts w:asciiTheme="majorBidi" w:hAnsiTheme="majorBidi" w:cstheme="majorBidi"/>
          <w:iCs/>
          <w:lang w:val="fr-FR"/>
        </w:rPr>
        <w:t xml:space="preserve">du </w:t>
      </w:r>
      <w:r w:rsidR="00724AAB">
        <w:rPr>
          <w:rFonts w:asciiTheme="majorBidi" w:hAnsiTheme="majorBidi" w:cstheme="majorBidi"/>
          <w:lang w:val="fr-CA"/>
        </w:rPr>
        <w:t xml:space="preserve">Protocole de Cartagena </w:t>
      </w:r>
      <w:r w:rsidR="00724AAB">
        <w:rPr>
          <w:kern w:val="22"/>
          <w:lang w:val="fr-FR"/>
        </w:rPr>
        <w:t>sur la prévention des risques biotechnologiques</w:t>
      </w:r>
      <w:r w:rsidR="00724AAB" w:rsidRPr="00704084">
        <w:rPr>
          <w:rFonts w:asciiTheme="majorBidi" w:hAnsiTheme="majorBidi" w:cstheme="majorBidi"/>
          <w:iCs/>
          <w:lang w:val="fr-FR"/>
        </w:rPr>
        <w:t xml:space="preserve"> </w:t>
      </w:r>
      <w:r w:rsidR="00992F89" w:rsidRPr="00704084">
        <w:rPr>
          <w:rFonts w:asciiTheme="majorBidi" w:hAnsiTheme="majorBidi" w:cstheme="majorBidi"/>
          <w:iCs/>
          <w:lang w:val="fr-FR"/>
        </w:rPr>
        <w:t>et du cadre s</w:t>
      </w:r>
      <w:r w:rsidR="00597279">
        <w:rPr>
          <w:rFonts w:asciiTheme="majorBidi" w:hAnsiTheme="majorBidi" w:cstheme="majorBidi"/>
          <w:iCs/>
          <w:lang w:val="fr-FR"/>
        </w:rPr>
        <w:t xml:space="preserve">tratégique à long terme pour </w:t>
      </w:r>
      <w:r w:rsidR="00597279" w:rsidRPr="00704084">
        <w:rPr>
          <w:rFonts w:asciiTheme="majorBidi" w:hAnsiTheme="majorBidi" w:cstheme="majorBidi"/>
          <w:lang w:val="fr-FR"/>
        </w:rPr>
        <w:t>le renforcement des capacités</w:t>
      </w:r>
      <w:r w:rsidR="00597279">
        <w:rPr>
          <w:rFonts w:asciiTheme="majorBidi" w:hAnsiTheme="majorBidi" w:cstheme="majorBidi"/>
          <w:lang w:val="fr-FR"/>
        </w:rPr>
        <w:t xml:space="preserve"> et</w:t>
      </w:r>
      <w:r w:rsidR="00597279" w:rsidRPr="00597279">
        <w:rPr>
          <w:rFonts w:asciiTheme="majorBidi" w:hAnsiTheme="majorBidi" w:cstheme="majorBidi"/>
          <w:lang w:val="fr-FR"/>
        </w:rPr>
        <w:t xml:space="preserve"> </w:t>
      </w:r>
      <w:r w:rsidR="00597279" w:rsidRPr="00704084">
        <w:rPr>
          <w:rFonts w:asciiTheme="majorBidi" w:hAnsiTheme="majorBidi" w:cstheme="majorBidi"/>
          <w:lang w:val="fr-FR"/>
        </w:rPr>
        <w:t>la création</w:t>
      </w:r>
      <w:r w:rsidR="00597279">
        <w:rPr>
          <w:rFonts w:asciiTheme="majorBidi" w:hAnsiTheme="majorBidi" w:cstheme="majorBidi"/>
          <w:lang w:val="fr-FR"/>
        </w:rPr>
        <w:t xml:space="preserve"> de capacités</w:t>
      </w:r>
      <w:r w:rsidR="00724AAB" w:rsidRPr="00724AAB">
        <w:rPr>
          <w:rFonts w:asciiTheme="majorBidi" w:hAnsiTheme="majorBidi" w:cstheme="majorBidi"/>
          <w:lang w:val="fr-FR"/>
        </w:rPr>
        <w:t xml:space="preserve"> </w:t>
      </w:r>
      <w:r w:rsidR="00724AAB" w:rsidRPr="00704084">
        <w:rPr>
          <w:rFonts w:asciiTheme="majorBidi" w:hAnsiTheme="majorBidi" w:cstheme="majorBidi"/>
          <w:lang w:val="fr-FR"/>
        </w:rPr>
        <w:t>adopté dans la décision</w:t>
      </w:r>
      <w:r w:rsidR="00724AAB">
        <w:rPr>
          <w:rFonts w:asciiTheme="majorBidi" w:hAnsiTheme="majorBidi" w:cstheme="majorBidi"/>
          <w:lang w:val="fr-FR"/>
        </w:rPr>
        <w:t xml:space="preserve"> </w:t>
      </w:r>
      <w:r w:rsidR="00724AAB" w:rsidRPr="00704084">
        <w:rPr>
          <w:rFonts w:asciiTheme="majorBidi" w:hAnsiTheme="majorBidi" w:cstheme="majorBidi"/>
          <w:lang w:val="fr-FR"/>
        </w:rPr>
        <w:t>15/</w:t>
      </w:r>
      <w:r w:rsidR="00724AAB">
        <w:rPr>
          <w:rFonts w:asciiTheme="majorBidi" w:hAnsiTheme="majorBidi" w:cstheme="majorBidi"/>
          <w:lang w:val="fr-FR"/>
        </w:rPr>
        <w:t>8 de la Conférence des Parties</w:t>
      </w:r>
      <w:r w:rsidR="003D27B5" w:rsidRPr="00704084">
        <w:rPr>
          <w:rFonts w:asciiTheme="majorBidi" w:hAnsiTheme="majorBidi" w:cstheme="majorBidi"/>
          <w:iCs/>
          <w:lang w:val="fr-FR"/>
        </w:rPr>
        <w:t>;</w:t>
      </w:r>
    </w:p>
    <w:p w14:paraId="131FA835" w14:textId="1292FD76" w:rsidR="00633D52" w:rsidRPr="00704084" w:rsidRDefault="00633D52" w:rsidP="00633D52">
      <w:pPr>
        <w:spacing w:before="120" w:after="120"/>
        <w:ind w:firstLine="720"/>
        <w:rPr>
          <w:rFonts w:asciiTheme="majorBidi" w:hAnsiTheme="majorBidi" w:cstheme="majorBidi"/>
          <w:lang w:val="fr-FR"/>
        </w:rPr>
      </w:pPr>
      <w:r w:rsidRPr="00704084">
        <w:rPr>
          <w:rFonts w:asciiTheme="majorBidi" w:hAnsiTheme="majorBidi" w:cstheme="majorBidi"/>
          <w:lang w:val="fr-FR"/>
        </w:rPr>
        <w:t>4.</w:t>
      </w:r>
      <w:r w:rsidRPr="00704084">
        <w:rPr>
          <w:rFonts w:asciiTheme="majorBidi" w:hAnsiTheme="majorBidi" w:cstheme="majorBidi"/>
          <w:lang w:val="fr-FR"/>
        </w:rPr>
        <w:tab/>
      </w:r>
      <w:r w:rsidR="00A91C51" w:rsidRPr="00704084">
        <w:rPr>
          <w:i/>
          <w:iCs/>
          <w:kern w:val="22"/>
          <w:lang w:val="fr-FR"/>
        </w:rPr>
        <w:t xml:space="preserve">Exhorte </w:t>
      </w:r>
      <w:r w:rsidR="00A91C51" w:rsidRPr="00704084">
        <w:rPr>
          <w:kern w:val="22"/>
          <w:lang w:val="fr-FR"/>
        </w:rPr>
        <w:t xml:space="preserve">les Parties et </w:t>
      </w:r>
      <w:r w:rsidR="00A91C51" w:rsidRPr="00704084">
        <w:rPr>
          <w:iCs/>
          <w:kern w:val="22"/>
          <w:lang w:val="fr-FR"/>
        </w:rPr>
        <w:t>invite</w:t>
      </w:r>
      <w:r w:rsidR="00A91C51" w:rsidRPr="00704084">
        <w:rPr>
          <w:i/>
          <w:iCs/>
          <w:kern w:val="22"/>
          <w:lang w:val="fr-FR"/>
        </w:rPr>
        <w:t xml:space="preserve"> </w:t>
      </w:r>
      <w:r w:rsidR="00A91C51" w:rsidRPr="00704084">
        <w:rPr>
          <w:kern w:val="22"/>
          <w:lang w:val="fr-FR"/>
        </w:rPr>
        <w:t>les autres gouvernements à examiner et à harmoniser, selon qu</w:t>
      </w:r>
      <w:r w:rsidR="004645B4" w:rsidRPr="00704084">
        <w:rPr>
          <w:kern w:val="22"/>
          <w:lang w:val="fr-FR"/>
        </w:rPr>
        <w:t>’</w:t>
      </w:r>
      <w:r w:rsidR="00A91C51" w:rsidRPr="00704084">
        <w:rPr>
          <w:kern w:val="22"/>
          <w:lang w:val="fr-FR"/>
        </w:rPr>
        <w:t>il convient, leurs plans d</w:t>
      </w:r>
      <w:r w:rsidR="004645B4" w:rsidRPr="00704084">
        <w:rPr>
          <w:kern w:val="22"/>
          <w:lang w:val="fr-FR"/>
        </w:rPr>
        <w:t>’</w:t>
      </w:r>
      <w:r w:rsidR="00A91C51" w:rsidRPr="00704084">
        <w:rPr>
          <w:kern w:val="22"/>
          <w:lang w:val="fr-FR"/>
        </w:rPr>
        <w:t>action et programmes nationaux relatifs à la mise en œuvre du Protocole, y compris leurs stratégies et plans d</w:t>
      </w:r>
      <w:r w:rsidR="004645B4" w:rsidRPr="00704084">
        <w:rPr>
          <w:kern w:val="22"/>
          <w:lang w:val="fr-FR"/>
        </w:rPr>
        <w:t>’</w:t>
      </w:r>
      <w:r w:rsidR="00A91C51" w:rsidRPr="00704084">
        <w:rPr>
          <w:kern w:val="22"/>
          <w:lang w:val="fr-FR"/>
        </w:rPr>
        <w:t>action nationaux</w:t>
      </w:r>
      <w:r w:rsidR="00597279">
        <w:rPr>
          <w:kern w:val="22"/>
          <w:lang w:val="fr-FR"/>
        </w:rPr>
        <w:t xml:space="preserve"> pour la </w:t>
      </w:r>
      <w:r w:rsidR="00724AAB">
        <w:rPr>
          <w:kern w:val="22"/>
          <w:lang w:val="fr-FR"/>
        </w:rPr>
        <w:t>diversité</w:t>
      </w:r>
      <w:r w:rsidR="00597279">
        <w:rPr>
          <w:kern w:val="22"/>
          <w:lang w:val="fr-FR"/>
        </w:rPr>
        <w:t xml:space="preserve"> biologique</w:t>
      </w:r>
      <w:r w:rsidR="00724AAB">
        <w:rPr>
          <w:kern w:val="22"/>
          <w:lang w:val="fr-FR"/>
        </w:rPr>
        <w:t>, avec le P</w:t>
      </w:r>
      <w:r w:rsidR="00A91C51" w:rsidRPr="00704084">
        <w:rPr>
          <w:kern w:val="22"/>
          <w:lang w:val="fr-FR"/>
        </w:rPr>
        <w:t>lan d</w:t>
      </w:r>
      <w:r w:rsidR="004645B4" w:rsidRPr="00704084">
        <w:rPr>
          <w:kern w:val="22"/>
          <w:lang w:val="fr-FR"/>
        </w:rPr>
        <w:t>’</w:t>
      </w:r>
      <w:r w:rsidR="00A91C51" w:rsidRPr="00704084">
        <w:rPr>
          <w:kern w:val="22"/>
          <w:lang w:val="fr-FR"/>
        </w:rPr>
        <w:t xml:space="preserve">action pour le renforcement des </w:t>
      </w:r>
      <w:r w:rsidR="003D27B5" w:rsidRPr="00704084">
        <w:rPr>
          <w:kern w:val="22"/>
          <w:lang w:val="fr-FR"/>
        </w:rPr>
        <w:t>capacités</w:t>
      </w:r>
      <w:r w:rsidR="00C96D21">
        <w:rPr>
          <w:rFonts w:asciiTheme="majorBidi" w:hAnsiTheme="majorBidi" w:cstheme="majorBidi"/>
          <w:lang w:val="fr-FR"/>
        </w:rPr>
        <w:t>;</w:t>
      </w:r>
    </w:p>
    <w:p w14:paraId="131FA838" w14:textId="6BB2936C" w:rsidR="00633D52" w:rsidRPr="00704084" w:rsidRDefault="00196812" w:rsidP="0073776F">
      <w:pPr>
        <w:spacing w:before="120" w:after="120"/>
        <w:ind w:firstLine="720"/>
        <w:rPr>
          <w:rFonts w:asciiTheme="majorBidi" w:hAnsiTheme="majorBidi" w:cstheme="majorBidi"/>
          <w:szCs w:val="22"/>
          <w:lang w:val="fr-FR"/>
        </w:rPr>
      </w:pPr>
      <w:r w:rsidRPr="00704084">
        <w:rPr>
          <w:rFonts w:asciiTheme="majorBidi" w:hAnsiTheme="majorBidi" w:cstheme="majorBidi"/>
          <w:szCs w:val="22"/>
          <w:lang w:val="fr-FR"/>
        </w:rPr>
        <w:t>5</w:t>
      </w:r>
      <w:r w:rsidR="0073776F" w:rsidRPr="00704084">
        <w:rPr>
          <w:rFonts w:asciiTheme="majorBidi" w:hAnsiTheme="majorBidi" w:cstheme="majorBidi"/>
          <w:szCs w:val="22"/>
          <w:lang w:val="fr-FR"/>
        </w:rPr>
        <w:t>.</w:t>
      </w:r>
      <w:r w:rsidR="0073776F" w:rsidRPr="00704084">
        <w:rPr>
          <w:rFonts w:asciiTheme="majorBidi" w:hAnsiTheme="majorBidi" w:cstheme="majorBidi"/>
          <w:szCs w:val="22"/>
          <w:lang w:val="fr-FR"/>
        </w:rPr>
        <w:tab/>
      </w:r>
      <w:r w:rsidR="0073776F" w:rsidRPr="00704084">
        <w:rPr>
          <w:i/>
          <w:iCs/>
          <w:kern w:val="22"/>
          <w:lang w:val="fr-FR"/>
        </w:rPr>
        <w:t xml:space="preserve">Décide </w:t>
      </w:r>
      <w:r w:rsidR="0073776F" w:rsidRPr="00704084">
        <w:rPr>
          <w:kern w:val="22"/>
          <w:lang w:val="fr-FR"/>
        </w:rPr>
        <w:t>que le</w:t>
      </w:r>
      <w:r w:rsidR="00724AAB">
        <w:rPr>
          <w:kern w:val="22"/>
          <w:lang w:val="fr-FR"/>
        </w:rPr>
        <w:t>s données de référence du P</w:t>
      </w:r>
      <w:r w:rsidR="0073776F" w:rsidRPr="00704084">
        <w:rPr>
          <w:kern w:val="22"/>
          <w:lang w:val="fr-FR"/>
        </w:rPr>
        <w:t>lan d</w:t>
      </w:r>
      <w:r w:rsidR="004645B4" w:rsidRPr="00704084">
        <w:rPr>
          <w:kern w:val="22"/>
          <w:lang w:val="fr-FR"/>
        </w:rPr>
        <w:t>’</w:t>
      </w:r>
      <w:r w:rsidR="0073776F" w:rsidRPr="00704084">
        <w:rPr>
          <w:kern w:val="22"/>
          <w:lang w:val="fr-FR"/>
        </w:rPr>
        <w:t>action pour le renforcem</w:t>
      </w:r>
      <w:r w:rsidR="00724AAB">
        <w:rPr>
          <w:kern w:val="22"/>
          <w:lang w:val="fr-FR"/>
        </w:rPr>
        <w:t>ent des capacités comprendront l</w:t>
      </w:r>
      <w:r w:rsidR="0073776F" w:rsidRPr="00704084">
        <w:rPr>
          <w:kern w:val="22"/>
          <w:lang w:val="fr-FR"/>
        </w:rPr>
        <w:t>es informations recueillies au cours du quatrième cycle d</w:t>
      </w:r>
      <w:r w:rsidR="004645B4" w:rsidRPr="00704084">
        <w:rPr>
          <w:kern w:val="22"/>
          <w:lang w:val="fr-FR"/>
        </w:rPr>
        <w:t>’</w:t>
      </w:r>
      <w:r w:rsidR="0073776F" w:rsidRPr="00704084">
        <w:rPr>
          <w:kern w:val="22"/>
          <w:lang w:val="fr-FR"/>
        </w:rPr>
        <w:t xml:space="preserve">établissement des </w:t>
      </w:r>
      <w:r w:rsidR="00724AAB">
        <w:rPr>
          <w:kern w:val="22"/>
          <w:lang w:val="fr-FR"/>
        </w:rPr>
        <w:t>rapports</w:t>
      </w:r>
      <w:r w:rsidR="0073776F" w:rsidRPr="00704084">
        <w:rPr>
          <w:rStyle w:val="FootnoteReference"/>
          <w:rFonts w:asciiTheme="majorBidi" w:hAnsiTheme="majorBidi" w:cstheme="majorBidi"/>
          <w:szCs w:val="22"/>
          <w:lang w:val="fr-FR"/>
        </w:rPr>
        <w:footnoteReference w:id="3"/>
      </w:r>
      <w:r w:rsidR="00724AAB">
        <w:rPr>
          <w:kern w:val="22"/>
          <w:lang w:val="fr-FR"/>
        </w:rPr>
        <w:t>;</w:t>
      </w:r>
      <w:r w:rsidR="0073776F" w:rsidRPr="00704084">
        <w:rPr>
          <w:kern w:val="22"/>
          <w:lang w:val="fr-FR"/>
        </w:rPr>
        <w:t xml:space="preserve"> </w:t>
      </w:r>
    </w:p>
    <w:p w14:paraId="131FA839" w14:textId="0F7DC786" w:rsidR="00633D52" w:rsidRPr="00704084" w:rsidRDefault="00196812" w:rsidP="00633D52">
      <w:pPr>
        <w:spacing w:before="120" w:after="120"/>
        <w:ind w:firstLine="720"/>
        <w:rPr>
          <w:rFonts w:asciiTheme="majorBidi" w:hAnsiTheme="majorBidi" w:cstheme="majorBidi"/>
          <w:lang w:val="fr-FR"/>
        </w:rPr>
      </w:pPr>
      <w:r w:rsidRPr="00704084">
        <w:rPr>
          <w:rFonts w:asciiTheme="majorBidi" w:hAnsiTheme="majorBidi" w:cstheme="majorBidi"/>
          <w:szCs w:val="22"/>
          <w:lang w:val="fr-FR"/>
        </w:rPr>
        <w:t>6</w:t>
      </w:r>
      <w:r w:rsidR="00633D52" w:rsidRPr="00704084">
        <w:rPr>
          <w:rFonts w:asciiTheme="majorBidi" w:hAnsiTheme="majorBidi" w:cstheme="majorBidi"/>
          <w:szCs w:val="22"/>
          <w:lang w:val="fr-FR"/>
        </w:rPr>
        <w:t>.</w:t>
      </w:r>
      <w:r w:rsidR="00633D52" w:rsidRPr="00704084">
        <w:rPr>
          <w:rFonts w:asciiTheme="majorBidi" w:hAnsiTheme="majorBidi" w:cstheme="majorBidi"/>
          <w:i/>
          <w:szCs w:val="22"/>
          <w:lang w:val="fr-FR"/>
        </w:rPr>
        <w:tab/>
      </w:r>
      <w:r w:rsidR="00697202" w:rsidRPr="00704084">
        <w:rPr>
          <w:rFonts w:asciiTheme="majorBidi" w:hAnsiTheme="majorBidi" w:cstheme="majorBidi"/>
          <w:i/>
          <w:szCs w:val="22"/>
          <w:lang w:val="fr-FR"/>
        </w:rPr>
        <w:t xml:space="preserve">Décide également </w:t>
      </w:r>
      <w:r w:rsidR="00697202" w:rsidRPr="00704084">
        <w:rPr>
          <w:rFonts w:asciiTheme="majorBidi" w:hAnsiTheme="majorBidi" w:cstheme="majorBidi"/>
          <w:szCs w:val="22"/>
          <w:lang w:val="fr-FR"/>
        </w:rPr>
        <w:t>d</w:t>
      </w:r>
      <w:r w:rsidR="004645B4" w:rsidRPr="00704084">
        <w:rPr>
          <w:rFonts w:asciiTheme="majorBidi" w:hAnsiTheme="majorBidi" w:cstheme="majorBidi"/>
          <w:szCs w:val="22"/>
          <w:lang w:val="fr-FR"/>
        </w:rPr>
        <w:t>’</w:t>
      </w:r>
      <w:r w:rsidR="00697202" w:rsidRPr="00704084">
        <w:rPr>
          <w:rFonts w:asciiTheme="majorBidi" w:hAnsiTheme="majorBidi" w:cstheme="majorBidi"/>
          <w:szCs w:val="22"/>
          <w:lang w:val="fr-FR"/>
        </w:rPr>
        <w:t>entreprendre une évaluation à mi</w:t>
      </w:r>
      <w:r w:rsidR="004645B4" w:rsidRPr="00704084">
        <w:rPr>
          <w:rFonts w:asciiTheme="majorBidi" w:hAnsiTheme="majorBidi" w:cstheme="majorBidi"/>
          <w:szCs w:val="22"/>
          <w:lang w:val="fr-FR"/>
        </w:rPr>
        <w:noBreakHyphen/>
      </w:r>
      <w:r w:rsidR="00724AAB">
        <w:rPr>
          <w:rFonts w:asciiTheme="majorBidi" w:hAnsiTheme="majorBidi" w:cstheme="majorBidi"/>
          <w:szCs w:val="22"/>
          <w:lang w:val="fr-FR"/>
        </w:rPr>
        <w:t>parcours du P</w:t>
      </w:r>
      <w:r w:rsidR="00697202" w:rsidRPr="00704084">
        <w:rPr>
          <w:rFonts w:asciiTheme="majorBidi" w:hAnsiTheme="majorBidi" w:cstheme="majorBidi"/>
          <w:szCs w:val="22"/>
          <w:lang w:val="fr-FR"/>
        </w:rPr>
        <w:t>lan d</w:t>
      </w:r>
      <w:r w:rsidR="004645B4" w:rsidRPr="00704084">
        <w:rPr>
          <w:rFonts w:asciiTheme="majorBidi" w:hAnsiTheme="majorBidi" w:cstheme="majorBidi"/>
          <w:szCs w:val="22"/>
          <w:lang w:val="fr-FR"/>
        </w:rPr>
        <w:t>’</w:t>
      </w:r>
      <w:r w:rsidR="00697202" w:rsidRPr="00704084">
        <w:rPr>
          <w:rFonts w:asciiTheme="majorBidi" w:hAnsiTheme="majorBidi" w:cstheme="majorBidi"/>
          <w:szCs w:val="22"/>
          <w:lang w:val="fr-FR"/>
        </w:rPr>
        <w:t>action pour le renforcement des capacités en même temps que l</w:t>
      </w:r>
      <w:r w:rsidR="004645B4" w:rsidRPr="00704084">
        <w:rPr>
          <w:rFonts w:asciiTheme="majorBidi" w:hAnsiTheme="majorBidi" w:cstheme="majorBidi"/>
          <w:szCs w:val="22"/>
          <w:lang w:val="fr-FR"/>
        </w:rPr>
        <w:t>’</w:t>
      </w:r>
      <w:r w:rsidR="00697202" w:rsidRPr="00704084">
        <w:rPr>
          <w:rFonts w:asciiTheme="majorBidi" w:hAnsiTheme="majorBidi" w:cstheme="majorBidi"/>
          <w:szCs w:val="22"/>
          <w:lang w:val="fr-FR"/>
        </w:rPr>
        <w:t>évaluation à mi</w:t>
      </w:r>
      <w:r w:rsidR="004645B4" w:rsidRPr="00704084">
        <w:rPr>
          <w:rFonts w:asciiTheme="majorBidi" w:hAnsiTheme="majorBidi" w:cstheme="majorBidi"/>
          <w:szCs w:val="22"/>
          <w:lang w:val="fr-FR"/>
        </w:rPr>
        <w:noBreakHyphen/>
      </w:r>
      <w:r w:rsidR="00724AAB">
        <w:rPr>
          <w:rFonts w:asciiTheme="majorBidi" w:hAnsiTheme="majorBidi" w:cstheme="majorBidi"/>
          <w:szCs w:val="22"/>
          <w:lang w:val="fr-FR"/>
        </w:rPr>
        <w:t>parcours du P</w:t>
      </w:r>
      <w:r w:rsidR="00697202" w:rsidRPr="00704084">
        <w:rPr>
          <w:rFonts w:asciiTheme="majorBidi" w:hAnsiTheme="majorBidi" w:cstheme="majorBidi"/>
          <w:szCs w:val="22"/>
          <w:lang w:val="fr-FR"/>
        </w:rPr>
        <w:t xml:space="preserve">lan de mise en </w:t>
      </w:r>
      <w:r w:rsidR="003D27B5" w:rsidRPr="00704084">
        <w:rPr>
          <w:rFonts w:asciiTheme="majorBidi" w:hAnsiTheme="majorBidi" w:cstheme="majorBidi"/>
          <w:szCs w:val="22"/>
          <w:lang w:val="fr-FR"/>
        </w:rPr>
        <w:t>œuvre</w:t>
      </w:r>
      <w:r w:rsidR="00724AAB" w:rsidRPr="00724AAB">
        <w:rPr>
          <w:rFonts w:asciiTheme="majorBidi" w:hAnsiTheme="majorBidi" w:cstheme="majorBidi"/>
          <w:iCs/>
          <w:lang w:val="fr-FR"/>
        </w:rPr>
        <w:t xml:space="preserve"> </w:t>
      </w:r>
      <w:r w:rsidR="00724AAB">
        <w:rPr>
          <w:rFonts w:asciiTheme="majorBidi" w:hAnsiTheme="majorBidi" w:cstheme="majorBidi"/>
          <w:iCs/>
          <w:lang w:val="fr-FR"/>
        </w:rPr>
        <w:t xml:space="preserve">du </w:t>
      </w:r>
      <w:r w:rsidR="00724AAB">
        <w:rPr>
          <w:rFonts w:asciiTheme="majorBidi" w:hAnsiTheme="majorBidi" w:cstheme="majorBidi"/>
          <w:lang w:val="fr-CA"/>
        </w:rPr>
        <w:t xml:space="preserve">Protocole de Cartagena </w:t>
      </w:r>
      <w:r w:rsidR="00724AAB">
        <w:rPr>
          <w:kern w:val="22"/>
          <w:lang w:val="fr-FR"/>
        </w:rPr>
        <w:t>sur la prévention des risques biotechnologiques;</w:t>
      </w:r>
    </w:p>
    <w:p w14:paraId="131FA83A" w14:textId="0FA5202F" w:rsidR="00633D52" w:rsidRPr="00704084" w:rsidRDefault="00196812" w:rsidP="00633D52">
      <w:pPr>
        <w:spacing w:before="120" w:after="120"/>
        <w:ind w:firstLine="720"/>
        <w:rPr>
          <w:rFonts w:asciiTheme="majorBidi" w:hAnsiTheme="majorBidi" w:cstheme="majorBidi"/>
          <w:lang w:val="fr-FR"/>
        </w:rPr>
      </w:pPr>
      <w:r w:rsidRPr="00704084">
        <w:rPr>
          <w:rFonts w:asciiTheme="majorBidi" w:hAnsiTheme="majorBidi" w:cstheme="majorBidi"/>
          <w:lang w:val="fr-FR"/>
        </w:rPr>
        <w:t>7</w:t>
      </w:r>
      <w:r w:rsidR="00633D52" w:rsidRPr="00704084">
        <w:rPr>
          <w:rFonts w:asciiTheme="majorBidi" w:hAnsiTheme="majorBidi" w:cstheme="majorBidi"/>
          <w:lang w:val="fr-FR"/>
        </w:rPr>
        <w:t>.</w:t>
      </w:r>
      <w:r w:rsidR="00633D52" w:rsidRPr="00704084">
        <w:rPr>
          <w:rFonts w:asciiTheme="majorBidi" w:hAnsiTheme="majorBidi" w:cstheme="majorBidi"/>
          <w:lang w:val="fr-FR"/>
        </w:rPr>
        <w:tab/>
      </w:r>
      <w:r w:rsidR="00697202" w:rsidRPr="00704084">
        <w:rPr>
          <w:rFonts w:asciiTheme="majorBidi" w:hAnsiTheme="majorBidi" w:cstheme="majorBidi"/>
          <w:i/>
          <w:lang w:val="fr-FR"/>
        </w:rPr>
        <w:t>Encourage</w:t>
      </w:r>
      <w:r w:rsidR="00597279">
        <w:rPr>
          <w:rFonts w:asciiTheme="majorBidi" w:hAnsiTheme="majorBidi" w:cstheme="majorBidi"/>
          <w:lang w:val="fr-FR"/>
        </w:rPr>
        <w:t xml:space="preserve"> les Parties, par le biais</w:t>
      </w:r>
      <w:r w:rsidR="00697202" w:rsidRPr="00704084">
        <w:rPr>
          <w:rFonts w:asciiTheme="majorBidi" w:hAnsiTheme="majorBidi" w:cstheme="majorBidi"/>
          <w:lang w:val="fr-FR"/>
        </w:rPr>
        <w:t xml:space="preserve"> de leurs autorités nationales compétentes, à </w:t>
      </w:r>
      <w:r w:rsidR="00597279">
        <w:rPr>
          <w:rFonts w:asciiTheme="majorBidi" w:hAnsiTheme="majorBidi" w:cstheme="majorBidi"/>
          <w:lang w:val="fr-FR"/>
        </w:rPr>
        <w:t>identifier les acteurs concerné</w:t>
      </w:r>
      <w:r w:rsidR="00E23678">
        <w:rPr>
          <w:rFonts w:asciiTheme="majorBidi" w:hAnsiTheme="majorBidi" w:cstheme="majorBidi"/>
          <w:lang w:val="fr-FR"/>
        </w:rPr>
        <w:t xml:space="preserve">s pour </w:t>
      </w:r>
      <w:r w:rsidR="00D7198D">
        <w:rPr>
          <w:rFonts w:asciiTheme="majorBidi" w:hAnsiTheme="majorBidi" w:cstheme="majorBidi"/>
          <w:lang w:val="fr-FR"/>
        </w:rPr>
        <w:t>appuyer la mise en œuvre du P</w:t>
      </w:r>
      <w:r w:rsidR="00697202" w:rsidRPr="00704084">
        <w:rPr>
          <w:rFonts w:asciiTheme="majorBidi" w:hAnsiTheme="majorBidi" w:cstheme="majorBidi"/>
          <w:lang w:val="fr-FR"/>
        </w:rPr>
        <w:t>lan d</w:t>
      </w:r>
      <w:r w:rsidR="004645B4" w:rsidRPr="00704084">
        <w:rPr>
          <w:rFonts w:asciiTheme="majorBidi" w:hAnsiTheme="majorBidi" w:cstheme="majorBidi"/>
          <w:lang w:val="fr-FR"/>
        </w:rPr>
        <w:t>’</w:t>
      </w:r>
      <w:r w:rsidR="00D7198D">
        <w:rPr>
          <w:rFonts w:asciiTheme="majorBidi" w:hAnsiTheme="majorBidi" w:cstheme="majorBidi"/>
          <w:lang w:val="fr-FR"/>
        </w:rPr>
        <w:t>action pour le</w:t>
      </w:r>
      <w:r w:rsidR="00697202" w:rsidRPr="00704084">
        <w:rPr>
          <w:rFonts w:asciiTheme="majorBidi" w:hAnsiTheme="majorBidi" w:cstheme="majorBidi"/>
          <w:lang w:val="fr-FR"/>
        </w:rPr>
        <w:t xml:space="preserve"> renforcement des capacités</w:t>
      </w:r>
      <w:r w:rsidRPr="00704084">
        <w:rPr>
          <w:rFonts w:asciiTheme="majorBidi" w:hAnsiTheme="majorBidi" w:cstheme="majorBidi"/>
          <w:lang w:val="fr-FR"/>
        </w:rPr>
        <w:t xml:space="preserve">, selon qu’il convient, </w:t>
      </w:r>
      <w:r w:rsidR="00D7198D">
        <w:rPr>
          <w:rFonts w:asciiTheme="majorBidi" w:hAnsiTheme="majorBidi" w:cstheme="majorBidi"/>
          <w:lang w:val="fr-FR"/>
        </w:rPr>
        <w:t xml:space="preserve">en </w:t>
      </w:r>
      <w:r w:rsidR="00697202" w:rsidRPr="00D7198D">
        <w:rPr>
          <w:rFonts w:asciiTheme="majorBidi" w:hAnsiTheme="majorBidi" w:cstheme="majorBidi"/>
          <w:lang w:val="fr-FR"/>
        </w:rPr>
        <w:t>prenant note</w:t>
      </w:r>
      <w:r w:rsidR="00597279">
        <w:rPr>
          <w:rFonts w:asciiTheme="majorBidi" w:hAnsiTheme="majorBidi" w:cstheme="majorBidi"/>
          <w:lang w:val="fr-FR"/>
        </w:rPr>
        <w:t xml:space="preserve"> de l’importance</w:t>
      </w:r>
      <w:r w:rsidR="00697202" w:rsidRPr="00704084">
        <w:rPr>
          <w:rFonts w:asciiTheme="majorBidi" w:hAnsiTheme="majorBidi" w:cstheme="majorBidi"/>
          <w:lang w:val="fr-FR"/>
        </w:rPr>
        <w:t xml:space="preserve"> d</w:t>
      </w:r>
      <w:r w:rsidR="004645B4" w:rsidRPr="00704084">
        <w:rPr>
          <w:rFonts w:asciiTheme="majorBidi" w:hAnsiTheme="majorBidi" w:cstheme="majorBidi"/>
          <w:lang w:val="fr-FR"/>
        </w:rPr>
        <w:t>’</w:t>
      </w:r>
      <w:r w:rsidR="00697202" w:rsidRPr="00704084">
        <w:rPr>
          <w:rFonts w:asciiTheme="majorBidi" w:hAnsiTheme="majorBidi" w:cstheme="majorBidi"/>
          <w:lang w:val="fr-FR"/>
        </w:rPr>
        <w:t>éviter et de gérer les conflits d</w:t>
      </w:r>
      <w:r w:rsidR="004645B4" w:rsidRPr="00704084">
        <w:rPr>
          <w:rFonts w:asciiTheme="majorBidi" w:hAnsiTheme="majorBidi" w:cstheme="majorBidi"/>
          <w:lang w:val="fr-FR"/>
        </w:rPr>
        <w:t>’</w:t>
      </w:r>
      <w:r w:rsidR="00697202" w:rsidRPr="00704084">
        <w:rPr>
          <w:rFonts w:asciiTheme="majorBidi" w:hAnsiTheme="majorBidi" w:cstheme="majorBidi"/>
          <w:lang w:val="fr-FR"/>
        </w:rPr>
        <w:t>intérêts</w:t>
      </w:r>
      <w:r w:rsidRPr="00704084">
        <w:rPr>
          <w:rFonts w:asciiTheme="majorBidi" w:hAnsiTheme="majorBidi" w:cstheme="majorBidi"/>
          <w:lang w:val="fr-FR"/>
        </w:rPr>
        <w:t>,</w:t>
      </w:r>
      <w:r w:rsidR="00597279">
        <w:rPr>
          <w:rFonts w:asciiTheme="majorBidi" w:hAnsiTheme="majorBidi" w:cstheme="majorBidi"/>
          <w:lang w:val="fr-FR"/>
        </w:rPr>
        <w:t xml:space="preserve"> conformément aux dispositions de </w:t>
      </w:r>
      <w:r w:rsidR="00697202" w:rsidRPr="00704084">
        <w:rPr>
          <w:rFonts w:asciiTheme="majorBidi" w:hAnsiTheme="majorBidi" w:cstheme="majorBidi"/>
          <w:lang w:val="fr-FR"/>
        </w:rPr>
        <w:t xml:space="preserve">la législation </w:t>
      </w:r>
      <w:r w:rsidRPr="00704084">
        <w:rPr>
          <w:rFonts w:asciiTheme="majorBidi" w:hAnsiTheme="majorBidi" w:cstheme="majorBidi"/>
          <w:lang w:val="fr-FR"/>
        </w:rPr>
        <w:t>nationale</w:t>
      </w:r>
      <w:r w:rsidR="00697202" w:rsidRPr="00704084">
        <w:rPr>
          <w:rFonts w:asciiTheme="majorBidi" w:hAnsiTheme="majorBidi" w:cstheme="majorBidi"/>
          <w:lang w:val="fr-FR"/>
        </w:rPr>
        <w:t>.</w:t>
      </w:r>
    </w:p>
    <w:p w14:paraId="131FA83B" w14:textId="77777777" w:rsidR="003624BC" w:rsidRPr="00704084" w:rsidRDefault="003624BC" w:rsidP="003624BC">
      <w:pPr>
        <w:spacing w:before="120" w:after="120"/>
        <w:rPr>
          <w:rFonts w:asciiTheme="majorBidi" w:hAnsiTheme="majorBidi" w:cstheme="majorBidi"/>
          <w:lang w:val="fr-FR"/>
        </w:rPr>
      </w:pPr>
      <w:r w:rsidRPr="00704084">
        <w:rPr>
          <w:rFonts w:asciiTheme="majorBidi" w:hAnsiTheme="majorBidi" w:cstheme="majorBidi"/>
          <w:lang w:val="fr-FR"/>
        </w:rPr>
        <w:br w:type="page"/>
      </w:r>
    </w:p>
    <w:p w14:paraId="131FA83C" w14:textId="56AAEF24" w:rsidR="00633D52" w:rsidRPr="00AB2BEB" w:rsidRDefault="00633D52" w:rsidP="006A6FCE">
      <w:pPr>
        <w:spacing w:before="120" w:after="240"/>
        <w:jc w:val="center"/>
        <w:outlineLvl w:val="2"/>
        <w:rPr>
          <w:i/>
          <w:iCs/>
          <w:szCs w:val="22"/>
          <w:lang w:val="fr-FR"/>
        </w:rPr>
      </w:pPr>
      <w:bookmarkStart w:id="0" w:name="_Toc118383063"/>
      <w:r w:rsidRPr="00AB2BEB">
        <w:rPr>
          <w:i/>
          <w:iCs/>
          <w:szCs w:val="22"/>
          <w:lang w:val="fr-FR"/>
        </w:rPr>
        <w:lastRenderedPageBreak/>
        <w:t>Annex</w:t>
      </w:r>
      <w:bookmarkEnd w:id="0"/>
      <w:r w:rsidR="0006402A" w:rsidRPr="00AB2BEB">
        <w:rPr>
          <w:i/>
          <w:iCs/>
          <w:szCs w:val="22"/>
          <w:lang w:val="fr-FR"/>
        </w:rPr>
        <w:t>e </w:t>
      </w:r>
    </w:p>
    <w:p w14:paraId="131FA83D" w14:textId="52250745" w:rsidR="00633D52" w:rsidRPr="00AB2BEB" w:rsidRDefault="0006402A" w:rsidP="006A6FCE">
      <w:pPr>
        <w:spacing w:before="120" w:after="360"/>
        <w:jc w:val="center"/>
        <w:outlineLvl w:val="2"/>
        <w:rPr>
          <w:b/>
          <w:szCs w:val="22"/>
          <w:lang w:val="fr-FR"/>
        </w:rPr>
      </w:pPr>
      <w:r w:rsidRPr="00AB2BEB">
        <w:rPr>
          <w:b/>
          <w:bCs/>
          <w:kern w:val="22"/>
          <w:szCs w:val="22"/>
          <w:lang w:val="fr-FR"/>
        </w:rPr>
        <w:t>PLAN D</w:t>
      </w:r>
      <w:r w:rsidR="004645B4" w:rsidRPr="00AB2BEB">
        <w:rPr>
          <w:b/>
          <w:bCs/>
          <w:kern w:val="22"/>
          <w:szCs w:val="22"/>
          <w:lang w:val="fr-FR"/>
        </w:rPr>
        <w:t>’</w:t>
      </w:r>
      <w:r w:rsidRPr="00AB2BEB">
        <w:rPr>
          <w:b/>
          <w:bCs/>
          <w:kern w:val="22"/>
          <w:szCs w:val="22"/>
          <w:lang w:val="fr-FR"/>
        </w:rPr>
        <w:t>ACTION POUR LE RENFORCEMENT DES CAPACITÉS DU PROTOCOLE DE CARTAGENA SUR LA PRÉVENTION DES RISQUES BIOTECHNOLOGIQUES</w:t>
      </w:r>
    </w:p>
    <w:p w14:paraId="131FA83E" w14:textId="64DDA3BF" w:rsidR="00633D52" w:rsidRPr="00AB2BEB" w:rsidRDefault="00633D52" w:rsidP="00633D52">
      <w:pPr>
        <w:tabs>
          <w:tab w:val="left" w:pos="993"/>
        </w:tabs>
        <w:spacing w:before="120" w:after="120"/>
        <w:jc w:val="center"/>
        <w:rPr>
          <w:b/>
          <w:szCs w:val="22"/>
          <w:lang w:val="fr-FR"/>
        </w:rPr>
      </w:pPr>
      <w:r w:rsidRPr="00AB2BEB">
        <w:rPr>
          <w:b/>
          <w:szCs w:val="22"/>
          <w:lang w:val="fr-FR"/>
        </w:rPr>
        <w:t>I.</w:t>
      </w:r>
      <w:r w:rsidRPr="00AB2BEB">
        <w:rPr>
          <w:b/>
          <w:szCs w:val="22"/>
          <w:lang w:val="fr-FR"/>
        </w:rPr>
        <w:tab/>
      </w:r>
      <w:r w:rsidR="006A6FCE">
        <w:rPr>
          <w:b/>
          <w:bCs/>
          <w:kern w:val="22"/>
          <w:szCs w:val="22"/>
          <w:lang w:val="fr-FR"/>
        </w:rPr>
        <w:t>BUT</w:t>
      </w:r>
      <w:r w:rsidR="0006402A" w:rsidRPr="00AB2BEB">
        <w:rPr>
          <w:b/>
          <w:bCs/>
          <w:kern w:val="22"/>
          <w:szCs w:val="22"/>
          <w:lang w:val="fr-FR"/>
        </w:rPr>
        <w:t xml:space="preserve"> DU PLAN D</w:t>
      </w:r>
      <w:r w:rsidR="004645B4" w:rsidRPr="00AB2BEB">
        <w:rPr>
          <w:b/>
          <w:bCs/>
          <w:kern w:val="22"/>
          <w:szCs w:val="22"/>
          <w:lang w:val="fr-FR"/>
        </w:rPr>
        <w:t>’</w:t>
      </w:r>
      <w:r w:rsidR="0006402A" w:rsidRPr="00AB2BEB">
        <w:rPr>
          <w:b/>
          <w:bCs/>
          <w:kern w:val="22"/>
          <w:szCs w:val="22"/>
          <w:lang w:val="fr-FR"/>
        </w:rPr>
        <w:t>ACTION POUR LE RENFORCEMENT DES CAPACITÉS</w:t>
      </w:r>
    </w:p>
    <w:p w14:paraId="3608D0E0" w14:textId="2664236C" w:rsidR="00B7742C" w:rsidRPr="00AB2BEB" w:rsidRDefault="006A6FCE" w:rsidP="00274B14">
      <w:pPr>
        <w:numPr>
          <w:ilvl w:val="0"/>
          <w:numId w:val="21"/>
        </w:numPr>
        <w:spacing w:before="120" w:after="120"/>
        <w:ind w:left="0" w:firstLine="0"/>
        <w:rPr>
          <w:szCs w:val="22"/>
          <w:lang w:val="fr-FR"/>
        </w:rPr>
      </w:pPr>
      <w:r>
        <w:rPr>
          <w:kern w:val="22"/>
          <w:szCs w:val="22"/>
          <w:lang w:val="fr-FR"/>
        </w:rPr>
        <w:t>Le P</w:t>
      </w:r>
      <w:r w:rsidR="00BA7999" w:rsidRPr="00AB2BEB">
        <w:rPr>
          <w:kern w:val="22"/>
          <w:szCs w:val="22"/>
          <w:lang w:val="fr-FR"/>
        </w:rPr>
        <w:t>lan d</w:t>
      </w:r>
      <w:r w:rsidR="004645B4" w:rsidRPr="00AB2BEB">
        <w:rPr>
          <w:kern w:val="22"/>
          <w:szCs w:val="22"/>
          <w:lang w:val="fr-FR"/>
        </w:rPr>
        <w:t>’</w:t>
      </w:r>
      <w:r w:rsidR="00BA7999" w:rsidRPr="00AB2BEB">
        <w:rPr>
          <w:kern w:val="22"/>
          <w:szCs w:val="22"/>
          <w:lang w:val="fr-FR"/>
        </w:rPr>
        <w:t xml:space="preserve">action pour le renforcement des capacités </w:t>
      </w:r>
      <w:r>
        <w:rPr>
          <w:rFonts w:asciiTheme="majorBidi" w:hAnsiTheme="majorBidi" w:cstheme="majorBidi"/>
          <w:iCs/>
          <w:lang w:val="fr-FR"/>
        </w:rPr>
        <w:t xml:space="preserve">du </w:t>
      </w:r>
      <w:r>
        <w:rPr>
          <w:rFonts w:asciiTheme="majorBidi" w:hAnsiTheme="majorBidi" w:cstheme="majorBidi"/>
          <w:lang w:val="fr-CA"/>
        </w:rPr>
        <w:t xml:space="preserve">Protocole de Cartagena </w:t>
      </w:r>
      <w:r>
        <w:rPr>
          <w:kern w:val="22"/>
          <w:lang w:val="fr-FR"/>
        </w:rPr>
        <w:t>sur la prévention des risques biotechnologiques</w:t>
      </w:r>
      <w:r w:rsidRPr="00AB2BEB">
        <w:rPr>
          <w:kern w:val="22"/>
          <w:szCs w:val="22"/>
          <w:lang w:val="fr-FR"/>
        </w:rPr>
        <w:t xml:space="preserve"> </w:t>
      </w:r>
      <w:r>
        <w:rPr>
          <w:kern w:val="22"/>
          <w:szCs w:val="22"/>
          <w:lang w:val="fr-FR"/>
        </w:rPr>
        <w:t>(ci-après « Plan d’action pour le renforcement des capacités ») vise à</w:t>
      </w:r>
      <w:r w:rsidR="00BA7999" w:rsidRPr="00AB2BEB">
        <w:rPr>
          <w:kern w:val="22"/>
          <w:szCs w:val="22"/>
          <w:lang w:val="fr-FR"/>
        </w:rPr>
        <w:t xml:space="preserve"> faciliter la création de capacités et le renforcement des capacités des Parties à appliquer le Protocole : a) en identifiant les </w:t>
      </w:r>
      <w:r w:rsidR="00293E22">
        <w:rPr>
          <w:kern w:val="22"/>
          <w:szCs w:val="22"/>
          <w:lang w:val="fr-FR"/>
        </w:rPr>
        <w:t>domaines clés pour le renfor</w:t>
      </w:r>
      <w:r w:rsidR="00BA7999" w:rsidRPr="00AB2BEB">
        <w:rPr>
          <w:kern w:val="22"/>
          <w:szCs w:val="22"/>
          <w:lang w:val="fr-FR"/>
        </w:rPr>
        <w:t xml:space="preserve">cement des capacités </w:t>
      </w:r>
      <w:r>
        <w:rPr>
          <w:kern w:val="22"/>
          <w:szCs w:val="22"/>
          <w:lang w:val="fr-FR"/>
        </w:rPr>
        <w:t>liés aux différents buts du P</w:t>
      </w:r>
      <w:r w:rsidR="00BA7999" w:rsidRPr="00AB2BEB">
        <w:rPr>
          <w:kern w:val="22"/>
          <w:szCs w:val="22"/>
          <w:lang w:val="fr-FR"/>
        </w:rPr>
        <w:t>lan de mise en œuvre</w:t>
      </w:r>
      <w:r w:rsidRPr="006A6FCE">
        <w:rPr>
          <w:rFonts w:asciiTheme="majorBidi" w:hAnsiTheme="majorBidi" w:cstheme="majorBidi"/>
          <w:iCs/>
          <w:lang w:val="fr-FR"/>
        </w:rPr>
        <w:t xml:space="preserve"> </w:t>
      </w:r>
      <w:r>
        <w:rPr>
          <w:rFonts w:asciiTheme="majorBidi" w:hAnsiTheme="majorBidi" w:cstheme="majorBidi"/>
          <w:iCs/>
          <w:lang w:val="fr-FR"/>
        </w:rPr>
        <w:t xml:space="preserve">du </w:t>
      </w:r>
      <w:r>
        <w:rPr>
          <w:rFonts w:asciiTheme="majorBidi" w:hAnsiTheme="majorBidi" w:cstheme="majorBidi"/>
          <w:lang w:val="fr-CA"/>
        </w:rPr>
        <w:t xml:space="preserve">Protocole de Cartagena </w:t>
      </w:r>
      <w:r>
        <w:rPr>
          <w:kern w:val="22"/>
          <w:lang w:val="fr-FR"/>
        </w:rPr>
        <w:t>sur la prévention des risques biotechnologiques</w:t>
      </w:r>
      <w:r>
        <w:rPr>
          <w:rStyle w:val="FootnoteReference"/>
          <w:kern w:val="22"/>
          <w:lang w:val="fr-FR"/>
        </w:rPr>
        <w:footnoteReference w:id="4"/>
      </w:r>
      <w:r>
        <w:rPr>
          <w:kern w:val="22"/>
          <w:lang w:val="fr-FR"/>
        </w:rPr>
        <w:t xml:space="preserve"> (ci-après « Plan de mise en œuvre »)</w:t>
      </w:r>
      <w:r w:rsidR="00EE22BE" w:rsidRPr="00AB2BEB">
        <w:rPr>
          <w:kern w:val="22"/>
          <w:szCs w:val="22"/>
          <w:lang w:val="fr-FR"/>
        </w:rPr>
        <w:t>;</w:t>
      </w:r>
      <w:r w:rsidR="00BA7999" w:rsidRPr="00AB2BEB">
        <w:rPr>
          <w:kern w:val="22"/>
          <w:szCs w:val="22"/>
          <w:lang w:val="fr-FR"/>
        </w:rPr>
        <w:t xml:space="preserve"> b) en facilitant la participation des partenaires, y compris des donateurs</w:t>
      </w:r>
      <w:r w:rsidR="00EE22BE" w:rsidRPr="00AB2BEB">
        <w:rPr>
          <w:kern w:val="22"/>
          <w:szCs w:val="22"/>
          <w:lang w:val="fr-FR"/>
        </w:rPr>
        <w:t>;</w:t>
      </w:r>
      <w:r w:rsidR="00BA7999" w:rsidRPr="00AB2BEB">
        <w:rPr>
          <w:kern w:val="22"/>
          <w:szCs w:val="22"/>
          <w:lang w:val="fr-FR"/>
        </w:rPr>
        <w:t xml:space="preserve"> c) en favorisant une approche cohérente et coordonnée en matière de renforcement des capacités pour la mise en œuvre du Protocole</w:t>
      </w:r>
      <w:r w:rsidR="00EE22BE" w:rsidRPr="00AB2BEB">
        <w:rPr>
          <w:kern w:val="22"/>
          <w:szCs w:val="22"/>
          <w:lang w:val="fr-FR"/>
        </w:rPr>
        <w:t>;</w:t>
      </w:r>
      <w:r w:rsidR="00BA7999" w:rsidRPr="00AB2BEB">
        <w:rPr>
          <w:kern w:val="22"/>
          <w:szCs w:val="22"/>
          <w:lang w:val="fr-FR"/>
        </w:rPr>
        <w:t xml:space="preserve"> d) en encourageant la coopération et la coordination rég</w:t>
      </w:r>
      <w:r w:rsidR="00E23678">
        <w:rPr>
          <w:kern w:val="22"/>
          <w:szCs w:val="22"/>
          <w:lang w:val="fr-FR"/>
        </w:rPr>
        <w:t>ionales et internationales. Le P</w:t>
      </w:r>
      <w:r w:rsidR="00BA7999" w:rsidRPr="00AB2BEB">
        <w:rPr>
          <w:kern w:val="22"/>
          <w:szCs w:val="22"/>
          <w:lang w:val="fr-FR"/>
        </w:rPr>
        <w:t>lan d</w:t>
      </w:r>
      <w:r w:rsidR="004645B4" w:rsidRPr="00AB2BEB">
        <w:rPr>
          <w:kern w:val="22"/>
          <w:szCs w:val="22"/>
          <w:lang w:val="fr-FR"/>
        </w:rPr>
        <w:t>’</w:t>
      </w:r>
      <w:r w:rsidR="00BA7999" w:rsidRPr="00AB2BEB">
        <w:rPr>
          <w:kern w:val="22"/>
          <w:szCs w:val="22"/>
          <w:lang w:val="fr-FR"/>
        </w:rPr>
        <w:t>action pour le renforcement des capacités</w:t>
      </w:r>
      <w:r w:rsidR="00E23678">
        <w:rPr>
          <w:kern w:val="22"/>
          <w:szCs w:val="22"/>
          <w:lang w:val="fr-FR"/>
        </w:rPr>
        <w:t xml:space="preserve"> couvre la même période que le P</w:t>
      </w:r>
      <w:r w:rsidR="00BA7999" w:rsidRPr="00AB2BEB">
        <w:rPr>
          <w:kern w:val="22"/>
          <w:szCs w:val="22"/>
          <w:lang w:val="fr-FR"/>
        </w:rPr>
        <w:t xml:space="preserve">lan de mise en œuvre, à savoir, </w:t>
      </w:r>
      <w:r w:rsidR="00914891" w:rsidRPr="00AB2BEB">
        <w:rPr>
          <w:kern w:val="22"/>
          <w:szCs w:val="22"/>
          <w:lang w:val="fr-FR"/>
        </w:rPr>
        <w:t>jusqu’</w:t>
      </w:r>
      <w:r w:rsidR="00E23678">
        <w:rPr>
          <w:kern w:val="22"/>
          <w:szCs w:val="22"/>
          <w:lang w:val="fr-FR"/>
        </w:rPr>
        <w:t>en</w:t>
      </w:r>
      <w:r w:rsidR="00914891" w:rsidRPr="00AB2BEB">
        <w:rPr>
          <w:kern w:val="22"/>
          <w:szCs w:val="22"/>
          <w:lang w:val="fr-FR"/>
        </w:rPr>
        <w:t> </w:t>
      </w:r>
      <w:r w:rsidR="00BA7999" w:rsidRPr="00AB2BEB">
        <w:rPr>
          <w:kern w:val="22"/>
          <w:szCs w:val="22"/>
          <w:lang w:val="fr-FR"/>
        </w:rPr>
        <w:t>2030.</w:t>
      </w:r>
      <w:r w:rsidR="00B7742C" w:rsidRPr="00AB2BEB">
        <w:rPr>
          <w:kern w:val="22"/>
          <w:szCs w:val="22"/>
          <w:lang w:val="fr-FR"/>
        </w:rPr>
        <w:t xml:space="preserve">  </w:t>
      </w:r>
    </w:p>
    <w:p w14:paraId="131FA840" w14:textId="1F617F28" w:rsidR="00633D52" w:rsidRPr="00AB2BEB" w:rsidRDefault="00BA7999" w:rsidP="006A6FCE">
      <w:pPr>
        <w:numPr>
          <w:ilvl w:val="0"/>
          <w:numId w:val="21"/>
        </w:numPr>
        <w:spacing w:before="120" w:after="240"/>
        <w:ind w:left="0" w:firstLine="0"/>
        <w:rPr>
          <w:szCs w:val="22"/>
          <w:lang w:val="fr-FR"/>
        </w:rPr>
      </w:pPr>
      <w:r w:rsidRPr="00AB2BEB">
        <w:rPr>
          <w:kern w:val="22"/>
          <w:szCs w:val="22"/>
          <w:lang w:val="fr-FR"/>
        </w:rPr>
        <w:t>Les Parties, les non</w:t>
      </w:r>
      <w:r w:rsidR="004645B4" w:rsidRPr="00AB2BEB">
        <w:rPr>
          <w:kern w:val="22"/>
          <w:szCs w:val="22"/>
          <w:lang w:val="fr-FR"/>
        </w:rPr>
        <w:noBreakHyphen/>
      </w:r>
      <w:r w:rsidRPr="00AB2BEB">
        <w:rPr>
          <w:kern w:val="22"/>
          <w:szCs w:val="22"/>
          <w:lang w:val="fr-FR"/>
        </w:rPr>
        <w:t>Parties et les parties prenantes de différents secteurs, organisations, peuples autochtones et communautés locales, ainsi que les organismes donateurs, peuvent appuyer la réalisation des activités de renforcement des capacités, y compris c</w:t>
      </w:r>
      <w:r w:rsidR="00E23678">
        <w:rPr>
          <w:kern w:val="22"/>
          <w:szCs w:val="22"/>
          <w:lang w:val="fr-FR"/>
        </w:rPr>
        <w:t>elles décrites dans le P</w:t>
      </w:r>
      <w:r w:rsidRPr="00AB2BEB">
        <w:rPr>
          <w:kern w:val="22"/>
          <w:szCs w:val="22"/>
          <w:lang w:val="fr-FR"/>
        </w:rPr>
        <w:t>lan d</w:t>
      </w:r>
      <w:r w:rsidR="004645B4" w:rsidRPr="00AB2BEB">
        <w:rPr>
          <w:kern w:val="22"/>
          <w:szCs w:val="22"/>
          <w:lang w:val="fr-FR"/>
        </w:rPr>
        <w:t>’</w:t>
      </w:r>
      <w:r w:rsidRPr="00AB2BEB">
        <w:rPr>
          <w:kern w:val="22"/>
          <w:szCs w:val="22"/>
          <w:lang w:val="fr-FR"/>
        </w:rPr>
        <w:t>action pour le renforcement des capacités</w:t>
      </w:r>
      <w:r w:rsidR="00633D52" w:rsidRPr="00AB2BEB">
        <w:rPr>
          <w:szCs w:val="22"/>
          <w:lang w:val="fr-FR"/>
        </w:rPr>
        <w:t>.</w:t>
      </w:r>
    </w:p>
    <w:p w14:paraId="131FA841" w14:textId="2A19D5C4" w:rsidR="00633D52" w:rsidRPr="00AB2BEB" w:rsidRDefault="00633D52" w:rsidP="006A6FCE">
      <w:pPr>
        <w:spacing w:before="120" w:after="120"/>
        <w:ind w:left="1276" w:hanging="709"/>
        <w:jc w:val="left"/>
        <w:rPr>
          <w:b/>
          <w:szCs w:val="22"/>
          <w:lang w:val="fr-FR"/>
        </w:rPr>
      </w:pPr>
      <w:r w:rsidRPr="00AB2BEB">
        <w:rPr>
          <w:b/>
          <w:szCs w:val="22"/>
          <w:lang w:val="fr-FR"/>
        </w:rPr>
        <w:t>II.</w:t>
      </w:r>
      <w:r w:rsidRPr="00AB2BEB">
        <w:rPr>
          <w:b/>
          <w:szCs w:val="22"/>
          <w:lang w:val="fr-FR"/>
        </w:rPr>
        <w:tab/>
      </w:r>
      <w:r w:rsidR="00BA7999" w:rsidRPr="00AB2BEB">
        <w:rPr>
          <w:b/>
          <w:bCs/>
          <w:kern w:val="22"/>
          <w:szCs w:val="22"/>
          <w:lang w:val="fr-FR"/>
        </w:rPr>
        <w:t>LIEN</w:t>
      </w:r>
      <w:r w:rsidR="006A6FCE">
        <w:rPr>
          <w:b/>
          <w:bCs/>
          <w:kern w:val="22"/>
          <w:szCs w:val="22"/>
          <w:lang w:val="fr-FR"/>
        </w:rPr>
        <w:t>S</w:t>
      </w:r>
      <w:r w:rsidR="00BA7999" w:rsidRPr="00AB2BEB">
        <w:rPr>
          <w:b/>
          <w:bCs/>
          <w:kern w:val="22"/>
          <w:szCs w:val="22"/>
          <w:lang w:val="fr-FR"/>
        </w:rPr>
        <w:t xml:space="preserve"> AVEC LE CADRE M</w:t>
      </w:r>
      <w:r w:rsidR="006A6FCE">
        <w:rPr>
          <w:b/>
          <w:bCs/>
          <w:kern w:val="22"/>
          <w:szCs w:val="22"/>
          <w:lang w:val="fr-FR"/>
        </w:rPr>
        <w:t>ONDIAL DE LA BIODIVERSITÉ DE KUNMING-MONTRÉAL</w:t>
      </w:r>
      <w:r w:rsidR="00BA7999" w:rsidRPr="00AB2BEB">
        <w:rPr>
          <w:b/>
          <w:bCs/>
          <w:kern w:val="22"/>
          <w:szCs w:val="22"/>
          <w:lang w:val="fr-FR"/>
        </w:rPr>
        <w:t>, LE CADRE STRATÉGIQUE À</w:t>
      </w:r>
      <w:r w:rsidR="00E23678">
        <w:rPr>
          <w:b/>
          <w:bCs/>
          <w:kern w:val="22"/>
          <w:szCs w:val="22"/>
          <w:lang w:val="fr-FR"/>
        </w:rPr>
        <w:t xml:space="preserve"> LONG TERME POUR </w:t>
      </w:r>
      <w:r w:rsidR="00BA7999" w:rsidRPr="00AB2BEB">
        <w:rPr>
          <w:b/>
          <w:bCs/>
          <w:kern w:val="22"/>
          <w:szCs w:val="22"/>
          <w:lang w:val="fr-FR"/>
        </w:rPr>
        <w:t>LE RENFORCEMENT DES CAPACITÉS</w:t>
      </w:r>
      <w:r w:rsidR="00E23678">
        <w:rPr>
          <w:b/>
          <w:bCs/>
          <w:kern w:val="22"/>
          <w:szCs w:val="22"/>
          <w:lang w:val="fr-FR"/>
        </w:rPr>
        <w:t xml:space="preserve"> ET LA CRÉATION DE CAPACITÉS</w:t>
      </w:r>
      <w:r w:rsidR="00BA7999" w:rsidRPr="00AB2BEB">
        <w:rPr>
          <w:b/>
          <w:bCs/>
          <w:kern w:val="22"/>
          <w:szCs w:val="22"/>
          <w:lang w:val="fr-FR"/>
        </w:rPr>
        <w:t>, ET LE PROGRAMME DE DÉVELOPPEMENT DURABLE À L</w:t>
      </w:r>
      <w:r w:rsidR="004645B4" w:rsidRPr="00AB2BEB">
        <w:rPr>
          <w:b/>
          <w:bCs/>
          <w:kern w:val="22"/>
          <w:szCs w:val="22"/>
          <w:lang w:val="fr-FR"/>
        </w:rPr>
        <w:t>’</w:t>
      </w:r>
      <w:r w:rsidR="00BA7999" w:rsidRPr="00AB2BEB">
        <w:rPr>
          <w:b/>
          <w:bCs/>
          <w:kern w:val="22"/>
          <w:szCs w:val="22"/>
          <w:lang w:val="fr-FR"/>
        </w:rPr>
        <w:t>HORIZON 2030</w:t>
      </w:r>
    </w:p>
    <w:p w14:paraId="131FA842" w14:textId="1CA42DE5" w:rsidR="00633D52" w:rsidRPr="00AB2BEB" w:rsidRDefault="00633D52" w:rsidP="00633D52">
      <w:pPr>
        <w:spacing w:before="120" w:after="120"/>
        <w:rPr>
          <w:szCs w:val="22"/>
          <w:lang w:val="fr-FR"/>
        </w:rPr>
      </w:pPr>
      <w:r w:rsidRPr="00AB2BEB">
        <w:rPr>
          <w:szCs w:val="22"/>
          <w:lang w:val="fr-FR"/>
        </w:rPr>
        <w:t>3.</w:t>
      </w:r>
      <w:r w:rsidRPr="00AB2BEB">
        <w:rPr>
          <w:szCs w:val="22"/>
          <w:lang w:val="fr-FR"/>
        </w:rPr>
        <w:tab/>
      </w:r>
      <w:r w:rsidR="006A6FCE">
        <w:rPr>
          <w:kern w:val="22"/>
          <w:szCs w:val="22"/>
          <w:lang w:val="fr-FR"/>
        </w:rPr>
        <w:t>Le P</w:t>
      </w:r>
      <w:r w:rsidR="001429DC" w:rsidRPr="00AB2BEB">
        <w:rPr>
          <w:kern w:val="22"/>
          <w:szCs w:val="22"/>
          <w:lang w:val="fr-FR"/>
        </w:rPr>
        <w:t>lan d</w:t>
      </w:r>
      <w:r w:rsidR="004645B4" w:rsidRPr="00AB2BEB">
        <w:rPr>
          <w:kern w:val="22"/>
          <w:szCs w:val="22"/>
          <w:lang w:val="fr-FR"/>
        </w:rPr>
        <w:t>’</w:t>
      </w:r>
      <w:r w:rsidR="001429DC" w:rsidRPr="00AB2BEB">
        <w:rPr>
          <w:kern w:val="22"/>
          <w:szCs w:val="22"/>
          <w:lang w:val="fr-FR"/>
        </w:rPr>
        <w:t>action pour le renforcement des capacités a ét</w:t>
      </w:r>
      <w:r w:rsidR="00E23678">
        <w:rPr>
          <w:kern w:val="22"/>
          <w:szCs w:val="22"/>
          <w:lang w:val="fr-FR"/>
        </w:rPr>
        <w:t>é élaboré de façon compatible</w:t>
      </w:r>
      <w:r w:rsidR="006A6FCE">
        <w:rPr>
          <w:kern w:val="22"/>
          <w:szCs w:val="22"/>
          <w:lang w:val="fr-FR"/>
        </w:rPr>
        <w:t xml:space="preserve"> avec le P</w:t>
      </w:r>
      <w:r w:rsidR="001429DC" w:rsidRPr="00AB2BEB">
        <w:rPr>
          <w:kern w:val="22"/>
          <w:szCs w:val="22"/>
          <w:lang w:val="fr-FR"/>
        </w:rPr>
        <w:t>lan de mise en</w:t>
      </w:r>
      <w:r w:rsidR="00E23678">
        <w:rPr>
          <w:kern w:val="22"/>
          <w:szCs w:val="22"/>
          <w:lang w:val="fr-FR"/>
        </w:rPr>
        <w:t xml:space="preserve"> œuvre, comme demandé dans</w:t>
      </w:r>
      <w:r w:rsidR="001429DC" w:rsidRPr="00AB2BEB">
        <w:rPr>
          <w:kern w:val="22"/>
          <w:szCs w:val="22"/>
          <w:lang w:val="fr-FR"/>
        </w:rPr>
        <w:t xml:space="preserve"> la décision CP</w:t>
      </w:r>
      <w:r w:rsidR="004645B4" w:rsidRPr="00AB2BEB">
        <w:rPr>
          <w:kern w:val="22"/>
          <w:szCs w:val="22"/>
          <w:lang w:val="fr-FR"/>
        </w:rPr>
        <w:noBreakHyphen/>
      </w:r>
      <w:r w:rsidR="001429DC" w:rsidRPr="00AB2BEB">
        <w:rPr>
          <w:kern w:val="22"/>
          <w:szCs w:val="22"/>
          <w:lang w:val="fr-FR"/>
        </w:rPr>
        <w:t>9/3, en donnant des exemples d</w:t>
      </w:r>
      <w:r w:rsidR="004645B4" w:rsidRPr="00AB2BEB">
        <w:rPr>
          <w:kern w:val="22"/>
          <w:szCs w:val="22"/>
          <w:lang w:val="fr-FR"/>
        </w:rPr>
        <w:t>’</w:t>
      </w:r>
      <w:r w:rsidR="001429DC" w:rsidRPr="00AB2BEB">
        <w:rPr>
          <w:kern w:val="22"/>
          <w:szCs w:val="22"/>
          <w:lang w:val="fr-FR"/>
        </w:rPr>
        <w:t>activités de renforcement des capacités pour chaque bu</w:t>
      </w:r>
      <w:r w:rsidR="00E23678">
        <w:rPr>
          <w:kern w:val="22"/>
          <w:szCs w:val="22"/>
          <w:lang w:val="fr-FR"/>
        </w:rPr>
        <w:t>t du P</w:t>
      </w:r>
      <w:r w:rsidR="006A6FCE">
        <w:rPr>
          <w:kern w:val="22"/>
          <w:szCs w:val="22"/>
          <w:lang w:val="fr-FR"/>
        </w:rPr>
        <w:t>lan de mise en œuvre. Le P</w:t>
      </w:r>
      <w:r w:rsidR="001429DC" w:rsidRPr="00AB2BEB">
        <w:rPr>
          <w:kern w:val="22"/>
          <w:szCs w:val="22"/>
          <w:lang w:val="fr-FR"/>
        </w:rPr>
        <w:t>lan d</w:t>
      </w:r>
      <w:r w:rsidR="004645B4" w:rsidRPr="00AB2BEB">
        <w:rPr>
          <w:kern w:val="22"/>
          <w:szCs w:val="22"/>
          <w:lang w:val="fr-FR"/>
        </w:rPr>
        <w:t>’</w:t>
      </w:r>
      <w:r w:rsidR="001429DC" w:rsidRPr="00AB2BEB">
        <w:rPr>
          <w:kern w:val="22"/>
          <w:szCs w:val="22"/>
          <w:lang w:val="fr-FR"/>
        </w:rPr>
        <w:t>action pour le renforcement des c</w:t>
      </w:r>
      <w:r w:rsidR="00E23678">
        <w:rPr>
          <w:kern w:val="22"/>
          <w:szCs w:val="22"/>
          <w:lang w:val="fr-FR"/>
        </w:rPr>
        <w:t>apacités est complémentaire du P</w:t>
      </w:r>
      <w:r w:rsidR="001429DC" w:rsidRPr="00AB2BEB">
        <w:rPr>
          <w:kern w:val="22"/>
          <w:szCs w:val="22"/>
          <w:lang w:val="fr-FR"/>
        </w:rPr>
        <w:t>lan de mise en œuvre, car les activités de renforcement des capacités peuvent appuyer la réalisation des buts et de</w:t>
      </w:r>
      <w:r w:rsidR="006A6FCE">
        <w:rPr>
          <w:kern w:val="22"/>
          <w:szCs w:val="22"/>
          <w:lang w:val="fr-FR"/>
        </w:rPr>
        <w:t>s résultats du P</w:t>
      </w:r>
      <w:r w:rsidR="001429DC" w:rsidRPr="00AB2BEB">
        <w:rPr>
          <w:kern w:val="22"/>
          <w:szCs w:val="22"/>
          <w:lang w:val="fr-FR"/>
        </w:rPr>
        <w:t>lan de mise en œuvre. De plus, afin d</w:t>
      </w:r>
      <w:r w:rsidR="004645B4" w:rsidRPr="00AB2BEB">
        <w:rPr>
          <w:kern w:val="22"/>
          <w:szCs w:val="22"/>
          <w:lang w:val="fr-FR"/>
        </w:rPr>
        <w:t>’</w:t>
      </w:r>
      <w:r w:rsidR="00E23678">
        <w:rPr>
          <w:kern w:val="22"/>
          <w:szCs w:val="22"/>
          <w:lang w:val="fr-FR"/>
        </w:rPr>
        <w:t>assurer une</w:t>
      </w:r>
      <w:r w:rsidR="001429DC" w:rsidRPr="00AB2BEB">
        <w:rPr>
          <w:kern w:val="22"/>
          <w:szCs w:val="22"/>
          <w:lang w:val="fr-FR"/>
        </w:rPr>
        <w:t xml:space="preserve"> cohérence et d</w:t>
      </w:r>
      <w:r w:rsidR="004645B4" w:rsidRPr="00AB2BEB">
        <w:rPr>
          <w:kern w:val="22"/>
          <w:szCs w:val="22"/>
          <w:lang w:val="fr-FR"/>
        </w:rPr>
        <w:t>’</w:t>
      </w:r>
      <w:r w:rsidR="00E23678">
        <w:rPr>
          <w:kern w:val="22"/>
          <w:szCs w:val="22"/>
          <w:lang w:val="fr-FR"/>
        </w:rPr>
        <w:t>éviter les doubles emploi</w:t>
      </w:r>
      <w:r w:rsidR="006A6FCE">
        <w:rPr>
          <w:kern w:val="22"/>
          <w:szCs w:val="22"/>
          <w:lang w:val="fr-FR"/>
        </w:rPr>
        <w:t>s, le but B.1 du P</w:t>
      </w:r>
      <w:r w:rsidR="001429DC" w:rsidRPr="00AB2BEB">
        <w:rPr>
          <w:kern w:val="22"/>
          <w:szCs w:val="22"/>
          <w:lang w:val="fr-FR"/>
        </w:rPr>
        <w:t xml:space="preserve">lan de mise en œuvre traite du renforcement des capacités en général et renvoie aux activités spécifiques de renforcement des capacités décrites dans le </w:t>
      </w:r>
      <w:r w:rsidR="006A6FCE">
        <w:rPr>
          <w:kern w:val="22"/>
          <w:szCs w:val="22"/>
          <w:lang w:val="fr-FR"/>
        </w:rPr>
        <w:t>Plan</w:t>
      </w:r>
      <w:r w:rsidR="001429DC" w:rsidRPr="00AB2BEB">
        <w:rPr>
          <w:kern w:val="22"/>
          <w:szCs w:val="22"/>
          <w:lang w:val="fr-FR"/>
        </w:rPr>
        <w:t xml:space="preserve"> d</w:t>
      </w:r>
      <w:r w:rsidR="004645B4" w:rsidRPr="00AB2BEB">
        <w:rPr>
          <w:kern w:val="22"/>
          <w:szCs w:val="22"/>
          <w:lang w:val="fr-FR"/>
        </w:rPr>
        <w:t>’</w:t>
      </w:r>
      <w:r w:rsidR="001429DC" w:rsidRPr="00AB2BEB">
        <w:rPr>
          <w:kern w:val="22"/>
          <w:szCs w:val="22"/>
          <w:lang w:val="fr-FR"/>
        </w:rPr>
        <w:t>action pour le renforcement des capacités</w:t>
      </w:r>
      <w:r w:rsidR="001429DC" w:rsidRPr="00AB2BEB">
        <w:rPr>
          <w:szCs w:val="22"/>
          <w:lang w:val="fr-FR"/>
        </w:rPr>
        <w:t>.</w:t>
      </w:r>
    </w:p>
    <w:p w14:paraId="131FA843" w14:textId="0CE11200" w:rsidR="00633D52" w:rsidRPr="00AB2BEB" w:rsidRDefault="00633D52" w:rsidP="00633D52">
      <w:pPr>
        <w:spacing w:before="120" w:after="120"/>
        <w:rPr>
          <w:i/>
          <w:szCs w:val="22"/>
          <w:lang w:val="fr-FR"/>
        </w:rPr>
      </w:pPr>
      <w:r w:rsidRPr="00AB2BEB">
        <w:rPr>
          <w:szCs w:val="22"/>
          <w:lang w:val="fr-FR"/>
        </w:rPr>
        <w:t>4.</w:t>
      </w:r>
      <w:r w:rsidRPr="00AB2BEB">
        <w:rPr>
          <w:szCs w:val="22"/>
          <w:lang w:val="fr-FR"/>
        </w:rPr>
        <w:tab/>
      </w:r>
      <w:r w:rsidR="001429DC" w:rsidRPr="00AB2BEB">
        <w:rPr>
          <w:kern w:val="22"/>
          <w:szCs w:val="22"/>
          <w:lang w:val="fr-FR"/>
        </w:rPr>
        <w:t xml:space="preserve">Le </w:t>
      </w:r>
      <w:r w:rsidR="006A6FCE">
        <w:rPr>
          <w:kern w:val="22"/>
          <w:szCs w:val="22"/>
          <w:lang w:val="fr-FR"/>
        </w:rPr>
        <w:t>Plan</w:t>
      </w:r>
      <w:r w:rsidR="001429DC" w:rsidRPr="00AB2BEB">
        <w:rPr>
          <w:kern w:val="22"/>
          <w:szCs w:val="22"/>
          <w:lang w:val="fr-FR"/>
        </w:rPr>
        <w:t xml:space="preserve"> d</w:t>
      </w:r>
      <w:r w:rsidR="004645B4" w:rsidRPr="00AB2BEB">
        <w:rPr>
          <w:kern w:val="22"/>
          <w:szCs w:val="22"/>
          <w:lang w:val="fr-FR"/>
        </w:rPr>
        <w:t>’</w:t>
      </w:r>
      <w:r w:rsidR="001429DC" w:rsidRPr="00AB2BEB">
        <w:rPr>
          <w:kern w:val="22"/>
          <w:szCs w:val="22"/>
          <w:lang w:val="fr-FR"/>
        </w:rPr>
        <w:t>action pour le renforcement des capacités est complémentaire du cadre stratégique à long terme pour le renforcement des capacités</w:t>
      </w:r>
      <w:r w:rsidR="00E23678">
        <w:rPr>
          <w:kern w:val="22"/>
          <w:szCs w:val="22"/>
          <w:lang w:val="fr-FR"/>
        </w:rPr>
        <w:t xml:space="preserve"> et la création de capacités</w:t>
      </w:r>
      <w:r w:rsidR="0030645C">
        <w:rPr>
          <w:rStyle w:val="FootnoteReference"/>
          <w:kern w:val="22"/>
          <w:szCs w:val="22"/>
          <w:lang w:val="fr-FR"/>
        </w:rPr>
        <w:footnoteReference w:id="5"/>
      </w:r>
      <w:r w:rsidR="003C1740">
        <w:rPr>
          <w:kern w:val="22"/>
          <w:szCs w:val="22"/>
          <w:lang w:val="fr-FR"/>
        </w:rPr>
        <w:t xml:space="preserve">. Les principes généraux, approches et </w:t>
      </w:r>
      <w:r w:rsidR="001429DC" w:rsidRPr="00AB2BEB">
        <w:rPr>
          <w:kern w:val="22"/>
          <w:szCs w:val="22"/>
          <w:lang w:val="fr-FR"/>
        </w:rPr>
        <w:t>stratégie</w:t>
      </w:r>
      <w:r w:rsidR="00691825">
        <w:rPr>
          <w:kern w:val="22"/>
          <w:szCs w:val="22"/>
          <w:lang w:val="fr-FR"/>
        </w:rPr>
        <w:t xml:space="preserve">s </w:t>
      </w:r>
      <w:r w:rsidR="00E23678">
        <w:rPr>
          <w:kern w:val="22"/>
          <w:szCs w:val="22"/>
          <w:lang w:val="fr-FR"/>
        </w:rPr>
        <w:t xml:space="preserve">pour améliorer </w:t>
      </w:r>
      <w:r w:rsidR="001429DC" w:rsidRPr="00AB2BEB">
        <w:rPr>
          <w:kern w:val="22"/>
          <w:szCs w:val="22"/>
          <w:lang w:val="fr-FR"/>
        </w:rPr>
        <w:t>le renforcement des capacités</w:t>
      </w:r>
      <w:r w:rsidR="003C1740">
        <w:rPr>
          <w:kern w:val="22"/>
          <w:szCs w:val="22"/>
          <w:lang w:val="fr-FR"/>
        </w:rPr>
        <w:t xml:space="preserve"> énoncés</w:t>
      </w:r>
      <w:r w:rsidR="001429DC" w:rsidRPr="00AB2BEB">
        <w:rPr>
          <w:kern w:val="22"/>
          <w:szCs w:val="22"/>
          <w:lang w:val="fr-FR"/>
        </w:rPr>
        <w:t xml:space="preserve"> dans le cadre stratégique à long terme pour le renforcement des capacités</w:t>
      </w:r>
      <w:r w:rsidR="00691825" w:rsidRPr="00691825">
        <w:rPr>
          <w:kern w:val="22"/>
          <w:szCs w:val="22"/>
          <w:lang w:val="fr-FR"/>
        </w:rPr>
        <w:t xml:space="preserve"> </w:t>
      </w:r>
      <w:r w:rsidR="00691825">
        <w:rPr>
          <w:kern w:val="22"/>
          <w:szCs w:val="22"/>
          <w:lang w:val="fr-FR"/>
        </w:rPr>
        <w:t>et la création de capacités</w:t>
      </w:r>
      <w:r w:rsidR="001429DC" w:rsidRPr="00AB2BEB">
        <w:rPr>
          <w:kern w:val="22"/>
          <w:szCs w:val="22"/>
          <w:lang w:val="fr-FR"/>
        </w:rPr>
        <w:t xml:space="preserve"> seront pris en considération lors de la planification des activités de renforcement des capacités basées sur le </w:t>
      </w:r>
      <w:r w:rsidR="006A6FCE">
        <w:rPr>
          <w:kern w:val="22"/>
          <w:szCs w:val="22"/>
          <w:lang w:val="fr-FR"/>
        </w:rPr>
        <w:t>Plan</w:t>
      </w:r>
      <w:r w:rsidR="001429DC" w:rsidRPr="00AB2BEB">
        <w:rPr>
          <w:kern w:val="22"/>
          <w:szCs w:val="22"/>
          <w:lang w:val="fr-FR"/>
        </w:rPr>
        <w:t xml:space="preserve"> d</w:t>
      </w:r>
      <w:r w:rsidR="004645B4" w:rsidRPr="00AB2BEB">
        <w:rPr>
          <w:kern w:val="22"/>
          <w:szCs w:val="22"/>
          <w:lang w:val="fr-FR"/>
        </w:rPr>
        <w:t>’</w:t>
      </w:r>
      <w:r w:rsidR="006A6FCE">
        <w:rPr>
          <w:kern w:val="22"/>
          <w:szCs w:val="22"/>
          <w:lang w:val="fr-FR"/>
        </w:rPr>
        <w:t>action po</w:t>
      </w:r>
      <w:r w:rsidR="001429DC" w:rsidRPr="00AB2BEB">
        <w:rPr>
          <w:kern w:val="22"/>
          <w:szCs w:val="22"/>
          <w:lang w:val="fr-FR"/>
        </w:rPr>
        <w:t>ur le renforcement des capacités.</w:t>
      </w:r>
    </w:p>
    <w:p w14:paraId="131FA844" w14:textId="625B89A6" w:rsidR="00633D52" w:rsidRPr="00AB2BEB" w:rsidRDefault="00633D52" w:rsidP="0030645C">
      <w:pPr>
        <w:spacing w:before="120" w:after="240"/>
        <w:rPr>
          <w:szCs w:val="22"/>
          <w:lang w:val="fr-FR"/>
        </w:rPr>
      </w:pPr>
      <w:r w:rsidRPr="00AB2BEB">
        <w:rPr>
          <w:szCs w:val="22"/>
          <w:lang w:val="fr-FR"/>
        </w:rPr>
        <w:t>5.</w:t>
      </w:r>
      <w:r w:rsidRPr="00AB2BEB">
        <w:rPr>
          <w:szCs w:val="22"/>
          <w:lang w:val="fr-FR"/>
        </w:rPr>
        <w:tab/>
      </w:r>
      <w:r w:rsidR="00E95792" w:rsidRPr="00AB2BEB">
        <w:rPr>
          <w:kern w:val="22"/>
          <w:szCs w:val="22"/>
          <w:lang w:val="fr-FR"/>
        </w:rPr>
        <w:t xml:space="preserve">Le </w:t>
      </w:r>
      <w:r w:rsidR="006A6FCE">
        <w:rPr>
          <w:kern w:val="22"/>
          <w:szCs w:val="22"/>
          <w:lang w:val="fr-FR"/>
        </w:rPr>
        <w:t>Plan</w:t>
      </w:r>
      <w:r w:rsidR="00E95792" w:rsidRPr="00AB2BEB">
        <w:rPr>
          <w:kern w:val="22"/>
          <w:szCs w:val="22"/>
          <w:lang w:val="fr-FR"/>
        </w:rPr>
        <w:t xml:space="preserve"> d</w:t>
      </w:r>
      <w:r w:rsidR="004645B4" w:rsidRPr="00AB2BEB">
        <w:rPr>
          <w:kern w:val="22"/>
          <w:szCs w:val="22"/>
          <w:lang w:val="fr-FR"/>
        </w:rPr>
        <w:t>’</w:t>
      </w:r>
      <w:r w:rsidR="00E95792" w:rsidRPr="00AB2BEB">
        <w:rPr>
          <w:kern w:val="22"/>
          <w:szCs w:val="22"/>
          <w:lang w:val="fr-FR"/>
        </w:rPr>
        <w:t>action pour le renforcement des capacités peut également aider les Parties à atteindre les Objectifs de développement durable, notamment l</w:t>
      </w:r>
      <w:r w:rsidR="004645B4" w:rsidRPr="00AB2BEB">
        <w:rPr>
          <w:kern w:val="22"/>
          <w:szCs w:val="22"/>
          <w:lang w:val="fr-FR"/>
        </w:rPr>
        <w:t>’</w:t>
      </w:r>
      <w:r w:rsidR="00E95792" w:rsidRPr="00AB2BEB">
        <w:rPr>
          <w:kern w:val="22"/>
          <w:szCs w:val="22"/>
          <w:lang w:val="fr-FR"/>
        </w:rPr>
        <w:t>Objectif 2 (</w:t>
      </w:r>
      <w:r w:rsidR="0030645C">
        <w:rPr>
          <w:iCs/>
          <w:kern w:val="22"/>
          <w:szCs w:val="22"/>
          <w:lang w:val="fr-FR"/>
        </w:rPr>
        <w:t>é</w:t>
      </w:r>
      <w:r w:rsidR="00E95792" w:rsidRPr="00AB2BEB">
        <w:rPr>
          <w:iCs/>
          <w:kern w:val="22"/>
          <w:szCs w:val="22"/>
          <w:lang w:val="fr-FR"/>
        </w:rPr>
        <w:t>liminer la faim, assurer la sécurité alimentaire, améliorer la nutrition et promouvoir l</w:t>
      </w:r>
      <w:r w:rsidR="004645B4" w:rsidRPr="00AB2BEB">
        <w:rPr>
          <w:iCs/>
          <w:kern w:val="22"/>
          <w:szCs w:val="22"/>
          <w:lang w:val="fr-FR"/>
        </w:rPr>
        <w:t>’</w:t>
      </w:r>
      <w:r w:rsidR="00E95792" w:rsidRPr="00AB2BEB">
        <w:rPr>
          <w:iCs/>
          <w:kern w:val="22"/>
          <w:szCs w:val="22"/>
          <w:lang w:val="fr-FR"/>
        </w:rPr>
        <w:t>agriculture durable</w:t>
      </w:r>
      <w:r w:rsidR="00E95792" w:rsidRPr="00AB2BEB">
        <w:rPr>
          <w:kern w:val="22"/>
          <w:szCs w:val="22"/>
          <w:lang w:val="fr-FR"/>
        </w:rPr>
        <w:t>) et l</w:t>
      </w:r>
      <w:r w:rsidR="004645B4" w:rsidRPr="00AB2BEB">
        <w:rPr>
          <w:kern w:val="22"/>
          <w:szCs w:val="22"/>
          <w:lang w:val="fr-FR"/>
        </w:rPr>
        <w:t>’</w:t>
      </w:r>
      <w:r w:rsidR="00E95792" w:rsidRPr="00AB2BEB">
        <w:rPr>
          <w:kern w:val="22"/>
          <w:szCs w:val="22"/>
          <w:lang w:val="fr-FR"/>
        </w:rPr>
        <w:t>Objectif 3 (</w:t>
      </w:r>
      <w:r w:rsidR="0030645C">
        <w:rPr>
          <w:iCs/>
          <w:kern w:val="22"/>
          <w:szCs w:val="22"/>
          <w:lang w:val="fr-FR"/>
        </w:rPr>
        <w:t>p</w:t>
      </w:r>
      <w:r w:rsidR="00E95792" w:rsidRPr="00AB2BEB">
        <w:rPr>
          <w:iCs/>
          <w:kern w:val="22"/>
          <w:szCs w:val="22"/>
          <w:lang w:val="fr-FR"/>
        </w:rPr>
        <w:t>ermettre à tous de vivre en bonne santé et promouvoir le bien</w:t>
      </w:r>
      <w:r w:rsidR="004645B4" w:rsidRPr="00AB2BEB">
        <w:rPr>
          <w:iCs/>
          <w:kern w:val="22"/>
          <w:szCs w:val="22"/>
          <w:lang w:val="fr-FR"/>
        </w:rPr>
        <w:noBreakHyphen/>
      </w:r>
      <w:r w:rsidR="00E95792" w:rsidRPr="00AB2BEB">
        <w:rPr>
          <w:iCs/>
          <w:kern w:val="22"/>
          <w:szCs w:val="22"/>
          <w:lang w:val="fr-FR"/>
        </w:rPr>
        <w:t>être de tous à tout âge</w:t>
      </w:r>
      <w:r w:rsidR="00E95792" w:rsidRPr="00AB2BEB">
        <w:rPr>
          <w:kern w:val="22"/>
          <w:szCs w:val="22"/>
          <w:lang w:val="fr-FR"/>
        </w:rPr>
        <w:t>)</w:t>
      </w:r>
      <w:r w:rsidRPr="00AB2BEB">
        <w:rPr>
          <w:szCs w:val="22"/>
          <w:lang w:val="fr-FR"/>
        </w:rPr>
        <w:t>.</w:t>
      </w:r>
    </w:p>
    <w:p w14:paraId="131FA845" w14:textId="25C5DDAD" w:rsidR="00633D52" w:rsidRPr="00AB2BEB" w:rsidRDefault="00633D52" w:rsidP="00633D52">
      <w:pPr>
        <w:tabs>
          <w:tab w:val="left" w:pos="993"/>
        </w:tabs>
        <w:spacing w:before="120" w:after="120"/>
        <w:jc w:val="center"/>
        <w:rPr>
          <w:b/>
          <w:bCs/>
          <w:kern w:val="22"/>
          <w:szCs w:val="22"/>
          <w:lang w:val="fr-FR"/>
        </w:rPr>
      </w:pPr>
      <w:r w:rsidRPr="00AB2BEB">
        <w:rPr>
          <w:b/>
          <w:szCs w:val="22"/>
          <w:lang w:val="fr-FR"/>
        </w:rPr>
        <w:t>III.</w:t>
      </w:r>
      <w:r w:rsidR="005D7F71" w:rsidRPr="00AB2BEB">
        <w:rPr>
          <w:b/>
          <w:szCs w:val="22"/>
          <w:lang w:val="fr-FR"/>
        </w:rPr>
        <w:tab/>
      </w:r>
      <w:r w:rsidR="00E95792" w:rsidRPr="00AB2BEB">
        <w:rPr>
          <w:b/>
          <w:bCs/>
          <w:kern w:val="22"/>
          <w:szCs w:val="22"/>
          <w:lang w:val="fr-FR"/>
        </w:rPr>
        <w:t>STRUCTURE DU PLAN D</w:t>
      </w:r>
      <w:r w:rsidR="004645B4" w:rsidRPr="00AB2BEB">
        <w:rPr>
          <w:b/>
          <w:bCs/>
          <w:kern w:val="22"/>
          <w:szCs w:val="22"/>
          <w:lang w:val="fr-FR"/>
        </w:rPr>
        <w:t>’</w:t>
      </w:r>
      <w:r w:rsidR="00E95792" w:rsidRPr="00AB2BEB">
        <w:rPr>
          <w:b/>
          <w:bCs/>
          <w:kern w:val="22"/>
          <w:szCs w:val="22"/>
          <w:lang w:val="fr-FR"/>
        </w:rPr>
        <w:t>ACTION POUR LE RENFORCEMENT DES CAPACITÉS</w:t>
      </w:r>
    </w:p>
    <w:p w14:paraId="131FA846" w14:textId="726E55D3" w:rsidR="00633D52" w:rsidRPr="00AB2BEB" w:rsidRDefault="00633D52" w:rsidP="00633D52">
      <w:pPr>
        <w:spacing w:before="120" w:after="120"/>
        <w:rPr>
          <w:szCs w:val="22"/>
          <w:lang w:val="fr-FR"/>
        </w:rPr>
      </w:pPr>
      <w:r w:rsidRPr="00AB2BEB">
        <w:rPr>
          <w:szCs w:val="22"/>
          <w:lang w:val="fr-FR"/>
        </w:rPr>
        <w:lastRenderedPageBreak/>
        <w:t>6.</w:t>
      </w:r>
      <w:r w:rsidRPr="00AB2BEB">
        <w:rPr>
          <w:szCs w:val="22"/>
          <w:lang w:val="fr-FR"/>
        </w:rPr>
        <w:tab/>
      </w:r>
      <w:r w:rsidR="0030645C">
        <w:rPr>
          <w:kern w:val="22"/>
          <w:szCs w:val="22"/>
          <w:lang w:val="fr-FR"/>
        </w:rPr>
        <w:t>Un tableau indiquant l</w:t>
      </w:r>
      <w:r w:rsidR="000D5549" w:rsidRPr="00AB2BEB">
        <w:rPr>
          <w:kern w:val="22"/>
          <w:szCs w:val="22"/>
          <w:lang w:val="fr-FR"/>
        </w:rPr>
        <w:t xml:space="preserve">es buts, </w:t>
      </w:r>
      <w:r w:rsidR="0030645C">
        <w:rPr>
          <w:kern w:val="22"/>
          <w:szCs w:val="22"/>
          <w:lang w:val="fr-FR"/>
        </w:rPr>
        <w:t xml:space="preserve">les </w:t>
      </w:r>
      <w:r w:rsidR="00293E22">
        <w:rPr>
          <w:kern w:val="22"/>
          <w:szCs w:val="22"/>
          <w:lang w:val="fr-FR"/>
        </w:rPr>
        <w:t>domaines clés pour le renfor</w:t>
      </w:r>
      <w:r w:rsidR="000D5549" w:rsidRPr="00AB2BEB">
        <w:rPr>
          <w:kern w:val="22"/>
          <w:szCs w:val="22"/>
          <w:lang w:val="fr-FR"/>
        </w:rPr>
        <w:t xml:space="preserve">cement des capacités et </w:t>
      </w:r>
      <w:r w:rsidR="0030645C">
        <w:rPr>
          <w:kern w:val="22"/>
          <w:szCs w:val="22"/>
          <w:lang w:val="fr-FR"/>
        </w:rPr>
        <w:t xml:space="preserve">des </w:t>
      </w:r>
      <w:r w:rsidR="000D5549" w:rsidRPr="00AB2BEB">
        <w:rPr>
          <w:kern w:val="22"/>
          <w:szCs w:val="22"/>
          <w:lang w:val="fr-FR"/>
        </w:rPr>
        <w:t>exemples d</w:t>
      </w:r>
      <w:r w:rsidR="004645B4" w:rsidRPr="00AB2BEB">
        <w:rPr>
          <w:kern w:val="22"/>
          <w:szCs w:val="22"/>
          <w:lang w:val="fr-FR"/>
        </w:rPr>
        <w:t>’</w:t>
      </w:r>
      <w:r w:rsidR="000D5549" w:rsidRPr="00AB2BEB">
        <w:rPr>
          <w:kern w:val="22"/>
          <w:szCs w:val="22"/>
          <w:lang w:val="fr-FR"/>
        </w:rPr>
        <w:t xml:space="preserve">activités de renforcement des capacités, </w:t>
      </w:r>
      <w:r w:rsidR="003C1740">
        <w:rPr>
          <w:kern w:val="22"/>
          <w:szCs w:val="22"/>
          <w:lang w:val="fr-FR"/>
        </w:rPr>
        <w:t xml:space="preserve">ainsi que </w:t>
      </w:r>
      <w:r w:rsidR="0030645C">
        <w:rPr>
          <w:kern w:val="22"/>
          <w:szCs w:val="22"/>
          <w:lang w:val="fr-FR"/>
        </w:rPr>
        <w:t xml:space="preserve">les </w:t>
      </w:r>
      <w:r w:rsidR="000D5549" w:rsidRPr="00AB2BEB">
        <w:rPr>
          <w:kern w:val="22"/>
          <w:szCs w:val="22"/>
          <w:lang w:val="fr-FR"/>
        </w:rPr>
        <w:t xml:space="preserve">indicateurs et </w:t>
      </w:r>
      <w:r w:rsidR="0030645C">
        <w:rPr>
          <w:kern w:val="22"/>
          <w:szCs w:val="22"/>
          <w:lang w:val="fr-FR"/>
        </w:rPr>
        <w:t xml:space="preserve">les </w:t>
      </w:r>
      <w:r w:rsidR="000D5549" w:rsidRPr="00AB2BEB">
        <w:rPr>
          <w:kern w:val="22"/>
          <w:szCs w:val="22"/>
          <w:lang w:val="fr-FR"/>
        </w:rPr>
        <w:t xml:space="preserve">résultats du </w:t>
      </w:r>
      <w:r w:rsidR="006A6FCE">
        <w:rPr>
          <w:kern w:val="22"/>
          <w:szCs w:val="22"/>
          <w:lang w:val="fr-FR"/>
        </w:rPr>
        <w:t>Plan</w:t>
      </w:r>
      <w:r w:rsidR="000D5549" w:rsidRPr="00AB2BEB">
        <w:rPr>
          <w:kern w:val="22"/>
          <w:szCs w:val="22"/>
          <w:lang w:val="fr-FR"/>
        </w:rPr>
        <w:t xml:space="preserve"> d</w:t>
      </w:r>
      <w:r w:rsidR="004645B4" w:rsidRPr="00AB2BEB">
        <w:rPr>
          <w:kern w:val="22"/>
          <w:szCs w:val="22"/>
          <w:lang w:val="fr-FR"/>
        </w:rPr>
        <w:t>’</w:t>
      </w:r>
      <w:r w:rsidR="000D5549" w:rsidRPr="00AB2BEB">
        <w:rPr>
          <w:kern w:val="22"/>
          <w:szCs w:val="22"/>
          <w:lang w:val="fr-FR"/>
        </w:rPr>
        <w:t>action pour le renforcement des capacités</w:t>
      </w:r>
      <w:r w:rsidR="003C1740">
        <w:rPr>
          <w:kern w:val="22"/>
          <w:szCs w:val="22"/>
          <w:lang w:val="fr-FR"/>
        </w:rPr>
        <w:t>, figure</w:t>
      </w:r>
      <w:r w:rsidR="0030645C">
        <w:rPr>
          <w:kern w:val="22"/>
          <w:szCs w:val="22"/>
          <w:lang w:val="fr-FR"/>
        </w:rPr>
        <w:t xml:space="preserve"> dans l’appendice ci-dessous</w:t>
      </w:r>
      <w:r w:rsidR="000D5549" w:rsidRPr="00AB2BEB">
        <w:rPr>
          <w:kern w:val="22"/>
          <w:szCs w:val="22"/>
          <w:lang w:val="fr-FR"/>
        </w:rPr>
        <w:t>.</w:t>
      </w:r>
    </w:p>
    <w:p w14:paraId="131FA847" w14:textId="4E64927B" w:rsidR="00633D52" w:rsidRPr="00AB2BEB" w:rsidRDefault="00633D52" w:rsidP="00633D52">
      <w:pPr>
        <w:spacing w:before="120" w:after="120"/>
        <w:rPr>
          <w:szCs w:val="22"/>
          <w:lang w:val="fr-FR"/>
        </w:rPr>
      </w:pPr>
      <w:r w:rsidRPr="00AB2BEB">
        <w:rPr>
          <w:szCs w:val="22"/>
          <w:lang w:val="fr-FR"/>
        </w:rPr>
        <w:t>7.</w:t>
      </w:r>
      <w:r w:rsidRPr="00AB2BEB">
        <w:rPr>
          <w:szCs w:val="22"/>
          <w:lang w:val="fr-FR"/>
        </w:rPr>
        <w:tab/>
      </w:r>
      <w:r w:rsidR="00D26E47" w:rsidRPr="00AB2BEB">
        <w:rPr>
          <w:kern w:val="22"/>
          <w:szCs w:val="22"/>
          <w:lang w:val="fr-FR"/>
        </w:rPr>
        <w:t xml:space="preserve">Le </w:t>
      </w:r>
      <w:r w:rsidR="006A6FCE">
        <w:rPr>
          <w:kern w:val="22"/>
          <w:szCs w:val="22"/>
          <w:lang w:val="fr-FR"/>
        </w:rPr>
        <w:t>Plan</w:t>
      </w:r>
      <w:r w:rsidR="00D26E47" w:rsidRPr="00AB2BEB">
        <w:rPr>
          <w:kern w:val="22"/>
          <w:szCs w:val="22"/>
          <w:lang w:val="fr-FR"/>
        </w:rPr>
        <w:t xml:space="preserve"> d</w:t>
      </w:r>
      <w:r w:rsidR="004645B4" w:rsidRPr="00AB2BEB">
        <w:rPr>
          <w:kern w:val="22"/>
          <w:szCs w:val="22"/>
          <w:lang w:val="fr-FR"/>
        </w:rPr>
        <w:t>’</w:t>
      </w:r>
      <w:r w:rsidR="00D26E47" w:rsidRPr="00AB2BEB">
        <w:rPr>
          <w:kern w:val="22"/>
          <w:szCs w:val="22"/>
          <w:lang w:val="fr-FR"/>
        </w:rPr>
        <w:t>action pour le renforc</w:t>
      </w:r>
      <w:r w:rsidR="0030645C">
        <w:rPr>
          <w:kern w:val="22"/>
          <w:szCs w:val="22"/>
          <w:lang w:val="fr-FR"/>
        </w:rPr>
        <w:t>ement des capacités est compatible avec les but</w:t>
      </w:r>
      <w:r w:rsidR="00D26E47" w:rsidRPr="00AB2BEB">
        <w:rPr>
          <w:kern w:val="22"/>
          <w:szCs w:val="22"/>
          <w:lang w:val="fr-FR"/>
        </w:rPr>
        <w:t xml:space="preserve">s du </w:t>
      </w:r>
      <w:r w:rsidR="006A6FCE">
        <w:rPr>
          <w:kern w:val="22"/>
          <w:szCs w:val="22"/>
          <w:lang w:val="fr-FR"/>
        </w:rPr>
        <w:t>Plan</w:t>
      </w:r>
      <w:r w:rsidR="00D26E47" w:rsidRPr="00AB2BEB">
        <w:rPr>
          <w:kern w:val="22"/>
          <w:szCs w:val="22"/>
          <w:lang w:val="fr-FR"/>
        </w:rPr>
        <w:t xml:space="preserve"> de mise en œuvr</w:t>
      </w:r>
      <w:r w:rsidR="0030645C">
        <w:rPr>
          <w:kern w:val="22"/>
          <w:szCs w:val="22"/>
          <w:lang w:val="fr-FR"/>
        </w:rPr>
        <w:t>e</w:t>
      </w:r>
      <w:r w:rsidR="00D26E47" w:rsidRPr="00AB2BEB">
        <w:rPr>
          <w:kern w:val="22"/>
          <w:szCs w:val="22"/>
          <w:lang w:val="fr-FR"/>
        </w:rPr>
        <w:t>. Les buts représentent les réalisations générales souhai</w:t>
      </w:r>
      <w:r w:rsidR="0030645C">
        <w:rPr>
          <w:kern w:val="22"/>
          <w:szCs w:val="22"/>
          <w:lang w:val="fr-FR"/>
        </w:rPr>
        <w:t>tables de la part des Parties. C</w:t>
      </w:r>
      <w:r w:rsidR="00D26E47" w:rsidRPr="00AB2BEB">
        <w:rPr>
          <w:kern w:val="22"/>
          <w:szCs w:val="22"/>
          <w:lang w:val="fr-FR"/>
        </w:rPr>
        <w:t>haque but com</w:t>
      </w:r>
      <w:r w:rsidR="003C1740">
        <w:rPr>
          <w:kern w:val="22"/>
          <w:szCs w:val="22"/>
          <w:lang w:val="fr-FR"/>
        </w:rPr>
        <w:t xml:space="preserve">prend des </w:t>
      </w:r>
      <w:r w:rsidR="00293E22">
        <w:rPr>
          <w:kern w:val="22"/>
          <w:szCs w:val="22"/>
          <w:lang w:val="fr-FR"/>
        </w:rPr>
        <w:t>domaines clés pour le renfor</w:t>
      </w:r>
      <w:r w:rsidR="00D26E47" w:rsidRPr="00AB2BEB">
        <w:rPr>
          <w:kern w:val="22"/>
          <w:szCs w:val="22"/>
          <w:lang w:val="fr-FR"/>
        </w:rPr>
        <w:t>cement des capacités, des exemples d</w:t>
      </w:r>
      <w:r w:rsidR="004645B4" w:rsidRPr="00AB2BEB">
        <w:rPr>
          <w:kern w:val="22"/>
          <w:szCs w:val="22"/>
          <w:lang w:val="fr-FR"/>
        </w:rPr>
        <w:t>’</w:t>
      </w:r>
      <w:r w:rsidR="00D26E47" w:rsidRPr="00AB2BEB">
        <w:rPr>
          <w:kern w:val="22"/>
          <w:szCs w:val="22"/>
          <w:lang w:val="fr-FR"/>
        </w:rPr>
        <w:t>activités de renforcement des capacités, des indicateurs et des résultats.</w:t>
      </w:r>
    </w:p>
    <w:p w14:paraId="131FA848" w14:textId="54D4D184" w:rsidR="00633D52" w:rsidRPr="00AB2BEB" w:rsidRDefault="00633D52" w:rsidP="00633D52">
      <w:pPr>
        <w:spacing w:before="120" w:after="120"/>
        <w:rPr>
          <w:szCs w:val="22"/>
          <w:lang w:val="fr-FR"/>
        </w:rPr>
      </w:pPr>
      <w:r w:rsidRPr="00AB2BEB">
        <w:rPr>
          <w:szCs w:val="22"/>
          <w:lang w:val="fr-FR"/>
        </w:rPr>
        <w:t>8.</w:t>
      </w:r>
      <w:r w:rsidRPr="00AB2BEB">
        <w:rPr>
          <w:szCs w:val="22"/>
          <w:lang w:val="fr-FR"/>
        </w:rPr>
        <w:tab/>
      </w:r>
      <w:r w:rsidR="00D26E47" w:rsidRPr="00AB2BEB">
        <w:rPr>
          <w:kern w:val="22"/>
          <w:szCs w:val="22"/>
          <w:lang w:val="fr-FR"/>
        </w:rPr>
        <w:t xml:space="preserve">Les </w:t>
      </w:r>
      <w:r w:rsidR="00293E22">
        <w:rPr>
          <w:bCs/>
          <w:i/>
          <w:kern w:val="22"/>
          <w:szCs w:val="22"/>
          <w:lang w:val="fr-FR"/>
        </w:rPr>
        <w:t>domaines clés pour le renfor</w:t>
      </w:r>
      <w:r w:rsidR="00D26E47" w:rsidRPr="00AB2BEB">
        <w:rPr>
          <w:bCs/>
          <w:i/>
          <w:kern w:val="22"/>
          <w:szCs w:val="22"/>
          <w:lang w:val="fr-FR"/>
        </w:rPr>
        <w:t>cement des capacités</w:t>
      </w:r>
      <w:r w:rsidR="00D26E47" w:rsidRPr="00AB2BEB">
        <w:rPr>
          <w:kern w:val="22"/>
          <w:szCs w:val="22"/>
          <w:lang w:val="fr-FR"/>
        </w:rPr>
        <w:t xml:space="preserve"> sont liés à chaque but du </w:t>
      </w:r>
      <w:r w:rsidR="006A6FCE">
        <w:rPr>
          <w:kern w:val="22"/>
          <w:szCs w:val="22"/>
          <w:lang w:val="fr-FR"/>
        </w:rPr>
        <w:t>Plan</w:t>
      </w:r>
      <w:r w:rsidR="00D26E47" w:rsidRPr="00AB2BEB">
        <w:rPr>
          <w:kern w:val="22"/>
          <w:szCs w:val="22"/>
          <w:lang w:val="fr-FR"/>
        </w:rPr>
        <w:t xml:space="preserve"> de mise en œuvre.</w:t>
      </w:r>
      <w:r w:rsidR="003C1740">
        <w:rPr>
          <w:kern w:val="22"/>
          <w:szCs w:val="22"/>
          <w:lang w:val="fr-FR"/>
        </w:rPr>
        <w:t xml:space="preserve"> Ces domaines clés sont compatibles avec les but</w:t>
      </w:r>
      <w:r w:rsidR="00D26E47" w:rsidRPr="00AB2BEB">
        <w:rPr>
          <w:kern w:val="22"/>
          <w:szCs w:val="22"/>
          <w:lang w:val="fr-FR"/>
        </w:rPr>
        <w:t xml:space="preserve">s du </w:t>
      </w:r>
      <w:r w:rsidR="006A6FCE">
        <w:rPr>
          <w:kern w:val="22"/>
          <w:szCs w:val="22"/>
          <w:lang w:val="fr-FR"/>
        </w:rPr>
        <w:t>Plan</w:t>
      </w:r>
      <w:r w:rsidR="00D26E47" w:rsidRPr="00AB2BEB">
        <w:rPr>
          <w:kern w:val="22"/>
          <w:szCs w:val="22"/>
          <w:lang w:val="fr-FR"/>
        </w:rPr>
        <w:t xml:space="preserve"> de mise en œuvre et comprennent les domaines pour lesquels des activités de renforcement des capacités sont proposées</w:t>
      </w:r>
      <w:r w:rsidRPr="00AB2BEB">
        <w:rPr>
          <w:szCs w:val="22"/>
          <w:lang w:val="fr-FR"/>
        </w:rPr>
        <w:t>.</w:t>
      </w:r>
    </w:p>
    <w:p w14:paraId="131FA849" w14:textId="06A16A66" w:rsidR="00633D52" w:rsidRPr="00AB2BEB" w:rsidRDefault="00633D52" w:rsidP="00633D52">
      <w:pPr>
        <w:spacing w:before="120" w:after="120"/>
        <w:rPr>
          <w:szCs w:val="22"/>
          <w:lang w:val="fr-FR"/>
        </w:rPr>
      </w:pPr>
      <w:r w:rsidRPr="00AB2BEB">
        <w:rPr>
          <w:szCs w:val="22"/>
          <w:lang w:val="fr-FR"/>
        </w:rPr>
        <w:t>9.</w:t>
      </w:r>
      <w:r w:rsidRPr="00AB2BEB">
        <w:rPr>
          <w:szCs w:val="22"/>
          <w:lang w:val="fr-FR"/>
        </w:rPr>
        <w:tab/>
      </w:r>
      <w:r w:rsidR="00D26E47" w:rsidRPr="00AB2BEB">
        <w:rPr>
          <w:kern w:val="22"/>
          <w:szCs w:val="22"/>
          <w:lang w:val="fr-FR"/>
        </w:rPr>
        <w:t xml:space="preserve">Le </w:t>
      </w:r>
      <w:r w:rsidR="006A6FCE">
        <w:rPr>
          <w:kern w:val="22"/>
          <w:szCs w:val="22"/>
          <w:lang w:val="fr-FR"/>
        </w:rPr>
        <w:t>Plan</w:t>
      </w:r>
      <w:r w:rsidR="00D26E47" w:rsidRPr="00AB2BEB">
        <w:rPr>
          <w:kern w:val="22"/>
          <w:szCs w:val="22"/>
          <w:lang w:val="fr-FR"/>
        </w:rPr>
        <w:t xml:space="preserve"> d</w:t>
      </w:r>
      <w:r w:rsidR="004645B4" w:rsidRPr="00AB2BEB">
        <w:rPr>
          <w:kern w:val="22"/>
          <w:szCs w:val="22"/>
          <w:lang w:val="fr-FR"/>
        </w:rPr>
        <w:t>’</w:t>
      </w:r>
      <w:r w:rsidR="00D26E47" w:rsidRPr="00AB2BEB">
        <w:rPr>
          <w:kern w:val="22"/>
          <w:szCs w:val="22"/>
          <w:lang w:val="fr-FR"/>
        </w:rPr>
        <w:t xml:space="preserve">action </w:t>
      </w:r>
      <w:r w:rsidR="0030645C">
        <w:rPr>
          <w:kern w:val="22"/>
          <w:szCs w:val="22"/>
          <w:lang w:val="fr-FR"/>
        </w:rPr>
        <w:t xml:space="preserve">pour le renforcement des capacités </w:t>
      </w:r>
      <w:r w:rsidR="00D26E47" w:rsidRPr="00AB2BEB">
        <w:rPr>
          <w:kern w:val="22"/>
          <w:szCs w:val="22"/>
          <w:lang w:val="fr-FR"/>
        </w:rPr>
        <w:t xml:space="preserve">propose une liste </w:t>
      </w:r>
      <w:r w:rsidR="00D26E47" w:rsidRPr="00AB2BEB">
        <w:rPr>
          <w:i/>
          <w:kern w:val="22"/>
          <w:szCs w:val="22"/>
          <w:lang w:val="fr-FR"/>
        </w:rPr>
        <w:t>d</w:t>
      </w:r>
      <w:r w:rsidR="004645B4" w:rsidRPr="00AB2BEB">
        <w:rPr>
          <w:i/>
          <w:kern w:val="22"/>
          <w:szCs w:val="22"/>
          <w:lang w:val="fr-FR"/>
        </w:rPr>
        <w:t>’</w:t>
      </w:r>
      <w:r w:rsidR="00D26E47" w:rsidRPr="00AB2BEB">
        <w:rPr>
          <w:i/>
          <w:kern w:val="22"/>
          <w:szCs w:val="22"/>
          <w:lang w:val="fr-FR"/>
        </w:rPr>
        <w:t>exemples</w:t>
      </w:r>
      <w:r w:rsidR="00D26E47" w:rsidRPr="00AB2BEB">
        <w:rPr>
          <w:kern w:val="22"/>
          <w:szCs w:val="22"/>
          <w:lang w:val="fr-FR"/>
        </w:rPr>
        <w:t xml:space="preserve"> </w:t>
      </w:r>
      <w:r w:rsidR="003C1740">
        <w:rPr>
          <w:bCs/>
          <w:i/>
          <w:kern w:val="22"/>
          <w:szCs w:val="22"/>
          <w:lang w:val="fr-FR"/>
        </w:rPr>
        <w:t>d’activités de</w:t>
      </w:r>
      <w:r w:rsidR="00D26E47" w:rsidRPr="00AB2BEB">
        <w:rPr>
          <w:bCs/>
          <w:i/>
          <w:kern w:val="22"/>
          <w:szCs w:val="22"/>
          <w:lang w:val="fr-FR"/>
        </w:rPr>
        <w:t xml:space="preserve"> renforcement des capacités</w:t>
      </w:r>
      <w:r w:rsidR="00D26E47" w:rsidRPr="00AB2BEB">
        <w:rPr>
          <w:kern w:val="22"/>
          <w:szCs w:val="22"/>
          <w:lang w:val="fr-FR"/>
        </w:rPr>
        <w:t>, qui a été élaborée en tenant compte des activités de renforcement des capacités toujours pertinentes incluses, ent</w:t>
      </w:r>
      <w:r w:rsidR="0030645C">
        <w:rPr>
          <w:kern w:val="22"/>
          <w:szCs w:val="22"/>
          <w:lang w:val="fr-FR"/>
        </w:rPr>
        <w:t>re autres, dans le Cadre et p</w:t>
      </w:r>
      <w:r w:rsidR="00D26E47" w:rsidRPr="00AB2BEB">
        <w:rPr>
          <w:kern w:val="22"/>
          <w:szCs w:val="22"/>
          <w:lang w:val="fr-FR"/>
        </w:rPr>
        <w:t>lan d</w:t>
      </w:r>
      <w:r w:rsidR="004645B4" w:rsidRPr="00AB2BEB">
        <w:rPr>
          <w:kern w:val="22"/>
          <w:szCs w:val="22"/>
          <w:lang w:val="fr-FR"/>
        </w:rPr>
        <w:t>’</w:t>
      </w:r>
      <w:r w:rsidR="00D26E47" w:rsidRPr="00AB2BEB">
        <w:rPr>
          <w:kern w:val="22"/>
          <w:szCs w:val="22"/>
          <w:lang w:val="fr-FR"/>
        </w:rPr>
        <w:t>action pour le ren</w:t>
      </w:r>
      <w:r w:rsidR="00EC395C">
        <w:rPr>
          <w:kern w:val="22"/>
          <w:szCs w:val="22"/>
          <w:lang w:val="fr-FR"/>
        </w:rPr>
        <w:t xml:space="preserve">forcement des capacités en vue de </w:t>
      </w:r>
      <w:r w:rsidR="00D26E47" w:rsidRPr="00AB2BEB">
        <w:rPr>
          <w:kern w:val="22"/>
          <w:szCs w:val="22"/>
          <w:lang w:val="fr-FR"/>
        </w:rPr>
        <w:t>l</w:t>
      </w:r>
      <w:r w:rsidR="004645B4" w:rsidRPr="00AB2BEB">
        <w:rPr>
          <w:kern w:val="22"/>
          <w:szCs w:val="22"/>
          <w:lang w:val="fr-FR"/>
        </w:rPr>
        <w:t>’</w:t>
      </w:r>
      <w:r w:rsidR="00D26E47" w:rsidRPr="00AB2BEB">
        <w:rPr>
          <w:kern w:val="22"/>
          <w:szCs w:val="22"/>
          <w:lang w:val="fr-FR"/>
        </w:rPr>
        <w:t>application effe</w:t>
      </w:r>
      <w:r w:rsidR="0030645C">
        <w:rPr>
          <w:kern w:val="22"/>
          <w:szCs w:val="22"/>
          <w:lang w:val="fr-FR"/>
        </w:rPr>
        <w:t>ctive du Protocole de Cartagena sur la prévention des risques biotechnologiques, adopté en 2012</w:t>
      </w:r>
      <w:r w:rsidR="00D26E47" w:rsidRPr="00AB2BEB">
        <w:rPr>
          <w:kern w:val="22"/>
          <w:szCs w:val="22"/>
          <w:lang w:val="fr-FR"/>
        </w:rPr>
        <w:t>, ainsi que dans le programme de travail sur la sensibilisation, l</w:t>
      </w:r>
      <w:r w:rsidR="004645B4" w:rsidRPr="00AB2BEB">
        <w:rPr>
          <w:kern w:val="22"/>
          <w:szCs w:val="22"/>
          <w:lang w:val="fr-FR"/>
        </w:rPr>
        <w:t>’</w:t>
      </w:r>
      <w:r w:rsidR="00D26E47" w:rsidRPr="00AB2BEB">
        <w:rPr>
          <w:kern w:val="22"/>
          <w:szCs w:val="22"/>
          <w:lang w:val="fr-FR"/>
        </w:rPr>
        <w:t>éducation et la participation du public. Les activités de renforcement des</w:t>
      </w:r>
      <w:r w:rsidR="003C1740">
        <w:rPr>
          <w:kern w:val="22"/>
          <w:szCs w:val="22"/>
          <w:lang w:val="fr-FR"/>
        </w:rPr>
        <w:t xml:space="preserve"> capacités visent à appuyer</w:t>
      </w:r>
      <w:r w:rsidR="00D26E47" w:rsidRPr="00AB2BEB">
        <w:rPr>
          <w:kern w:val="22"/>
          <w:szCs w:val="22"/>
          <w:lang w:val="fr-FR"/>
        </w:rPr>
        <w:t xml:space="preserve"> l</w:t>
      </w:r>
      <w:r w:rsidR="004645B4" w:rsidRPr="00AB2BEB">
        <w:rPr>
          <w:kern w:val="22"/>
          <w:szCs w:val="22"/>
          <w:lang w:val="fr-FR"/>
        </w:rPr>
        <w:t>’</w:t>
      </w:r>
      <w:r w:rsidR="00D26E47" w:rsidRPr="00AB2BEB">
        <w:rPr>
          <w:kern w:val="22"/>
          <w:szCs w:val="22"/>
          <w:lang w:val="fr-FR"/>
        </w:rPr>
        <w:t>application effective du Protocole de Cartagena. Les activités peuvent contribuer à un ou plusieurs résultats</w:t>
      </w:r>
      <w:r w:rsidRPr="00AB2BEB">
        <w:rPr>
          <w:szCs w:val="22"/>
          <w:lang w:val="fr-FR"/>
        </w:rPr>
        <w:t>.</w:t>
      </w:r>
    </w:p>
    <w:p w14:paraId="131FA84A" w14:textId="5F2F7DA6" w:rsidR="00633D52" w:rsidRPr="00AB2BEB" w:rsidRDefault="00633D52" w:rsidP="00633D52">
      <w:pPr>
        <w:spacing w:before="120" w:after="120"/>
        <w:rPr>
          <w:szCs w:val="22"/>
          <w:lang w:val="fr-FR"/>
        </w:rPr>
      </w:pPr>
      <w:r w:rsidRPr="00AB2BEB">
        <w:rPr>
          <w:szCs w:val="22"/>
          <w:lang w:val="fr-FR"/>
        </w:rPr>
        <w:t>10.</w:t>
      </w:r>
      <w:r w:rsidRPr="00AB2BEB">
        <w:rPr>
          <w:szCs w:val="22"/>
          <w:lang w:val="fr-FR"/>
        </w:rPr>
        <w:tab/>
      </w:r>
      <w:r w:rsidR="00D17085" w:rsidRPr="00AB2BEB">
        <w:rPr>
          <w:kern w:val="22"/>
          <w:szCs w:val="22"/>
          <w:lang w:val="fr-FR"/>
        </w:rPr>
        <w:t xml:space="preserve">Les domaines clés et les activités de renforcement des capacités décrits dans le </w:t>
      </w:r>
      <w:r w:rsidR="006A6FCE">
        <w:rPr>
          <w:kern w:val="22"/>
          <w:szCs w:val="22"/>
          <w:lang w:val="fr-FR"/>
        </w:rPr>
        <w:t>Plan</w:t>
      </w:r>
      <w:r w:rsidR="00D17085" w:rsidRPr="00AB2BEB">
        <w:rPr>
          <w:kern w:val="22"/>
          <w:szCs w:val="22"/>
          <w:lang w:val="fr-FR"/>
        </w:rPr>
        <w:t xml:space="preserve"> d</w:t>
      </w:r>
      <w:r w:rsidR="004645B4" w:rsidRPr="00AB2BEB">
        <w:rPr>
          <w:kern w:val="22"/>
          <w:szCs w:val="22"/>
          <w:lang w:val="fr-FR"/>
        </w:rPr>
        <w:t>’</w:t>
      </w:r>
      <w:r w:rsidR="00D17085" w:rsidRPr="00AB2BEB">
        <w:rPr>
          <w:kern w:val="22"/>
          <w:szCs w:val="22"/>
          <w:lang w:val="fr-FR"/>
        </w:rPr>
        <w:t>action pour le renforcement des capacités ne sont pas censés être normatifs ou exhaustifs. Les domaines clés sont présentés à titre indicatif comme des domaines dans lesquels des capacités peuvent être nécessaires e</w:t>
      </w:r>
      <w:r w:rsidR="003C1740">
        <w:rPr>
          <w:kern w:val="22"/>
          <w:szCs w:val="22"/>
          <w:lang w:val="fr-FR"/>
        </w:rPr>
        <w:t>t sur lesquels les activités</w:t>
      </w:r>
      <w:r w:rsidR="00D17085" w:rsidRPr="00AB2BEB">
        <w:rPr>
          <w:kern w:val="22"/>
          <w:szCs w:val="22"/>
          <w:lang w:val="fr-FR"/>
        </w:rPr>
        <w:t xml:space="preserve"> de renforcement des capacités peuvent se concentrer, en fonction des circonstances et des besoins nationaux. Les activités de </w:t>
      </w:r>
      <w:r w:rsidR="003C1740">
        <w:rPr>
          <w:kern w:val="22"/>
          <w:szCs w:val="22"/>
          <w:lang w:val="fr-FR"/>
        </w:rPr>
        <w:t xml:space="preserve">renforcement des capacités énumérées constituent </w:t>
      </w:r>
      <w:r w:rsidR="00D17085" w:rsidRPr="00AB2BEB">
        <w:rPr>
          <w:kern w:val="22"/>
          <w:szCs w:val="22"/>
          <w:lang w:val="fr-FR"/>
        </w:rPr>
        <w:t>des exemples, et non une l</w:t>
      </w:r>
      <w:r w:rsidR="003C1740">
        <w:rPr>
          <w:kern w:val="22"/>
          <w:szCs w:val="22"/>
          <w:lang w:val="fr-FR"/>
        </w:rPr>
        <w:t xml:space="preserve">iste exhaustive, car chaque </w:t>
      </w:r>
      <w:r w:rsidR="00D17085" w:rsidRPr="00AB2BEB">
        <w:rPr>
          <w:kern w:val="22"/>
          <w:szCs w:val="22"/>
          <w:lang w:val="fr-FR"/>
        </w:rPr>
        <w:t xml:space="preserve">pays doit adapter les activités à sa réalité et à ses besoins. Il est </w:t>
      </w:r>
      <w:r w:rsidR="003C1740">
        <w:rPr>
          <w:kern w:val="22"/>
          <w:szCs w:val="22"/>
          <w:lang w:val="fr-FR"/>
        </w:rPr>
        <w:t xml:space="preserve">bien </w:t>
      </w:r>
      <w:r w:rsidR="00D17085" w:rsidRPr="00AB2BEB">
        <w:rPr>
          <w:kern w:val="22"/>
          <w:szCs w:val="22"/>
          <w:lang w:val="fr-FR"/>
        </w:rPr>
        <w:t>reconnu que les circonstances et les besoins nationaux et régionaux</w:t>
      </w:r>
      <w:r w:rsidR="003C1740">
        <w:rPr>
          <w:kern w:val="22"/>
          <w:szCs w:val="22"/>
          <w:lang w:val="fr-FR"/>
        </w:rPr>
        <w:t xml:space="preserve"> doivent en fin de compte conditionner</w:t>
      </w:r>
      <w:r w:rsidR="00D17085" w:rsidRPr="00AB2BEB">
        <w:rPr>
          <w:kern w:val="22"/>
          <w:szCs w:val="22"/>
          <w:lang w:val="fr-FR"/>
        </w:rPr>
        <w:t xml:space="preserve"> la conception et la réalisation des activités de renforcement des capacités, en tenant </w:t>
      </w:r>
      <w:r w:rsidR="003C1740">
        <w:rPr>
          <w:kern w:val="22"/>
          <w:szCs w:val="22"/>
          <w:lang w:val="fr-FR"/>
        </w:rPr>
        <w:t>compte également</w:t>
      </w:r>
      <w:r w:rsidR="00D17085" w:rsidRPr="00AB2BEB">
        <w:rPr>
          <w:kern w:val="22"/>
          <w:szCs w:val="22"/>
          <w:lang w:val="fr-FR"/>
        </w:rPr>
        <w:t xml:space="preserve"> des orientations stratégiques fournies dans le cadre stratégique à</w:t>
      </w:r>
      <w:r w:rsidR="003C1740">
        <w:rPr>
          <w:kern w:val="22"/>
          <w:szCs w:val="22"/>
          <w:lang w:val="fr-FR"/>
        </w:rPr>
        <w:t xml:space="preserve"> long terme pour </w:t>
      </w:r>
      <w:r w:rsidR="00D17085" w:rsidRPr="00AB2BEB">
        <w:rPr>
          <w:kern w:val="22"/>
          <w:szCs w:val="22"/>
          <w:lang w:val="fr-FR"/>
        </w:rPr>
        <w:t>le renforcement des capacités</w:t>
      </w:r>
      <w:r w:rsidR="003C1740" w:rsidRPr="003C1740">
        <w:rPr>
          <w:kern w:val="22"/>
          <w:szCs w:val="22"/>
          <w:lang w:val="fr-FR"/>
        </w:rPr>
        <w:t xml:space="preserve"> </w:t>
      </w:r>
      <w:r w:rsidR="003C1740">
        <w:rPr>
          <w:kern w:val="22"/>
          <w:szCs w:val="22"/>
          <w:lang w:val="fr-FR"/>
        </w:rPr>
        <w:t>et la création de capacités</w:t>
      </w:r>
      <w:r w:rsidR="00D17085" w:rsidRPr="00AB2BEB">
        <w:rPr>
          <w:kern w:val="22"/>
          <w:szCs w:val="22"/>
          <w:lang w:val="fr-FR"/>
        </w:rPr>
        <w:t>, le cas échéant</w:t>
      </w:r>
      <w:r w:rsidRPr="00AB2BEB">
        <w:rPr>
          <w:szCs w:val="22"/>
          <w:lang w:val="fr-FR"/>
        </w:rPr>
        <w:t>.</w:t>
      </w:r>
    </w:p>
    <w:p w14:paraId="131FA84B" w14:textId="040EEDA9" w:rsidR="00633D52" w:rsidRPr="00AB2BEB" w:rsidRDefault="00633D52">
      <w:pPr>
        <w:spacing w:before="120" w:after="120"/>
        <w:rPr>
          <w:szCs w:val="22"/>
          <w:lang w:val="fr-FR"/>
        </w:rPr>
      </w:pPr>
      <w:r w:rsidRPr="00AB2BEB">
        <w:rPr>
          <w:szCs w:val="22"/>
          <w:lang w:val="fr-FR"/>
        </w:rPr>
        <w:t>11.</w:t>
      </w:r>
      <w:r w:rsidRPr="00AB2BEB">
        <w:rPr>
          <w:szCs w:val="22"/>
          <w:lang w:val="fr-FR"/>
        </w:rPr>
        <w:tab/>
      </w:r>
      <w:r w:rsidR="006D1FEA" w:rsidRPr="00AB2BEB">
        <w:rPr>
          <w:rFonts w:eastAsia="MS Mincho"/>
          <w:kern w:val="22"/>
          <w:szCs w:val="22"/>
          <w:lang w:val="fr-FR" w:eastAsia="ja-JP"/>
        </w:rPr>
        <w:t xml:space="preserve">Le </w:t>
      </w:r>
      <w:r w:rsidR="006A6FCE">
        <w:rPr>
          <w:rFonts w:eastAsia="MS Mincho"/>
          <w:kern w:val="22"/>
          <w:szCs w:val="22"/>
          <w:lang w:val="fr-FR" w:eastAsia="ja-JP"/>
        </w:rPr>
        <w:t>Plan</w:t>
      </w:r>
      <w:r w:rsidR="006D1FEA" w:rsidRPr="00AB2BEB">
        <w:rPr>
          <w:rFonts w:eastAsia="MS Mincho"/>
          <w:kern w:val="22"/>
          <w:szCs w:val="22"/>
          <w:lang w:val="fr-FR" w:eastAsia="ja-JP"/>
        </w:rPr>
        <w:t xml:space="preserve"> d</w:t>
      </w:r>
      <w:r w:rsidR="004645B4" w:rsidRPr="00AB2BEB">
        <w:rPr>
          <w:rFonts w:eastAsia="MS Mincho"/>
          <w:kern w:val="22"/>
          <w:szCs w:val="22"/>
          <w:lang w:val="fr-FR" w:eastAsia="ja-JP"/>
        </w:rPr>
        <w:t>’</w:t>
      </w:r>
      <w:r w:rsidR="006D1FEA" w:rsidRPr="00AB2BEB">
        <w:rPr>
          <w:rFonts w:eastAsia="MS Mincho"/>
          <w:kern w:val="22"/>
          <w:szCs w:val="22"/>
          <w:lang w:val="fr-FR" w:eastAsia="ja-JP"/>
        </w:rPr>
        <w:t xml:space="preserve">action </w:t>
      </w:r>
      <w:r w:rsidR="0030645C">
        <w:rPr>
          <w:rFonts w:eastAsia="MS Mincho"/>
          <w:kern w:val="22"/>
          <w:szCs w:val="22"/>
          <w:lang w:val="fr-FR" w:eastAsia="ja-JP"/>
        </w:rPr>
        <w:t xml:space="preserve">pour le renforcement des capacités </w:t>
      </w:r>
      <w:r w:rsidR="006D1FEA" w:rsidRPr="00AB2BEB">
        <w:rPr>
          <w:rFonts w:eastAsia="MS Mincho"/>
          <w:kern w:val="22"/>
          <w:szCs w:val="22"/>
          <w:lang w:val="fr-FR" w:eastAsia="ja-JP"/>
        </w:rPr>
        <w:t>fournit également une série d</w:t>
      </w:r>
      <w:r w:rsidR="004645B4" w:rsidRPr="00AB2BEB">
        <w:rPr>
          <w:rFonts w:eastAsia="MS Mincho"/>
          <w:kern w:val="22"/>
          <w:szCs w:val="22"/>
          <w:lang w:val="fr-FR" w:eastAsia="ja-JP"/>
        </w:rPr>
        <w:t>’</w:t>
      </w:r>
      <w:r w:rsidR="006D1FEA" w:rsidRPr="00AB2BEB">
        <w:rPr>
          <w:rFonts w:eastAsia="MS Mincho"/>
          <w:kern w:val="22"/>
          <w:szCs w:val="22"/>
          <w:lang w:val="fr-FR" w:eastAsia="ja-JP"/>
        </w:rPr>
        <w:t>indicateurs visant à mesurer</w:t>
      </w:r>
      <w:r w:rsidR="00EC395C">
        <w:rPr>
          <w:rFonts w:eastAsia="MS Mincho"/>
          <w:kern w:val="22"/>
          <w:szCs w:val="22"/>
          <w:lang w:val="fr-FR" w:eastAsia="ja-JP"/>
        </w:rPr>
        <w:t xml:space="preserve"> le succès des activités et/ou la co</w:t>
      </w:r>
      <w:bookmarkStart w:id="1" w:name="_GoBack"/>
      <w:bookmarkEnd w:id="1"/>
      <w:r w:rsidR="00EC395C">
        <w:rPr>
          <w:rFonts w:eastAsia="MS Mincho"/>
          <w:kern w:val="22"/>
          <w:szCs w:val="22"/>
          <w:lang w:val="fr-FR" w:eastAsia="ja-JP"/>
        </w:rPr>
        <w:t>ntribution</w:t>
      </w:r>
      <w:r w:rsidR="006D1FEA" w:rsidRPr="00AB2BEB">
        <w:rPr>
          <w:rFonts w:eastAsia="MS Mincho"/>
          <w:kern w:val="22"/>
          <w:szCs w:val="22"/>
          <w:lang w:val="fr-FR" w:eastAsia="ja-JP"/>
        </w:rPr>
        <w:t xml:space="preserve"> </w:t>
      </w:r>
      <w:r w:rsidR="00EC395C">
        <w:rPr>
          <w:rFonts w:eastAsia="MS Mincho"/>
          <w:kern w:val="22"/>
          <w:szCs w:val="22"/>
          <w:lang w:val="fr-FR" w:eastAsia="ja-JP"/>
        </w:rPr>
        <w:t>des activités aux résultats. Ces indicateurs</w:t>
      </w:r>
      <w:r w:rsidR="006D1FEA" w:rsidRPr="00AB2BEB">
        <w:rPr>
          <w:rFonts w:eastAsia="MS Mincho"/>
          <w:kern w:val="22"/>
          <w:szCs w:val="22"/>
          <w:lang w:val="fr-FR" w:eastAsia="ja-JP"/>
        </w:rPr>
        <w:t xml:space="preserve"> se veulent simples, </w:t>
      </w:r>
      <w:r w:rsidR="00EC395C">
        <w:rPr>
          <w:rFonts w:eastAsia="MS Mincho"/>
          <w:kern w:val="22"/>
          <w:szCs w:val="22"/>
          <w:lang w:val="fr-FR" w:eastAsia="ja-JP"/>
        </w:rPr>
        <w:t>mesurables et pertinents pour les</w:t>
      </w:r>
      <w:r w:rsidR="006D1FEA" w:rsidRPr="00AB2BEB">
        <w:rPr>
          <w:rFonts w:eastAsia="MS Mincho"/>
          <w:kern w:val="22"/>
          <w:szCs w:val="22"/>
          <w:lang w:val="fr-FR" w:eastAsia="ja-JP"/>
        </w:rPr>
        <w:t xml:space="preserve"> résultat</w:t>
      </w:r>
      <w:r w:rsidR="00EC395C">
        <w:rPr>
          <w:rFonts w:eastAsia="MS Mincho"/>
          <w:kern w:val="22"/>
          <w:szCs w:val="22"/>
          <w:lang w:val="fr-FR" w:eastAsia="ja-JP"/>
        </w:rPr>
        <w:t>s</w:t>
      </w:r>
      <w:r w:rsidR="006D1FEA" w:rsidRPr="00AB2BEB">
        <w:rPr>
          <w:rFonts w:eastAsia="MS Mincho"/>
          <w:kern w:val="22"/>
          <w:szCs w:val="22"/>
          <w:lang w:val="fr-FR" w:eastAsia="ja-JP"/>
        </w:rPr>
        <w:t>. Chaque indicateur fait référence à une activité et/ou un résultat</w:t>
      </w:r>
      <w:r w:rsidRPr="00AB2BEB">
        <w:rPr>
          <w:szCs w:val="22"/>
          <w:lang w:val="fr-FR"/>
        </w:rPr>
        <w:t>.</w:t>
      </w:r>
    </w:p>
    <w:p w14:paraId="131FA84C" w14:textId="6CEA4513" w:rsidR="00633D52" w:rsidRPr="00AB2BEB" w:rsidRDefault="00DF2495" w:rsidP="00633D52">
      <w:pPr>
        <w:spacing w:before="120" w:after="120"/>
        <w:rPr>
          <w:szCs w:val="22"/>
          <w:lang w:val="fr-FR"/>
        </w:rPr>
      </w:pPr>
      <w:r w:rsidRPr="00AB2BEB">
        <w:rPr>
          <w:szCs w:val="22"/>
          <w:lang w:val="fr-FR"/>
        </w:rPr>
        <w:t>12</w:t>
      </w:r>
      <w:r w:rsidR="00633D52" w:rsidRPr="00AB2BEB">
        <w:rPr>
          <w:szCs w:val="22"/>
          <w:lang w:val="fr-FR"/>
        </w:rPr>
        <w:t>.</w:t>
      </w:r>
      <w:r w:rsidR="00633D52" w:rsidRPr="00AB2BEB">
        <w:rPr>
          <w:szCs w:val="22"/>
          <w:lang w:val="fr-FR"/>
        </w:rPr>
        <w:tab/>
      </w:r>
      <w:r w:rsidR="006D1FEA" w:rsidRPr="00AB2BEB">
        <w:rPr>
          <w:kern w:val="22"/>
          <w:szCs w:val="22"/>
          <w:lang w:val="fr-FR" w:eastAsia="ja-JP"/>
        </w:rPr>
        <w:t>Les informations sur les activités de renforcement des capacités entreprises ou</w:t>
      </w:r>
      <w:r w:rsidR="0030645C">
        <w:rPr>
          <w:kern w:val="22"/>
          <w:szCs w:val="22"/>
          <w:lang w:val="fr-FR" w:eastAsia="ja-JP"/>
        </w:rPr>
        <w:t xml:space="preserve"> sur</w:t>
      </w:r>
      <w:r w:rsidR="006D1FEA" w:rsidRPr="00AB2BEB">
        <w:rPr>
          <w:kern w:val="22"/>
          <w:szCs w:val="22"/>
          <w:lang w:val="fr-FR" w:eastAsia="ja-JP"/>
        </w:rPr>
        <w:t xml:space="preserve"> les ressources ou matériels de renforcement des capacités élaborés dans le cadre du </w:t>
      </w:r>
      <w:r w:rsidR="006A6FCE">
        <w:rPr>
          <w:kern w:val="22"/>
          <w:szCs w:val="22"/>
          <w:lang w:val="fr-FR" w:eastAsia="ja-JP"/>
        </w:rPr>
        <w:t>Plan</w:t>
      </w:r>
      <w:r w:rsidR="006D1FEA" w:rsidRPr="00AB2BEB">
        <w:rPr>
          <w:kern w:val="22"/>
          <w:szCs w:val="22"/>
          <w:lang w:val="fr-FR" w:eastAsia="ja-JP"/>
        </w:rPr>
        <w:t xml:space="preserve"> d</w:t>
      </w:r>
      <w:r w:rsidR="004645B4" w:rsidRPr="00AB2BEB">
        <w:rPr>
          <w:kern w:val="22"/>
          <w:szCs w:val="22"/>
          <w:lang w:val="fr-FR" w:eastAsia="ja-JP"/>
        </w:rPr>
        <w:t>’</w:t>
      </w:r>
      <w:r w:rsidR="006D1FEA" w:rsidRPr="00AB2BEB">
        <w:rPr>
          <w:kern w:val="22"/>
          <w:szCs w:val="22"/>
          <w:lang w:val="fr-FR" w:eastAsia="ja-JP"/>
        </w:rPr>
        <w:t>action pour le renforcement des capacités devraient être partagé</w:t>
      </w:r>
      <w:r w:rsidR="0030645C">
        <w:rPr>
          <w:kern w:val="22"/>
          <w:szCs w:val="22"/>
          <w:lang w:val="fr-FR" w:eastAsia="ja-JP"/>
        </w:rPr>
        <w:t>e</w:t>
      </w:r>
      <w:r w:rsidR="006D1FEA" w:rsidRPr="00AB2BEB">
        <w:rPr>
          <w:kern w:val="22"/>
          <w:szCs w:val="22"/>
          <w:lang w:val="fr-FR" w:eastAsia="ja-JP"/>
        </w:rPr>
        <w:t>s par l</w:t>
      </w:r>
      <w:r w:rsidR="00EC395C">
        <w:rPr>
          <w:kern w:val="22"/>
          <w:szCs w:val="22"/>
          <w:lang w:val="fr-FR" w:eastAsia="ja-JP"/>
        </w:rPr>
        <w:t>e biais</w:t>
      </w:r>
      <w:r w:rsidR="006D1FEA" w:rsidRPr="00AB2BEB">
        <w:rPr>
          <w:kern w:val="22"/>
          <w:szCs w:val="22"/>
          <w:lang w:val="fr-FR" w:eastAsia="ja-JP"/>
        </w:rPr>
        <w:t xml:space="preserve"> du Centre d</w:t>
      </w:r>
      <w:r w:rsidR="004645B4" w:rsidRPr="00AB2BEB">
        <w:rPr>
          <w:kern w:val="22"/>
          <w:szCs w:val="22"/>
          <w:lang w:val="fr-FR" w:eastAsia="ja-JP"/>
        </w:rPr>
        <w:t>’</w:t>
      </w:r>
      <w:r w:rsidR="006D1FEA" w:rsidRPr="00AB2BEB">
        <w:rPr>
          <w:kern w:val="22"/>
          <w:szCs w:val="22"/>
          <w:lang w:val="fr-FR" w:eastAsia="ja-JP"/>
        </w:rPr>
        <w:t>échange pour la prévention des risques biotechnologiques</w:t>
      </w:r>
      <w:r w:rsidR="00633D52" w:rsidRPr="00AB2BEB">
        <w:rPr>
          <w:szCs w:val="22"/>
          <w:lang w:val="fr-FR"/>
        </w:rPr>
        <w:t>.</w:t>
      </w:r>
    </w:p>
    <w:p w14:paraId="131FA84D" w14:textId="77777777" w:rsidR="00633D52" w:rsidRPr="00AB2BEB" w:rsidRDefault="00B51FF0" w:rsidP="00633D52">
      <w:pPr>
        <w:keepNext/>
        <w:spacing w:before="120" w:after="160"/>
        <w:jc w:val="center"/>
        <w:rPr>
          <w:i/>
          <w:szCs w:val="22"/>
          <w:lang w:val="fr-FR"/>
        </w:rPr>
      </w:pPr>
      <w:r w:rsidRPr="00AB2BEB">
        <w:rPr>
          <w:i/>
          <w:iCs/>
          <w:kern w:val="22"/>
          <w:szCs w:val="22"/>
          <w:lang w:val="fr-FR" w:eastAsia="ja-JP"/>
        </w:rPr>
        <w:t>Intervenants en matière de renforcement des capacités et publics ciblés</w:t>
      </w:r>
    </w:p>
    <w:p w14:paraId="131FA84E" w14:textId="77777777" w:rsidR="00633D52" w:rsidRPr="00AB2BEB" w:rsidRDefault="00DF2495" w:rsidP="00633D52">
      <w:pPr>
        <w:spacing w:before="120" w:after="120"/>
        <w:rPr>
          <w:szCs w:val="22"/>
          <w:lang w:val="fr-FR"/>
        </w:rPr>
      </w:pPr>
      <w:r w:rsidRPr="00AB2BEB">
        <w:rPr>
          <w:szCs w:val="22"/>
          <w:lang w:val="fr-FR"/>
        </w:rPr>
        <w:t>13</w:t>
      </w:r>
      <w:r w:rsidR="00633D52" w:rsidRPr="00AB2BEB">
        <w:rPr>
          <w:szCs w:val="22"/>
          <w:lang w:val="fr-FR"/>
        </w:rPr>
        <w:t>.</w:t>
      </w:r>
      <w:r w:rsidR="00633D52" w:rsidRPr="00AB2BEB">
        <w:rPr>
          <w:szCs w:val="22"/>
          <w:lang w:val="fr-FR"/>
        </w:rPr>
        <w:tab/>
      </w:r>
      <w:r w:rsidR="00B51FF0" w:rsidRPr="00AB2BEB">
        <w:rPr>
          <w:kern w:val="22"/>
          <w:szCs w:val="22"/>
          <w:lang w:val="fr-FR"/>
        </w:rPr>
        <w:t>Les activités de renforcement des capacités peuvent être menées à différents niveaux, notamment aux niveaux national, régional et mondial.</w:t>
      </w:r>
    </w:p>
    <w:p w14:paraId="131FA84F" w14:textId="03C94E13" w:rsidR="00633D52" w:rsidRPr="00AB2BEB" w:rsidRDefault="00DF2495" w:rsidP="00633D52">
      <w:pPr>
        <w:spacing w:before="120" w:after="120"/>
        <w:rPr>
          <w:szCs w:val="22"/>
          <w:lang w:val="fr-FR"/>
        </w:rPr>
      </w:pPr>
      <w:r w:rsidRPr="00AB2BEB">
        <w:rPr>
          <w:szCs w:val="22"/>
          <w:lang w:val="fr-FR"/>
        </w:rPr>
        <w:t>14</w:t>
      </w:r>
      <w:r w:rsidR="00633D52" w:rsidRPr="00AB2BEB">
        <w:rPr>
          <w:szCs w:val="22"/>
          <w:lang w:val="fr-FR"/>
        </w:rPr>
        <w:t>.</w:t>
      </w:r>
      <w:r w:rsidR="00633D52" w:rsidRPr="00AB2BEB">
        <w:rPr>
          <w:szCs w:val="22"/>
          <w:lang w:val="fr-FR"/>
        </w:rPr>
        <w:tab/>
      </w:r>
      <w:r w:rsidR="00EC395C">
        <w:rPr>
          <w:kern w:val="22"/>
          <w:szCs w:val="22"/>
          <w:lang w:val="fr-FR" w:eastAsia="ja-JP"/>
        </w:rPr>
        <w:t>Différent</w:t>
      </w:r>
      <w:r w:rsidR="00F840EA" w:rsidRPr="00AB2BEB">
        <w:rPr>
          <w:kern w:val="22"/>
          <w:szCs w:val="22"/>
          <w:lang w:val="fr-FR" w:eastAsia="ja-JP"/>
        </w:rPr>
        <w:t>s acteurs peuvent être associés à la mise en œuvre des activités de renforcement des capacités. L</w:t>
      </w:r>
      <w:r w:rsidR="004645B4" w:rsidRPr="00AB2BEB">
        <w:rPr>
          <w:kern w:val="22"/>
          <w:szCs w:val="22"/>
          <w:lang w:val="fr-FR" w:eastAsia="ja-JP"/>
        </w:rPr>
        <w:t>’</w:t>
      </w:r>
      <w:r w:rsidR="00F840EA" w:rsidRPr="00AB2BEB">
        <w:rPr>
          <w:kern w:val="22"/>
          <w:szCs w:val="22"/>
          <w:lang w:val="fr-FR" w:eastAsia="ja-JP"/>
        </w:rPr>
        <w:t>identification des acteurs à cet égard dépend largement des circonstances, des besoins et des priorités à l</w:t>
      </w:r>
      <w:r w:rsidR="004645B4" w:rsidRPr="00AB2BEB">
        <w:rPr>
          <w:kern w:val="22"/>
          <w:szCs w:val="22"/>
          <w:lang w:val="fr-FR" w:eastAsia="ja-JP"/>
        </w:rPr>
        <w:t>’</w:t>
      </w:r>
      <w:r w:rsidR="00F840EA" w:rsidRPr="00AB2BEB">
        <w:rPr>
          <w:kern w:val="22"/>
          <w:szCs w:val="22"/>
          <w:lang w:val="fr-FR" w:eastAsia="ja-JP"/>
        </w:rPr>
        <w:t xml:space="preserve">échelle nationale. Ces acteurs peuvent inclure, entre autres, les autorités et institutions nationales compétentes, </w:t>
      </w:r>
      <w:r w:rsidR="00EC395C">
        <w:rPr>
          <w:kern w:val="22"/>
          <w:szCs w:val="22"/>
          <w:lang w:val="fr-FR" w:eastAsia="ja-JP"/>
        </w:rPr>
        <w:t>les agents de douanes et de contrôle aux frontières</w:t>
      </w:r>
      <w:r w:rsidR="008C5044" w:rsidRPr="00AB2BEB">
        <w:rPr>
          <w:kern w:val="22"/>
          <w:szCs w:val="22"/>
          <w:lang w:val="fr-FR" w:eastAsia="ja-JP"/>
        </w:rPr>
        <w:t>, d</w:t>
      </w:r>
      <w:r w:rsidR="004645B4" w:rsidRPr="00AB2BEB">
        <w:rPr>
          <w:kern w:val="22"/>
          <w:szCs w:val="22"/>
          <w:lang w:val="fr-FR" w:eastAsia="ja-JP"/>
        </w:rPr>
        <w:t>’</w:t>
      </w:r>
      <w:r w:rsidR="008C5044" w:rsidRPr="00AB2BEB">
        <w:rPr>
          <w:kern w:val="22"/>
          <w:szCs w:val="22"/>
          <w:lang w:val="fr-FR" w:eastAsia="ja-JP"/>
        </w:rPr>
        <w:t xml:space="preserve">autres </w:t>
      </w:r>
      <w:r w:rsidR="00F840EA" w:rsidRPr="00AB2BEB">
        <w:rPr>
          <w:kern w:val="22"/>
          <w:szCs w:val="22"/>
          <w:lang w:val="fr-FR" w:eastAsia="ja-JP"/>
        </w:rPr>
        <w:t>gouvernements,</w:t>
      </w:r>
      <w:r w:rsidR="0098202F">
        <w:rPr>
          <w:kern w:val="22"/>
          <w:szCs w:val="22"/>
          <w:lang w:val="fr-FR" w:eastAsia="ja-JP"/>
        </w:rPr>
        <w:t xml:space="preserve"> les établissements</w:t>
      </w:r>
      <w:r w:rsidR="008C5044" w:rsidRPr="00AB2BEB">
        <w:rPr>
          <w:kern w:val="22"/>
          <w:szCs w:val="22"/>
          <w:lang w:val="fr-FR" w:eastAsia="ja-JP"/>
        </w:rPr>
        <w:t xml:space="preserve"> universitaire</w:t>
      </w:r>
      <w:r w:rsidR="0098202F">
        <w:rPr>
          <w:kern w:val="22"/>
          <w:szCs w:val="22"/>
          <w:lang w:val="fr-FR" w:eastAsia="ja-JP"/>
        </w:rPr>
        <w:t>s</w:t>
      </w:r>
      <w:r w:rsidR="008C5044" w:rsidRPr="00AB2BEB">
        <w:rPr>
          <w:kern w:val="22"/>
          <w:szCs w:val="22"/>
          <w:lang w:val="fr-FR" w:eastAsia="ja-JP"/>
        </w:rPr>
        <w:t>,</w:t>
      </w:r>
      <w:r w:rsidR="00F840EA" w:rsidRPr="00AB2BEB">
        <w:rPr>
          <w:kern w:val="22"/>
          <w:szCs w:val="22"/>
          <w:lang w:val="fr-FR" w:eastAsia="ja-JP"/>
        </w:rPr>
        <w:t xml:space="preserve"> les organismes de recherche,</w:t>
      </w:r>
      <w:r w:rsidR="00EC395C">
        <w:rPr>
          <w:kern w:val="22"/>
          <w:szCs w:val="22"/>
          <w:lang w:val="fr-FR" w:eastAsia="ja-JP"/>
        </w:rPr>
        <w:t xml:space="preserve"> l</w:t>
      </w:r>
      <w:r w:rsidR="008C5044" w:rsidRPr="00AB2BEB">
        <w:rPr>
          <w:kern w:val="22"/>
          <w:szCs w:val="22"/>
          <w:lang w:val="fr-FR" w:eastAsia="ja-JP"/>
        </w:rPr>
        <w:t xml:space="preserve">es réseaux de laboratoires, les peuples autochtones et les communautés locales, </w:t>
      </w:r>
      <w:r w:rsidR="00F840EA" w:rsidRPr="00AB2BEB">
        <w:rPr>
          <w:kern w:val="22"/>
          <w:szCs w:val="22"/>
          <w:lang w:val="fr-FR" w:eastAsia="ja-JP"/>
        </w:rPr>
        <w:t>les organisations non gouvernementales,</w:t>
      </w:r>
      <w:r w:rsidR="008C5044" w:rsidRPr="00AB2BEB">
        <w:rPr>
          <w:kern w:val="22"/>
          <w:szCs w:val="22"/>
          <w:lang w:val="fr-FR" w:eastAsia="ja-JP"/>
        </w:rPr>
        <w:t xml:space="preserve"> le public et d</w:t>
      </w:r>
      <w:r w:rsidR="004645B4" w:rsidRPr="00AB2BEB">
        <w:rPr>
          <w:kern w:val="22"/>
          <w:szCs w:val="22"/>
          <w:lang w:val="fr-FR" w:eastAsia="ja-JP"/>
        </w:rPr>
        <w:t>’</w:t>
      </w:r>
      <w:r w:rsidR="008C5044" w:rsidRPr="00AB2BEB">
        <w:rPr>
          <w:kern w:val="22"/>
          <w:szCs w:val="22"/>
          <w:lang w:val="fr-FR" w:eastAsia="ja-JP"/>
        </w:rPr>
        <w:t>autres parties prenantes concernées, le Fonds pour l</w:t>
      </w:r>
      <w:r w:rsidR="004645B4" w:rsidRPr="00AB2BEB">
        <w:rPr>
          <w:kern w:val="22"/>
          <w:szCs w:val="22"/>
          <w:lang w:val="fr-FR" w:eastAsia="ja-JP"/>
        </w:rPr>
        <w:t>’</w:t>
      </w:r>
      <w:r w:rsidR="008C5044" w:rsidRPr="00AB2BEB">
        <w:rPr>
          <w:kern w:val="22"/>
          <w:szCs w:val="22"/>
          <w:lang w:val="fr-FR" w:eastAsia="ja-JP"/>
        </w:rPr>
        <w:t>environnement mondial et d</w:t>
      </w:r>
      <w:r w:rsidR="004645B4" w:rsidRPr="00AB2BEB">
        <w:rPr>
          <w:kern w:val="22"/>
          <w:szCs w:val="22"/>
          <w:lang w:val="fr-FR" w:eastAsia="ja-JP"/>
        </w:rPr>
        <w:t>’</w:t>
      </w:r>
      <w:r w:rsidR="008C5044" w:rsidRPr="00AB2BEB">
        <w:rPr>
          <w:kern w:val="22"/>
          <w:szCs w:val="22"/>
          <w:lang w:val="fr-FR" w:eastAsia="ja-JP"/>
        </w:rPr>
        <w:t>autres organismes de financement internationaux,</w:t>
      </w:r>
      <w:r w:rsidR="00F840EA" w:rsidRPr="00AB2BEB">
        <w:rPr>
          <w:kern w:val="22"/>
          <w:szCs w:val="22"/>
          <w:lang w:val="fr-FR" w:eastAsia="ja-JP"/>
        </w:rPr>
        <w:t xml:space="preserve"> le secteur privé</w:t>
      </w:r>
      <w:r w:rsidR="008C5044" w:rsidRPr="00AB2BEB">
        <w:rPr>
          <w:kern w:val="22"/>
          <w:szCs w:val="22"/>
          <w:lang w:val="fr-FR" w:eastAsia="ja-JP"/>
        </w:rPr>
        <w:t>, y comp</w:t>
      </w:r>
      <w:r w:rsidR="00EC395C">
        <w:rPr>
          <w:kern w:val="22"/>
          <w:szCs w:val="22"/>
          <w:lang w:val="fr-FR" w:eastAsia="ja-JP"/>
        </w:rPr>
        <w:t>ris les banques, les entreprise</w:t>
      </w:r>
      <w:r w:rsidR="008C5044" w:rsidRPr="00AB2BEB">
        <w:rPr>
          <w:kern w:val="22"/>
          <w:szCs w:val="22"/>
          <w:lang w:val="fr-FR" w:eastAsia="ja-JP"/>
        </w:rPr>
        <w:t xml:space="preserve">s et les investisseurs, </w:t>
      </w:r>
      <w:r w:rsidR="00EC395C">
        <w:rPr>
          <w:kern w:val="22"/>
          <w:szCs w:val="22"/>
          <w:lang w:val="fr-FR" w:eastAsia="ja-JP"/>
        </w:rPr>
        <w:t xml:space="preserve">ainsi que </w:t>
      </w:r>
      <w:r w:rsidR="008C5044" w:rsidRPr="00AB2BEB">
        <w:rPr>
          <w:kern w:val="22"/>
          <w:szCs w:val="22"/>
          <w:lang w:val="fr-FR" w:eastAsia="ja-JP"/>
        </w:rPr>
        <w:t xml:space="preserve">les organismes des Nations Unies, </w:t>
      </w:r>
      <w:r w:rsidR="00F840EA" w:rsidRPr="00AB2BEB">
        <w:rPr>
          <w:kern w:val="22"/>
          <w:szCs w:val="22"/>
          <w:lang w:val="fr-FR" w:eastAsia="ja-JP"/>
        </w:rPr>
        <w:t>et le Secrétariat.</w:t>
      </w:r>
    </w:p>
    <w:p w14:paraId="131FA850" w14:textId="77777777" w:rsidR="00633D52" w:rsidRPr="00AB2BEB" w:rsidRDefault="00DF2495" w:rsidP="00633D52">
      <w:pPr>
        <w:spacing w:before="120" w:after="120"/>
        <w:rPr>
          <w:szCs w:val="22"/>
          <w:lang w:val="fr-FR"/>
        </w:rPr>
      </w:pPr>
      <w:r w:rsidRPr="00AB2BEB">
        <w:rPr>
          <w:szCs w:val="22"/>
          <w:lang w:val="fr-FR"/>
        </w:rPr>
        <w:lastRenderedPageBreak/>
        <w:t>15</w:t>
      </w:r>
      <w:r w:rsidR="00633D52" w:rsidRPr="00AB2BEB">
        <w:rPr>
          <w:szCs w:val="22"/>
          <w:lang w:val="fr-FR"/>
        </w:rPr>
        <w:t>.</w:t>
      </w:r>
      <w:r w:rsidR="00633D52" w:rsidRPr="00AB2BEB">
        <w:rPr>
          <w:szCs w:val="22"/>
          <w:lang w:val="fr-FR"/>
        </w:rPr>
        <w:tab/>
      </w:r>
      <w:r w:rsidR="00644763" w:rsidRPr="00AB2BEB">
        <w:rPr>
          <w:kern w:val="22"/>
          <w:szCs w:val="22"/>
          <w:lang w:val="fr-FR" w:eastAsia="ja-JP"/>
        </w:rPr>
        <w:t>De même, un éventail de publics ciblés pourrait bénéficier d</w:t>
      </w:r>
      <w:r w:rsidR="004645B4" w:rsidRPr="00AB2BEB">
        <w:rPr>
          <w:kern w:val="22"/>
          <w:szCs w:val="22"/>
          <w:lang w:val="fr-FR" w:eastAsia="ja-JP"/>
        </w:rPr>
        <w:t>’</w:t>
      </w:r>
      <w:r w:rsidR="00644763" w:rsidRPr="00AB2BEB">
        <w:rPr>
          <w:kern w:val="22"/>
          <w:szCs w:val="22"/>
          <w:lang w:val="fr-FR" w:eastAsia="ja-JP"/>
        </w:rPr>
        <w:t>activités spécifiques de renforcement des capacités, en fonction des circonstances, des besoins et des priorités à l</w:t>
      </w:r>
      <w:r w:rsidR="004645B4" w:rsidRPr="00AB2BEB">
        <w:rPr>
          <w:kern w:val="22"/>
          <w:szCs w:val="22"/>
          <w:lang w:val="fr-FR" w:eastAsia="ja-JP"/>
        </w:rPr>
        <w:t>’</w:t>
      </w:r>
      <w:r w:rsidR="00644763" w:rsidRPr="00AB2BEB">
        <w:rPr>
          <w:kern w:val="22"/>
          <w:szCs w:val="22"/>
          <w:lang w:val="fr-FR" w:eastAsia="ja-JP"/>
        </w:rPr>
        <w:t>échelle nationale. Ces publics pourraient inclure, entre autres, des décideurs, des autorités administratives, des techniciens de laboratoire et des agents de douanes</w:t>
      </w:r>
      <w:r w:rsidR="00633D52" w:rsidRPr="00AB2BEB">
        <w:rPr>
          <w:szCs w:val="22"/>
          <w:lang w:val="fr-FR"/>
        </w:rPr>
        <w:t>.</w:t>
      </w:r>
    </w:p>
    <w:p w14:paraId="131FA851" w14:textId="06194F81" w:rsidR="00633D52" w:rsidRPr="00AB2BEB" w:rsidRDefault="00DF2495" w:rsidP="00633D52">
      <w:pPr>
        <w:spacing w:before="120" w:after="120"/>
        <w:rPr>
          <w:szCs w:val="22"/>
          <w:lang w:val="fr-FR"/>
        </w:rPr>
      </w:pPr>
      <w:r w:rsidRPr="00AB2BEB">
        <w:rPr>
          <w:szCs w:val="22"/>
          <w:lang w:val="fr-FR"/>
        </w:rPr>
        <w:t>16</w:t>
      </w:r>
      <w:r w:rsidR="00633D52" w:rsidRPr="00AB2BEB">
        <w:rPr>
          <w:szCs w:val="22"/>
          <w:lang w:val="fr-FR"/>
        </w:rPr>
        <w:t>.</w:t>
      </w:r>
      <w:r w:rsidR="00633D52" w:rsidRPr="00AB2BEB">
        <w:rPr>
          <w:szCs w:val="22"/>
          <w:lang w:val="fr-FR"/>
        </w:rPr>
        <w:tab/>
      </w:r>
      <w:r w:rsidR="00644763" w:rsidRPr="00AB2BEB">
        <w:rPr>
          <w:kern w:val="22"/>
          <w:szCs w:val="22"/>
          <w:lang w:val="fr-FR" w:eastAsia="ja-JP"/>
        </w:rPr>
        <w:t>Les acteurs et les publics ciblés doivent être identifiés lors de la conception des activités de renforcement des capacités dans les différents domaines</w:t>
      </w:r>
      <w:r w:rsidR="0098202F">
        <w:rPr>
          <w:kern w:val="22"/>
          <w:szCs w:val="22"/>
          <w:lang w:val="fr-FR" w:eastAsia="ja-JP"/>
        </w:rPr>
        <w:t xml:space="preserve"> clés</w:t>
      </w:r>
      <w:r w:rsidR="00644763" w:rsidRPr="00AB2BEB">
        <w:rPr>
          <w:kern w:val="22"/>
          <w:szCs w:val="22"/>
          <w:lang w:val="fr-FR" w:eastAsia="ja-JP"/>
        </w:rPr>
        <w:t xml:space="preserve"> ou sur la base des exemples d</w:t>
      </w:r>
      <w:r w:rsidR="004645B4" w:rsidRPr="00AB2BEB">
        <w:rPr>
          <w:kern w:val="22"/>
          <w:szCs w:val="22"/>
          <w:lang w:val="fr-FR" w:eastAsia="ja-JP"/>
        </w:rPr>
        <w:t>’</w:t>
      </w:r>
      <w:r w:rsidR="00644763" w:rsidRPr="00AB2BEB">
        <w:rPr>
          <w:kern w:val="22"/>
          <w:szCs w:val="22"/>
          <w:lang w:val="fr-FR" w:eastAsia="ja-JP"/>
        </w:rPr>
        <w:t xml:space="preserve">activités décrites dans le </w:t>
      </w:r>
      <w:r w:rsidR="006A6FCE">
        <w:rPr>
          <w:kern w:val="22"/>
          <w:szCs w:val="22"/>
          <w:lang w:val="fr-FR" w:eastAsia="ja-JP"/>
        </w:rPr>
        <w:t>Plan</w:t>
      </w:r>
      <w:r w:rsidR="00644763" w:rsidRPr="00AB2BEB">
        <w:rPr>
          <w:kern w:val="22"/>
          <w:szCs w:val="22"/>
          <w:lang w:val="fr-FR" w:eastAsia="ja-JP"/>
        </w:rPr>
        <w:t xml:space="preserve"> d</w:t>
      </w:r>
      <w:r w:rsidR="004645B4" w:rsidRPr="00AB2BEB">
        <w:rPr>
          <w:kern w:val="22"/>
          <w:szCs w:val="22"/>
          <w:lang w:val="fr-FR" w:eastAsia="ja-JP"/>
        </w:rPr>
        <w:t>’</w:t>
      </w:r>
      <w:r w:rsidR="00644763" w:rsidRPr="00AB2BEB">
        <w:rPr>
          <w:kern w:val="22"/>
          <w:szCs w:val="22"/>
          <w:lang w:val="fr-FR" w:eastAsia="ja-JP"/>
        </w:rPr>
        <w:t>action pour le renforcement des capacités. Comme indiqué dans les b</w:t>
      </w:r>
      <w:r w:rsidR="0098202F">
        <w:rPr>
          <w:kern w:val="22"/>
          <w:szCs w:val="22"/>
          <w:lang w:val="fr-FR" w:eastAsia="ja-JP"/>
        </w:rPr>
        <w:t>uts de la partie « conditions</w:t>
      </w:r>
      <w:r w:rsidR="00644763" w:rsidRPr="00AB2BEB">
        <w:rPr>
          <w:kern w:val="22"/>
          <w:szCs w:val="22"/>
          <w:lang w:val="fr-FR" w:eastAsia="ja-JP"/>
        </w:rPr>
        <w:t xml:space="preserve"> favorable</w:t>
      </w:r>
      <w:r w:rsidR="0098202F">
        <w:rPr>
          <w:kern w:val="22"/>
          <w:szCs w:val="22"/>
          <w:lang w:val="fr-FR" w:eastAsia="ja-JP"/>
        </w:rPr>
        <w:t>s</w:t>
      </w:r>
      <w:r w:rsidR="00644763" w:rsidRPr="00AB2BEB">
        <w:rPr>
          <w:kern w:val="22"/>
          <w:szCs w:val="22"/>
          <w:lang w:val="fr-FR" w:eastAsia="ja-JP"/>
        </w:rPr>
        <w:t xml:space="preserve"> » du </w:t>
      </w:r>
      <w:r w:rsidR="006A6FCE">
        <w:rPr>
          <w:kern w:val="22"/>
          <w:szCs w:val="22"/>
          <w:lang w:val="fr-FR" w:eastAsia="ja-JP"/>
        </w:rPr>
        <w:t>Plan</w:t>
      </w:r>
      <w:r w:rsidR="00644763" w:rsidRPr="00AB2BEB">
        <w:rPr>
          <w:kern w:val="22"/>
          <w:szCs w:val="22"/>
          <w:lang w:val="fr-FR" w:eastAsia="ja-JP"/>
        </w:rPr>
        <w:t xml:space="preserve"> de mise en œuvre et du </w:t>
      </w:r>
      <w:r w:rsidR="006A6FCE">
        <w:rPr>
          <w:kern w:val="22"/>
          <w:szCs w:val="22"/>
          <w:lang w:val="fr-FR" w:eastAsia="ja-JP"/>
        </w:rPr>
        <w:t>Plan</w:t>
      </w:r>
      <w:r w:rsidR="00644763" w:rsidRPr="00AB2BEB">
        <w:rPr>
          <w:kern w:val="22"/>
          <w:szCs w:val="22"/>
          <w:lang w:val="fr-FR" w:eastAsia="ja-JP"/>
        </w:rPr>
        <w:t xml:space="preserve"> d</w:t>
      </w:r>
      <w:r w:rsidR="004645B4" w:rsidRPr="00AB2BEB">
        <w:rPr>
          <w:kern w:val="22"/>
          <w:szCs w:val="22"/>
          <w:lang w:val="fr-FR" w:eastAsia="ja-JP"/>
        </w:rPr>
        <w:t>’</w:t>
      </w:r>
      <w:r w:rsidR="00644763" w:rsidRPr="00AB2BEB">
        <w:rPr>
          <w:kern w:val="22"/>
          <w:szCs w:val="22"/>
          <w:lang w:val="fr-FR" w:eastAsia="ja-JP"/>
        </w:rPr>
        <w:t xml:space="preserve">action pour le renforcement des capacités, la coopération et la collaboration ainsi que la fourniture de ressources adéquates sont des conditions préalables pour entreprendre des activités de renforcement des capacités </w:t>
      </w:r>
      <w:r w:rsidR="0098202F">
        <w:rPr>
          <w:kern w:val="22"/>
          <w:szCs w:val="22"/>
          <w:lang w:val="fr-FR" w:eastAsia="ja-JP"/>
        </w:rPr>
        <w:t>qui permette</w:t>
      </w:r>
      <w:r w:rsidR="00644763" w:rsidRPr="00AB2BEB">
        <w:rPr>
          <w:kern w:val="22"/>
          <w:szCs w:val="22"/>
          <w:lang w:val="fr-FR" w:eastAsia="ja-JP"/>
        </w:rPr>
        <w:t>nt d</w:t>
      </w:r>
      <w:r w:rsidR="004645B4" w:rsidRPr="00AB2BEB">
        <w:rPr>
          <w:kern w:val="22"/>
          <w:szCs w:val="22"/>
          <w:lang w:val="fr-FR" w:eastAsia="ja-JP"/>
        </w:rPr>
        <w:t>’</w:t>
      </w:r>
      <w:r w:rsidR="00644763" w:rsidRPr="00AB2BEB">
        <w:rPr>
          <w:kern w:val="22"/>
          <w:szCs w:val="22"/>
          <w:lang w:val="fr-FR" w:eastAsia="ja-JP"/>
        </w:rPr>
        <w:t>appuyer l</w:t>
      </w:r>
      <w:r w:rsidR="004645B4" w:rsidRPr="00AB2BEB">
        <w:rPr>
          <w:kern w:val="22"/>
          <w:szCs w:val="22"/>
          <w:lang w:val="fr-FR" w:eastAsia="ja-JP"/>
        </w:rPr>
        <w:t>’</w:t>
      </w:r>
      <w:r w:rsidR="00644763" w:rsidRPr="00AB2BEB">
        <w:rPr>
          <w:kern w:val="22"/>
          <w:szCs w:val="22"/>
          <w:lang w:val="fr-FR" w:eastAsia="ja-JP"/>
        </w:rPr>
        <w:t>application du Protocole</w:t>
      </w:r>
      <w:r w:rsidR="00633D52" w:rsidRPr="00AB2BEB">
        <w:rPr>
          <w:szCs w:val="22"/>
          <w:lang w:val="fr-FR"/>
        </w:rPr>
        <w:t>.</w:t>
      </w:r>
    </w:p>
    <w:p w14:paraId="131FA852" w14:textId="59A0BE8A" w:rsidR="00633D52" w:rsidRPr="00AB2BEB" w:rsidRDefault="00DF2495" w:rsidP="00633D52">
      <w:pPr>
        <w:spacing w:before="120" w:after="120"/>
        <w:rPr>
          <w:szCs w:val="22"/>
          <w:lang w:val="fr-FR"/>
        </w:rPr>
      </w:pPr>
      <w:r w:rsidRPr="00AB2BEB">
        <w:rPr>
          <w:szCs w:val="22"/>
          <w:lang w:val="fr-FR"/>
        </w:rPr>
        <w:t>17</w:t>
      </w:r>
      <w:r w:rsidR="00633D52" w:rsidRPr="00AB2BEB">
        <w:rPr>
          <w:szCs w:val="22"/>
          <w:lang w:val="fr-FR"/>
        </w:rPr>
        <w:t xml:space="preserve">. </w:t>
      </w:r>
      <w:r w:rsidR="00633D52" w:rsidRPr="00AB2BEB">
        <w:rPr>
          <w:szCs w:val="22"/>
          <w:lang w:val="fr-FR"/>
        </w:rPr>
        <w:tab/>
      </w:r>
      <w:r w:rsidR="00D92E49" w:rsidRPr="00AB2BEB">
        <w:rPr>
          <w:kern w:val="22"/>
          <w:szCs w:val="22"/>
          <w:lang w:val="fr-FR" w:eastAsia="ja-JP"/>
        </w:rPr>
        <w:t>Le Protocole additionnel de Nagoya – Kuala Lumpur sur la responsabilité et la réparation a été adopté par la Conférence des Parties siégeant en tant que réunion des Parties au Protocole en 2010 (décision BS</w:t>
      </w:r>
      <w:r w:rsidR="004645B4" w:rsidRPr="00AB2BEB">
        <w:rPr>
          <w:kern w:val="22"/>
          <w:szCs w:val="22"/>
          <w:lang w:val="fr-FR" w:eastAsia="ja-JP"/>
        </w:rPr>
        <w:noBreakHyphen/>
      </w:r>
      <w:r w:rsidR="00D92E49" w:rsidRPr="00AB2BEB">
        <w:rPr>
          <w:kern w:val="22"/>
          <w:szCs w:val="22"/>
          <w:lang w:val="fr-FR" w:eastAsia="ja-JP"/>
        </w:rPr>
        <w:t xml:space="preserve">V/11). </w:t>
      </w:r>
      <w:r w:rsidR="0030645C">
        <w:rPr>
          <w:kern w:val="22"/>
          <w:szCs w:val="22"/>
          <w:lang w:val="fr-FR" w:eastAsia="ja-JP"/>
        </w:rPr>
        <w:t xml:space="preserve">Le Plan stratégique </w:t>
      </w:r>
      <w:r w:rsidR="0030645C">
        <w:rPr>
          <w:rFonts w:asciiTheme="majorBidi" w:hAnsiTheme="majorBidi" w:cstheme="majorBidi"/>
          <w:iCs/>
          <w:lang w:val="fr-FR"/>
        </w:rPr>
        <w:t xml:space="preserve">du </w:t>
      </w:r>
      <w:r w:rsidR="0030645C">
        <w:rPr>
          <w:rFonts w:asciiTheme="majorBidi" w:hAnsiTheme="majorBidi" w:cstheme="majorBidi"/>
          <w:lang w:val="fr-CA"/>
        </w:rPr>
        <w:t xml:space="preserve">Protocole de Cartagena </w:t>
      </w:r>
      <w:r w:rsidR="0030645C">
        <w:rPr>
          <w:kern w:val="22"/>
          <w:lang w:val="fr-FR"/>
        </w:rPr>
        <w:t>sur la prévention des risques biotechnologiques pour la période 2011-2020</w:t>
      </w:r>
      <w:r w:rsidR="00D92E49" w:rsidRPr="00AB2BEB">
        <w:rPr>
          <w:kern w:val="22"/>
          <w:szCs w:val="22"/>
          <w:lang w:val="fr-FR" w:eastAsia="ja-JP"/>
        </w:rPr>
        <w:t>, également adopté en 2010, comprend des éléments sur la responsabilité et la réparation et sur le Protocole additionnel. Le Protocole additionnel est entré en vigueur le 5 mars 2018</w:t>
      </w:r>
      <w:r w:rsidR="00633D52" w:rsidRPr="00AB2BEB">
        <w:rPr>
          <w:szCs w:val="22"/>
          <w:lang w:val="fr-FR"/>
        </w:rPr>
        <w:t>.</w:t>
      </w:r>
    </w:p>
    <w:p w14:paraId="131FA853" w14:textId="5A95AFCD" w:rsidR="00633D52" w:rsidRPr="00AB2BEB" w:rsidRDefault="00DF2495" w:rsidP="00633D52">
      <w:pPr>
        <w:spacing w:before="120" w:after="120"/>
        <w:rPr>
          <w:szCs w:val="22"/>
          <w:lang w:val="fr-FR"/>
        </w:rPr>
      </w:pPr>
      <w:r w:rsidRPr="00AB2BEB">
        <w:rPr>
          <w:szCs w:val="22"/>
          <w:lang w:val="fr-FR"/>
        </w:rPr>
        <w:t>18</w:t>
      </w:r>
      <w:r w:rsidR="00633D52" w:rsidRPr="00AB2BEB">
        <w:rPr>
          <w:szCs w:val="22"/>
          <w:lang w:val="fr-FR"/>
        </w:rPr>
        <w:t xml:space="preserve">. </w:t>
      </w:r>
      <w:r w:rsidR="00633D52" w:rsidRPr="00AB2BEB">
        <w:rPr>
          <w:szCs w:val="22"/>
          <w:lang w:val="fr-FR"/>
        </w:rPr>
        <w:tab/>
      </w:r>
      <w:r w:rsidR="00D92E49" w:rsidRPr="00AB2BEB">
        <w:rPr>
          <w:kern w:val="22"/>
          <w:szCs w:val="22"/>
          <w:lang w:val="fr-FR"/>
        </w:rPr>
        <w:t>Une composante sur le Protocole additionnel a été incluse dans l</w:t>
      </w:r>
      <w:r w:rsidR="004645B4" w:rsidRPr="00AB2BEB">
        <w:rPr>
          <w:kern w:val="22"/>
          <w:szCs w:val="22"/>
          <w:lang w:val="fr-FR"/>
        </w:rPr>
        <w:t>’</w:t>
      </w:r>
      <w:r w:rsidR="00D92E49" w:rsidRPr="00AB2BEB">
        <w:rPr>
          <w:kern w:val="22"/>
          <w:szCs w:val="22"/>
          <w:lang w:val="fr-FR"/>
        </w:rPr>
        <w:t>appendice ci</w:t>
      </w:r>
      <w:r w:rsidR="004645B4" w:rsidRPr="00AB2BEB">
        <w:rPr>
          <w:kern w:val="22"/>
          <w:szCs w:val="22"/>
          <w:lang w:val="fr-FR"/>
        </w:rPr>
        <w:noBreakHyphen/>
      </w:r>
      <w:r w:rsidR="00D92E49" w:rsidRPr="00AB2BEB">
        <w:rPr>
          <w:kern w:val="22"/>
          <w:szCs w:val="22"/>
          <w:lang w:val="fr-FR"/>
        </w:rPr>
        <w:t>dessous. L</w:t>
      </w:r>
      <w:r w:rsidR="004645B4" w:rsidRPr="00AB2BEB">
        <w:rPr>
          <w:kern w:val="22"/>
          <w:szCs w:val="22"/>
          <w:lang w:val="fr-FR"/>
        </w:rPr>
        <w:t>’</w:t>
      </w:r>
      <w:r w:rsidR="00D92E49" w:rsidRPr="00AB2BEB">
        <w:rPr>
          <w:kern w:val="22"/>
          <w:szCs w:val="22"/>
          <w:lang w:val="fr-FR"/>
        </w:rPr>
        <w:t>inclusion de cette composante vise à soutenir l</w:t>
      </w:r>
      <w:r w:rsidR="004645B4" w:rsidRPr="00AB2BEB">
        <w:rPr>
          <w:kern w:val="22"/>
          <w:szCs w:val="22"/>
          <w:lang w:val="fr-FR"/>
        </w:rPr>
        <w:t>’</w:t>
      </w:r>
      <w:r w:rsidR="00D92E49" w:rsidRPr="00AB2BEB">
        <w:rPr>
          <w:kern w:val="22"/>
          <w:szCs w:val="22"/>
          <w:lang w:val="fr-FR"/>
        </w:rPr>
        <w:t>application du Protocole de Cartagena et à contribuer au renforcement des capacités pour</w:t>
      </w:r>
      <w:r w:rsidR="0098202F">
        <w:rPr>
          <w:kern w:val="22"/>
          <w:szCs w:val="22"/>
          <w:lang w:val="fr-FR"/>
        </w:rPr>
        <w:t xml:space="preserve"> assurer</w:t>
      </w:r>
      <w:r w:rsidR="00D92E49" w:rsidRPr="00AB2BEB">
        <w:rPr>
          <w:kern w:val="22"/>
          <w:szCs w:val="22"/>
          <w:lang w:val="fr-FR"/>
        </w:rPr>
        <w:t xml:space="preserve"> l</w:t>
      </w:r>
      <w:r w:rsidR="004645B4" w:rsidRPr="00AB2BEB">
        <w:rPr>
          <w:kern w:val="22"/>
          <w:szCs w:val="22"/>
          <w:lang w:val="fr-FR"/>
        </w:rPr>
        <w:t>’</w:t>
      </w:r>
      <w:r w:rsidR="00D92E49" w:rsidRPr="00AB2BEB">
        <w:rPr>
          <w:kern w:val="22"/>
          <w:szCs w:val="22"/>
          <w:lang w:val="fr-FR"/>
        </w:rPr>
        <w:t>application effective du Protocole additionnel, tout en reconnaissant qu</w:t>
      </w:r>
      <w:r w:rsidR="004645B4" w:rsidRPr="00AB2BEB">
        <w:rPr>
          <w:kern w:val="22"/>
          <w:szCs w:val="22"/>
          <w:lang w:val="fr-FR"/>
        </w:rPr>
        <w:t>’</w:t>
      </w:r>
      <w:r w:rsidR="00D92E49" w:rsidRPr="00AB2BEB">
        <w:rPr>
          <w:kern w:val="22"/>
          <w:szCs w:val="22"/>
          <w:lang w:val="fr-FR"/>
        </w:rPr>
        <w:t>il s</w:t>
      </w:r>
      <w:r w:rsidR="004645B4" w:rsidRPr="00AB2BEB">
        <w:rPr>
          <w:kern w:val="22"/>
          <w:szCs w:val="22"/>
          <w:lang w:val="fr-FR"/>
        </w:rPr>
        <w:t>’</w:t>
      </w:r>
      <w:r w:rsidR="00D92E49" w:rsidRPr="00AB2BEB">
        <w:rPr>
          <w:kern w:val="22"/>
          <w:szCs w:val="22"/>
          <w:lang w:val="fr-FR"/>
        </w:rPr>
        <w:t>agit d</w:t>
      </w:r>
      <w:r w:rsidR="004645B4" w:rsidRPr="00AB2BEB">
        <w:rPr>
          <w:kern w:val="22"/>
          <w:szCs w:val="22"/>
          <w:lang w:val="fr-FR"/>
        </w:rPr>
        <w:t>’</w:t>
      </w:r>
      <w:r w:rsidR="00D92E49" w:rsidRPr="00AB2BEB">
        <w:rPr>
          <w:kern w:val="22"/>
          <w:szCs w:val="22"/>
          <w:lang w:val="fr-FR"/>
        </w:rPr>
        <w:t>instruments juridiques distincts et que les obligations découlant de ces instruments ne lient</w:t>
      </w:r>
      <w:r w:rsidR="0098202F">
        <w:rPr>
          <w:kern w:val="22"/>
          <w:szCs w:val="22"/>
          <w:lang w:val="fr-FR"/>
        </w:rPr>
        <w:t xml:space="preserve"> que les Parties </w:t>
      </w:r>
      <w:r w:rsidR="00D92E49" w:rsidRPr="00AB2BEB">
        <w:rPr>
          <w:kern w:val="22"/>
          <w:szCs w:val="22"/>
          <w:lang w:val="fr-FR"/>
        </w:rPr>
        <w:t>à l</w:t>
      </w:r>
      <w:r w:rsidR="004645B4" w:rsidRPr="00AB2BEB">
        <w:rPr>
          <w:kern w:val="22"/>
          <w:szCs w:val="22"/>
          <w:lang w:val="fr-FR"/>
        </w:rPr>
        <w:t>’</w:t>
      </w:r>
      <w:r w:rsidR="00D92E49" w:rsidRPr="00AB2BEB">
        <w:rPr>
          <w:kern w:val="22"/>
          <w:szCs w:val="22"/>
          <w:lang w:val="fr-FR"/>
        </w:rPr>
        <w:t>instrument considéré</w:t>
      </w:r>
      <w:r w:rsidR="00633D52" w:rsidRPr="00AB2BEB">
        <w:rPr>
          <w:szCs w:val="22"/>
          <w:lang w:val="fr-FR"/>
        </w:rPr>
        <w:t>.</w:t>
      </w:r>
    </w:p>
    <w:p w14:paraId="131FA854" w14:textId="77777777" w:rsidR="00633D52" w:rsidRPr="00AB2BEB" w:rsidRDefault="00633D52" w:rsidP="00633D52">
      <w:pPr>
        <w:keepNext/>
        <w:tabs>
          <w:tab w:val="left" w:pos="993"/>
        </w:tabs>
        <w:spacing w:before="120" w:after="120"/>
        <w:jc w:val="center"/>
        <w:rPr>
          <w:b/>
          <w:szCs w:val="22"/>
          <w:lang w:val="fr-FR"/>
        </w:rPr>
      </w:pPr>
      <w:r w:rsidRPr="00AB2BEB">
        <w:rPr>
          <w:b/>
          <w:szCs w:val="22"/>
          <w:lang w:val="fr-FR"/>
        </w:rPr>
        <w:t xml:space="preserve">IV. </w:t>
      </w:r>
      <w:r w:rsidRPr="00AB2BEB">
        <w:rPr>
          <w:b/>
          <w:szCs w:val="22"/>
          <w:lang w:val="fr-FR"/>
        </w:rPr>
        <w:tab/>
      </w:r>
      <w:r w:rsidR="00D92E49" w:rsidRPr="00AB2BEB">
        <w:rPr>
          <w:b/>
          <w:bCs/>
          <w:kern w:val="22"/>
          <w:szCs w:val="22"/>
          <w:lang w:val="fr-FR"/>
        </w:rPr>
        <w:t>ÉVALUATION ET EXAMEN</w:t>
      </w:r>
    </w:p>
    <w:p w14:paraId="131FA855" w14:textId="6976D980" w:rsidR="00633D52" w:rsidRPr="00AB2BEB" w:rsidRDefault="00DF2495" w:rsidP="00633D52">
      <w:pPr>
        <w:spacing w:before="120" w:after="120"/>
        <w:rPr>
          <w:szCs w:val="22"/>
          <w:lang w:val="fr-FR"/>
        </w:rPr>
      </w:pPr>
      <w:r w:rsidRPr="00AB2BEB">
        <w:rPr>
          <w:szCs w:val="22"/>
          <w:lang w:val="fr-FR"/>
        </w:rPr>
        <w:t>19</w:t>
      </w:r>
      <w:r w:rsidR="00633D52" w:rsidRPr="00AB2BEB">
        <w:rPr>
          <w:szCs w:val="22"/>
          <w:lang w:val="fr-FR"/>
        </w:rPr>
        <w:t xml:space="preserve">. </w:t>
      </w:r>
      <w:r w:rsidR="00633D52" w:rsidRPr="00AB2BEB">
        <w:rPr>
          <w:szCs w:val="22"/>
          <w:lang w:val="fr-FR"/>
        </w:rPr>
        <w:tab/>
      </w:r>
      <w:r w:rsidR="00D92E49" w:rsidRPr="00AB2BEB">
        <w:rPr>
          <w:kern w:val="22"/>
          <w:szCs w:val="22"/>
          <w:lang w:val="fr-FR"/>
        </w:rPr>
        <w:t>La Conférence des Parties siégeant en tant que réunion des Parties au Protocole de Cartagena entreprendra une évaluation à mi</w:t>
      </w:r>
      <w:r w:rsidR="004645B4" w:rsidRPr="00AB2BEB">
        <w:rPr>
          <w:kern w:val="22"/>
          <w:szCs w:val="22"/>
          <w:lang w:val="fr-FR"/>
        </w:rPr>
        <w:noBreakHyphen/>
      </w:r>
      <w:r w:rsidR="00D92E49" w:rsidRPr="00AB2BEB">
        <w:rPr>
          <w:kern w:val="22"/>
          <w:szCs w:val="22"/>
          <w:lang w:val="fr-FR"/>
        </w:rPr>
        <w:t>parcours et pourra décider d</w:t>
      </w:r>
      <w:r w:rsidR="004645B4" w:rsidRPr="00AB2BEB">
        <w:rPr>
          <w:kern w:val="22"/>
          <w:szCs w:val="22"/>
          <w:lang w:val="fr-FR"/>
        </w:rPr>
        <w:t>’</w:t>
      </w:r>
      <w:r w:rsidR="00D92E49" w:rsidRPr="00AB2BEB">
        <w:rPr>
          <w:kern w:val="22"/>
          <w:szCs w:val="22"/>
          <w:lang w:val="fr-FR"/>
        </w:rPr>
        <w:t xml:space="preserve">entreprendre une évaluation finale du </w:t>
      </w:r>
      <w:r w:rsidR="006A6FCE">
        <w:rPr>
          <w:kern w:val="22"/>
          <w:szCs w:val="22"/>
          <w:lang w:val="fr-FR"/>
        </w:rPr>
        <w:t>Plan</w:t>
      </w:r>
      <w:r w:rsidR="00D92E49" w:rsidRPr="00AB2BEB">
        <w:rPr>
          <w:kern w:val="22"/>
          <w:szCs w:val="22"/>
          <w:lang w:val="fr-FR"/>
        </w:rPr>
        <w:t xml:space="preserve"> de mise en œuvre et du </w:t>
      </w:r>
      <w:r w:rsidR="006A6FCE">
        <w:rPr>
          <w:kern w:val="22"/>
          <w:szCs w:val="22"/>
          <w:lang w:val="fr-FR"/>
        </w:rPr>
        <w:t>Plan</w:t>
      </w:r>
      <w:r w:rsidR="00D92E49" w:rsidRPr="00AB2BEB">
        <w:rPr>
          <w:kern w:val="22"/>
          <w:szCs w:val="22"/>
          <w:lang w:val="fr-FR"/>
        </w:rPr>
        <w:t xml:space="preserve"> d</w:t>
      </w:r>
      <w:r w:rsidR="004645B4" w:rsidRPr="00AB2BEB">
        <w:rPr>
          <w:kern w:val="22"/>
          <w:szCs w:val="22"/>
          <w:lang w:val="fr-FR"/>
        </w:rPr>
        <w:t>’</w:t>
      </w:r>
      <w:r w:rsidR="00D92E49" w:rsidRPr="00AB2BEB">
        <w:rPr>
          <w:kern w:val="22"/>
          <w:szCs w:val="22"/>
          <w:lang w:val="fr-FR"/>
        </w:rPr>
        <w:t>action pour le renforcement des capacités. Ces évaluations pourront s</w:t>
      </w:r>
      <w:r w:rsidR="004645B4" w:rsidRPr="00AB2BEB">
        <w:rPr>
          <w:kern w:val="22"/>
          <w:szCs w:val="22"/>
          <w:lang w:val="fr-FR"/>
        </w:rPr>
        <w:t>’</w:t>
      </w:r>
      <w:r w:rsidR="0098202F">
        <w:rPr>
          <w:kern w:val="22"/>
          <w:szCs w:val="22"/>
          <w:lang w:val="fr-FR"/>
        </w:rPr>
        <w:t>appuyer sur l</w:t>
      </w:r>
      <w:r w:rsidR="00D92E49" w:rsidRPr="00AB2BEB">
        <w:rPr>
          <w:kern w:val="22"/>
          <w:szCs w:val="22"/>
          <w:lang w:val="fr-FR"/>
        </w:rPr>
        <w:t xml:space="preserve">es informations fournies par les Parties </w:t>
      </w:r>
      <w:r w:rsidR="0098202F">
        <w:rPr>
          <w:kern w:val="22"/>
          <w:szCs w:val="22"/>
          <w:lang w:val="fr-FR"/>
        </w:rPr>
        <w:t>dans leurs rapports nationaux, les informations concernant</w:t>
      </w:r>
      <w:r w:rsidR="00D92E49" w:rsidRPr="00AB2BEB">
        <w:rPr>
          <w:kern w:val="22"/>
          <w:szCs w:val="22"/>
          <w:lang w:val="fr-FR"/>
        </w:rPr>
        <w:t xml:space="preserve"> les activités de</w:t>
      </w:r>
      <w:r w:rsidR="0098202F">
        <w:rPr>
          <w:kern w:val="22"/>
          <w:szCs w:val="22"/>
          <w:lang w:val="fr-FR"/>
        </w:rPr>
        <w:t xml:space="preserve"> renforcement des capacités et les informations publiées dans le</w:t>
      </w:r>
      <w:r w:rsidR="00D92E49" w:rsidRPr="00AB2BEB">
        <w:rPr>
          <w:kern w:val="22"/>
          <w:szCs w:val="22"/>
          <w:lang w:val="fr-FR"/>
        </w:rPr>
        <w:t xml:space="preserve"> Centre d</w:t>
      </w:r>
      <w:r w:rsidR="004645B4" w:rsidRPr="00AB2BEB">
        <w:rPr>
          <w:kern w:val="22"/>
          <w:szCs w:val="22"/>
          <w:lang w:val="fr-FR"/>
        </w:rPr>
        <w:t>’</w:t>
      </w:r>
      <w:r w:rsidR="00D92E49" w:rsidRPr="00AB2BEB">
        <w:rPr>
          <w:kern w:val="22"/>
          <w:szCs w:val="22"/>
          <w:lang w:val="fr-FR"/>
        </w:rPr>
        <w:t xml:space="preserve">échange pour la prévention des risques biotechnologiques, entre autres. Ces informations pourront être utilisées pour évaluer dans quelle mesure les objectifs du </w:t>
      </w:r>
      <w:r w:rsidR="006A6FCE">
        <w:rPr>
          <w:kern w:val="22"/>
          <w:szCs w:val="22"/>
          <w:lang w:val="fr-FR"/>
        </w:rPr>
        <w:t>Plan</w:t>
      </w:r>
      <w:r w:rsidR="0098202F">
        <w:rPr>
          <w:kern w:val="22"/>
          <w:szCs w:val="22"/>
          <w:lang w:val="fr-FR"/>
        </w:rPr>
        <w:t xml:space="preserve"> de mise en œuvre ont été</w:t>
      </w:r>
      <w:r w:rsidR="00D92E49" w:rsidRPr="00AB2BEB">
        <w:rPr>
          <w:kern w:val="22"/>
          <w:szCs w:val="22"/>
          <w:lang w:val="fr-FR"/>
        </w:rPr>
        <w:t xml:space="preserve"> atteints, y compris à travers les activités de renforcement des capacités</w:t>
      </w:r>
      <w:r w:rsidR="00633D52" w:rsidRPr="00AB2BEB">
        <w:rPr>
          <w:szCs w:val="22"/>
          <w:lang w:val="fr-FR"/>
        </w:rPr>
        <w:t>.</w:t>
      </w:r>
    </w:p>
    <w:p w14:paraId="131FA856" w14:textId="0F82F46C" w:rsidR="00633D52" w:rsidRPr="00AB2BEB" w:rsidRDefault="00DF2495" w:rsidP="00633D52">
      <w:pPr>
        <w:spacing w:before="120" w:after="120"/>
        <w:rPr>
          <w:szCs w:val="22"/>
          <w:lang w:val="fr-FR"/>
        </w:rPr>
      </w:pPr>
      <w:r w:rsidRPr="00AB2BEB">
        <w:rPr>
          <w:szCs w:val="22"/>
          <w:lang w:val="fr-FR"/>
        </w:rPr>
        <w:t>20</w:t>
      </w:r>
      <w:r w:rsidR="00633D52" w:rsidRPr="00AB2BEB">
        <w:rPr>
          <w:szCs w:val="22"/>
          <w:lang w:val="fr-FR"/>
        </w:rPr>
        <w:t xml:space="preserve">. </w:t>
      </w:r>
      <w:r w:rsidR="00633D52" w:rsidRPr="00AB2BEB">
        <w:rPr>
          <w:szCs w:val="22"/>
          <w:lang w:val="fr-FR"/>
        </w:rPr>
        <w:tab/>
      </w:r>
      <w:r w:rsidR="00D92E49" w:rsidRPr="00AB2BEB">
        <w:rPr>
          <w:kern w:val="22"/>
          <w:szCs w:val="22"/>
          <w:lang w:val="fr-FR"/>
        </w:rPr>
        <w:t>Les résultats du quatrième exercice d</w:t>
      </w:r>
      <w:r w:rsidR="004645B4" w:rsidRPr="00AB2BEB">
        <w:rPr>
          <w:kern w:val="22"/>
          <w:szCs w:val="22"/>
          <w:lang w:val="fr-FR"/>
        </w:rPr>
        <w:t>’</w:t>
      </w:r>
      <w:r w:rsidR="00D92E49" w:rsidRPr="00AB2BEB">
        <w:rPr>
          <w:kern w:val="22"/>
          <w:szCs w:val="22"/>
          <w:lang w:val="fr-FR"/>
        </w:rPr>
        <w:t>évaluation et d</w:t>
      </w:r>
      <w:r w:rsidR="004645B4" w:rsidRPr="00AB2BEB">
        <w:rPr>
          <w:kern w:val="22"/>
          <w:szCs w:val="22"/>
          <w:lang w:val="fr-FR"/>
        </w:rPr>
        <w:t>’</w:t>
      </w:r>
      <w:r w:rsidR="00D92E49" w:rsidRPr="00AB2BEB">
        <w:rPr>
          <w:kern w:val="22"/>
          <w:szCs w:val="22"/>
          <w:lang w:val="fr-FR"/>
        </w:rPr>
        <w:t>examen de l</w:t>
      </w:r>
      <w:r w:rsidR="004645B4" w:rsidRPr="00AB2BEB">
        <w:rPr>
          <w:kern w:val="22"/>
          <w:szCs w:val="22"/>
          <w:lang w:val="fr-FR"/>
        </w:rPr>
        <w:t>’</w:t>
      </w:r>
      <w:r w:rsidR="00D92E49" w:rsidRPr="00AB2BEB">
        <w:rPr>
          <w:kern w:val="22"/>
          <w:szCs w:val="22"/>
          <w:lang w:val="fr-FR"/>
        </w:rPr>
        <w:t xml:space="preserve">efficacité du Protocole de Cartagena et </w:t>
      </w:r>
      <w:r w:rsidR="0098202F">
        <w:rPr>
          <w:kern w:val="22"/>
          <w:szCs w:val="22"/>
          <w:lang w:val="fr-FR"/>
        </w:rPr>
        <w:t xml:space="preserve">de </w:t>
      </w:r>
      <w:r w:rsidR="00D92E49" w:rsidRPr="00AB2BEB">
        <w:rPr>
          <w:kern w:val="22"/>
          <w:szCs w:val="22"/>
          <w:lang w:val="fr-FR"/>
        </w:rPr>
        <w:t>l</w:t>
      </w:r>
      <w:r w:rsidR="004645B4" w:rsidRPr="00AB2BEB">
        <w:rPr>
          <w:kern w:val="22"/>
          <w:szCs w:val="22"/>
          <w:lang w:val="fr-FR"/>
        </w:rPr>
        <w:t>’</w:t>
      </w:r>
      <w:r w:rsidR="00D92E49" w:rsidRPr="00AB2BEB">
        <w:rPr>
          <w:kern w:val="22"/>
          <w:szCs w:val="22"/>
          <w:lang w:val="fr-FR"/>
        </w:rPr>
        <w:t xml:space="preserve">évaluation finale du Plan stratégique du Protocole de Cartagena </w:t>
      </w:r>
      <w:r w:rsidR="00611B34">
        <w:rPr>
          <w:kern w:val="22"/>
          <w:lang w:val="fr-FR"/>
        </w:rPr>
        <w:t>sur la prévention des risques biotechnologiques pour la période 2011-2020</w:t>
      </w:r>
      <w:r w:rsidR="00F77D3D">
        <w:rPr>
          <w:rStyle w:val="FootnoteReference"/>
          <w:kern w:val="22"/>
          <w:lang w:val="fr-FR"/>
        </w:rPr>
        <w:footnoteReference w:id="6"/>
      </w:r>
      <w:r w:rsidR="00611B34">
        <w:rPr>
          <w:kern w:val="22"/>
          <w:lang w:val="fr-FR"/>
        </w:rPr>
        <w:t xml:space="preserve"> </w:t>
      </w:r>
      <w:r w:rsidR="00D92E49" w:rsidRPr="00AB2BEB">
        <w:rPr>
          <w:kern w:val="22"/>
          <w:szCs w:val="22"/>
          <w:lang w:val="fr-FR"/>
        </w:rPr>
        <w:t xml:space="preserve">seront utilisés pour établir une base de référence permettant de mesurer les progrès accomplis dans la réalisation des buts du </w:t>
      </w:r>
      <w:r w:rsidR="006A6FCE">
        <w:rPr>
          <w:kern w:val="22"/>
          <w:szCs w:val="22"/>
          <w:lang w:val="fr-FR"/>
        </w:rPr>
        <w:t>Plan</w:t>
      </w:r>
      <w:r w:rsidR="00D92E49" w:rsidRPr="00AB2BEB">
        <w:rPr>
          <w:kern w:val="22"/>
          <w:szCs w:val="22"/>
          <w:lang w:val="fr-FR"/>
        </w:rPr>
        <w:t xml:space="preserve"> de mise en œuvre et du </w:t>
      </w:r>
      <w:r w:rsidR="006A6FCE">
        <w:rPr>
          <w:kern w:val="22"/>
          <w:szCs w:val="22"/>
          <w:lang w:val="fr-FR"/>
        </w:rPr>
        <w:t>Plan</w:t>
      </w:r>
      <w:r w:rsidR="00D92E49" w:rsidRPr="00AB2BEB">
        <w:rPr>
          <w:kern w:val="22"/>
          <w:szCs w:val="22"/>
          <w:lang w:val="fr-FR"/>
        </w:rPr>
        <w:t xml:space="preserve"> d</w:t>
      </w:r>
      <w:r w:rsidR="004645B4" w:rsidRPr="00AB2BEB">
        <w:rPr>
          <w:kern w:val="22"/>
          <w:szCs w:val="22"/>
          <w:lang w:val="fr-FR"/>
        </w:rPr>
        <w:t>’</w:t>
      </w:r>
      <w:r w:rsidR="00D92E49" w:rsidRPr="00AB2BEB">
        <w:rPr>
          <w:kern w:val="22"/>
          <w:szCs w:val="22"/>
          <w:lang w:val="fr-FR"/>
        </w:rPr>
        <w:t>action pour le renforcement des capacités</w:t>
      </w:r>
      <w:r w:rsidR="00633D52" w:rsidRPr="00AB2BEB">
        <w:rPr>
          <w:szCs w:val="22"/>
          <w:lang w:val="fr-FR"/>
        </w:rPr>
        <w:t>.</w:t>
      </w:r>
    </w:p>
    <w:p w14:paraId="131FA857" w14:textId="77777777" w:rsidR="00633D52" w:rsidRPr="00AB2BEB" w:rsidRDefault="00633D52" w:rsidP="00737E63">
      <w:pPr>
        <w:keepNext/>
        <w:tabs>
          <w:tab w:val="left" w:pos="993"/>
        </w:tabs>
        <w:spacing w:before="120" w:after="120"/>
        <w:jc w:val="center"/>
        <w:rPr>
          <w:b/>
          <w:szCs w:val="22"/>
          <w:lang w:val="fr-FR"/>
        </w:rPr>
      </w:pPr>
      <w:r w:rsidRPr="00AB2BEB">
        <w:rPr>
          <w:b/>
          <w:szCs w:val="22"/>
          <w:lang w:val="fr-FR"/>
        </w:rPr>
        <w:t xml:space="preserve">V. </w:t>
      </w:r>
      <w:r w:rsidRPr="00AB2BEB">
        <w:rPr>
          <w:b/>
          <w:szCs w:val="22"/>
          <w:lang w:val="fr-FR"/>
        </w:rPr>
        <w:tab/>
      </w:r>
      <w:r w:rsidR="00D92E49" w:rsidRPr="00AB2BEB">
        <w:rPr>
          <w:b/>
          <w:bCs/>
          <w:kern w:val="22"/>
          <w:szCs w:val="22"/>
          <w:lang w:val="fr-FR"/>
        </w:rPr>
        <w:t>PRIORITÉS ET PROGRAMMATION</w:t>
      </w:r>
    </w:p>
    <w:p w14:paraId="131FA858" w14:textId="79346DCC" w:rsidR="00633D52" w:rsidRPr="00AB2BEB" w:rsidRDefault="00DF2495" w:rsidP="00633D52">
      <w:pPr>
        <w:spacing w:before="120" w:after="120"/>
        <w:rPr>
          <w:szCs w:val="22"/>
          <w:lang w:val="fr-FR"/>
        </w:rPr>
      </w:pPr>
      <w:r w:rsidRPr="00AB2BEB">
        <w:rPr>
          <w:szCs w:val="22"/>
          <w:lang w:val="fr-FR"/>
        </w:rPr>
        <w:t>21</w:t>
      </w:r>
      <w:r w:rsidR="00633D52" w:rsidRPr="00AB2BEB">
        <w:rPr>
          <w:szCs w:val="22"/>
          <w:lang w:val="fr-FR"/>
        </w:rPr>
        <w:t>.</w:t>
      </w:r>
      <w:r w:rsidR="00633D52" w:rsidRPr="00AB2BEB">
        <w:rPr>
          <w:szCs w:val="22"/>
          <w:lang w:val="fr-FR"/>
        </w:rPr>
        <w:tab/>
      </w:r>
      <w:r w:rsidR="00D92E49" w:rsidRPr="00AB2BEB">
        <w:rPr>
          <w:kern w:val="22"/>
          <w:szCs w:val="22"/>
          <w:lang w:val="fr-FR" w:eastAsia="ja-JP"/>
        </w:rPr>
        <w:t xml:space="preserve">La Conférence des Parties siégeant en tant que réunion des Parties au Protocole de Cartagena peut périodiquement fixer des priorités pour la planification et la programmation des travaux à entreprendre dans les délais prévus par le </w:t>
      </w:r>
      <w:r w:rsidR="006A6FCE">
        <w:rPr>
          <w:kern w:val="22"/>
          <w:szCs w:val="22"/>
          <w:lang w:val="fr-FR" w:eastAsia="ja-JP"/>
        </w:rPr>
        <w:t>Plan</w:t>
      </w:r>
      <w:r w:rsidR="00D92E49" w:rsidRPr="00AB2BEB">
        <w:rPr>
          <w:kern w:val="22"/>
          <w:szCs w:val="22"/>
          <w:lang w:val="fr-FR" w:eastAsia="ja-JP"/>
        </w:rPr>
        <w:t xml:space="preserve"> d</w:t>
      </w:r>
      <w:r w:rsidR="004645B4" w:rsidRPr="00AB2BEB">
        <w:rPr>
          <w:kern w:val="22"/>
          <w:szCs w:val="22"/>
          <w:lang w:val="fr-FR" w:eastAsia="ja-JP"/>
        </w:rPr>
        <w:t>’</w:t>
      </w:r>
      <w:r w:rsidR="00D92E49" w:rsidRPr="00AB2BEB">
        <w:rPr>
          <w:kern w:val="22"/>
          <w:szCs w:val="22"/>
          <w:lang w:val="fr-FR" w:eastAsia="ja-JP"/>
        </w:rPr>
        <w:t>action pour le renforcement des c</w:t>
      </w:r>
      <w:r w:rsidR="0098202F">
        <w:rPr>
          <w:kern w:val="22"/>
          <w:szCs w:val="22"/>
          <w:lang w:val="fr-FR" w:eastAsia="ja-JP"/>
        </w:rPr>
        <w:t xml:space="preserve">apacités. Cela peut aboutir à </w:t>
      </w:r>
      <w:r w:rsidR="00D92E49" w:rsidRPr="00AB2BEB">
        <w:rPr>
          <w:kern w:val="22"/>
          <w:szCs w:val="22"/>
          <w:lang w:val="fr-FR" w:eastAsia="ja-JP"/>
        </w:rPr>
        <w:t>la nécessité d</w:t>
      </w:r>
      <w:r w:rsidR="004645B4" w:rsidRPr="00AB2BEB">
        <w:rPr>
          <w:kern w:val="22"/>
          <w:szCs w:val="22"/>
          <w:lang w:val="fr-FR" w:eastAsia="ja-JP"/>
        </w:rPr>
        <w:t>’</w:t>
      </w:r>
      <w:r w:rsidR="00D92E49" w:rsidRPr="00AB2BEB">
        <w:rPr>
          <w:kern w:val="22"/>
          <w:szCs w:val="22"/>
          <w:lang w:val="fr-FR" w:eastAsia="ja-JP"/>
        </w:rPr>
        <w:t xml:space="preserve">apporter des modifications au </w:t>
      </w:r>
      <w:r w:rsidR="006A6FCE">
        <w:rPr>
          <w:kern w:val="22"/>
          <w:szCs w:val="22"/>
          <w:lang w:val="fr-FR" w:eastAsia="ja-JP"/>
        </w:rPr>
        <w:t>Plan</w:t>
      </w:r>
      <w:r w:rsidR="00D92E49" w:rsidRPr="00AB2BEB">
        <w:rPr>
          <w:kern w:val="22"/>
          <w:szCs w:val="22"/>
          <w:lang w:val="fr-FR" w:eastAsia="ja-JP"/>
        </w:rPr>
        <w:t xml:space="preserve"> d</w:t>
      </w:r>
      <w:r w:rsidR="004645B4" w:rsidRPr="00AB2BEB">
        <w:rPr>
          <w:kern w:val="22"/>
          <w:szCs w:val="22"/>
          <w:lang w:val="fr-FR" w:eastAsia="ja-JP"/>
        </w:rPr>
        <w:t>’</w:t>
      </w:r>
      <w:r w:rsidR="00D92E49" w:rsidRPr="00AB2BEB">
        <w:rPr>
          <w:kern w:val="22"/>
          <w:szCs w:val="22"/>
          <w:lang w:val="fr-FR" w:eastAsia="ja-JP"/>
        </w:rPr>
        <w:t>action pour le renforcement des capacités</w:t>
      </w:r>
      <w:r w:rsidR="00633D52" w:rsidRPr="00AB2BEB">
        <w:rPr>
          <w:szCs w:val="22"/>
          <w:lang w:val="fr-FR"/>
        </w:rPr>
        <w:t>.</w:t>
      </w:r>
    </w:p>
    <w:p w14:paraId="131FA859" w14:textId="403E174B" w:rsidR="00633D52" w:rsidRPr="00AB2BEB" w:rsidRDefault="00DF2495" w:rsidP="00633D52">
      <w:pPr>
        <w:spacing w:before="120" w:after="120"/>
        <w:rPr>
          <w:szCs w:val="22"/>
          <w:lang w:val="fr-FR"/>
        </w:rPr>
      </w:pPr>
      <w:r w:rsidRPr="00AB2BEB">
        <w:rPr>
          <w:szCs w:val="22"/>
          <w:lang w:val="fr-FR"/>
        </w:rPr>
        <w:t>22</w:t>
      </w:r>
      <w:r w:rsidR="00633D52" w:rsidRPr="00AB2BEB">
        <w:rPr>
          <w:szCs w:val="22"/>
          <w:lang w:val="fr-FR"/>
        </w:rPr>
        <w:t>.</w:t>
      </w:r>
      <w:r w:rsidR="00633D52" w:rsidRPr="00AB2BEB">
        <w:rPr>
          <w:szCs w:val="22"/>
          <w:lang w:val="fr-FR"/>
        </w:rPr>
        <w:tab/>
      </w:r>
      <w:r w:rsidR="00D92E49" w:rsidRPr="00AB2BEB">
        <w:rPr>
          <w:kern w:val="22"/>
          <w:szCs w:val="22"/>
          <w:lang w:val="fr-FR"/>
        </w:rPr>
        <w:t>En décidant des priorités et de la programmation, la Conférence des Parties siégeant en tant que réunion des Parties au Protocole de Cartagena souhaitera peut</w:t>
      </w:r>
      <w:r w:rsidR="004645B4" w:rsidRPr="00AB2BEB">
        <w:rPr>
          <w:kern w:val="22"/>
          <w:szCs w:val="22"/>
          <w:lang w:val="fr-FR"/>
        </w:rPr>
        <w:noBreakHyphen/>
      </w:r>
      <w:r w:rsidR="00D92E49" w:rsidRPr="00AB2BEB">
        <w:rPr>
          <w:kern w:val="22"/>
          <w:szCs w:val="22"/>
          <w:lang w:val="fr-FR"/>
        </w:rPr>
        <w:t xml:space="preserve">être prendre en considération les évolutions et les progrès dans le domaine de la prévention des risques biotechnologiques et de la biotechnologie. À cet égard, le </w:t>
      </w:r>
      <w:r w:rsidR="006A6FCE">
        <w:rPr>
          <w:kern w:val="22"/>
          <w:szCs w:val="22"/>
          <w:lang w:val="fr-FR"/>
        </w:rPr>
        <w:t>Plan</w:t>
      </w:r>
      <w:r w:rsidR="00D92E49" w:rsidRPr="00AB2BEB">
        <w:rPr>
          <w:kern w:val="22"/>
          <w:szCs w:val="22"/>
          <w:lang w:val="fr-FR"/>
        </w:rPr>
        <w:t xml:space="preserve"> d</w:t>
      </w:r>
      <w:r w:rsidR="004645B4" w:rsidRPr="00AB2BEB">
        <w:rPr>
          <w:kern w:val="22"/>
          <w:szCs w:val="22"/>
          <w:lang w:val="fr-FR"/>
        </w:rPr>
        <w:t>’</w:t>
      </w:r>
      <w:r w:rsidR="00D92E49" w:rsidRPr="00AB2BEB">
        <w:rPr>
          <w:kern w:val="22"/>
          <w:szCs w:val="22"/>
          <w:lang w:val="fr-FR"/>
        </w:rPr>
        <w:t xml:space="preserve">action pour le renforcement des capacités a adopté une approche selon laquelle les </w:t>
      </w:r>
      <w:r w:rsidR="00D92E49" w:rsidRPr="00AB2BEB">
        <w:rPr>
          <w:kern w:val="22"/>
          <w:szCs w:val="22"/>
          <w:lang w:val="fr-FR"/>
        </w:rPr>
        <w:lastRenderedPageBreak/>
        <w:t>organismes développés g</w:t>
      </w:r>
      <w:r w:rsidR="0098202F">
        <w:rPr>
          <w:kern w:val="22"/>
          <w:szCs w:val="22"/>
          <w:lang w:val="fr-FR"/>
        </w:rPr>
        <w:t>râce aux nouvelles technologies qui constitue</w:t>
      </w:r>
      <w:r w:rsidR="00D92E49" w:rsidRPr="00AB2BEB">
        <w:rPr>
          <w:kern w:val="22"/>
          <w:szCs w:val="22"/>
          <w:lang w:val="fr-FR"/>
        </w:rPr>
        <w:t>nt des « organismes vivan</w:t>
      </w:r>
      <w:r w:rsidR="0098202F">
        <w:rPr>
          <w:kern w:val="22"/>
          <w:szCs w:val="22"/>
          <w:lang w:val="fr-FR"/>
        </w:rPr>
        <w:t>ts modifiés » au titre du Protocole sont couverts par le plan d’action</w:t>
      </w:r>
      <w:r w:rsidR="00633D52" w:rsidRPr="00AB2BEB">
        <w:rPr>
          <w:szCs w:val="22"/>
          <w:lang w:val="fr-FR"/>
        </w:rPr>
        <w:t>.</w:t>
      </w:r>
    </w:p>
    <w:p w14:paraId="131FA85A" w14:textId="6BE88EBE" w:rsidR="00633D52" w:rsidRPr="00AB2BEB" w:rsidRDefault="00D24668" w:rsidP="00D24668">
      <w:pPr>
        <w:tabs>
          <w:tab w:val="left" w:pos="0"/>
        </w:tabs>
        <w:spacing w:before="240" w:after="120"/>
        <w:jc w:val="center"/>
        <w:rPr>
          <w:b/>
          <w:szCs w:val="22"/>
          <w:lang w:val="fr-FR"/>
        </w:rPr>
      </w:pPr>
      <w:r>
        <w:rPr>
          <w:b/>
          <w:szCs w:val="22"/>
          <w:lang w:val="fr-FR"/>
        </w:rPr>
        <w:t xml:space="preserve">VI. </w:t>
      </w:r>
      <w:r>
        <w:rPr>
          <w:b/>
          <w:szCs w:val="22"/>
          <w:lang w:val="fr-FR"/>
        </w:rPr>
        <w:tab/>
      </w:r>
      <w:r w:rsidR="00633D52" w:rsidRPr="00AB2BEB">
        <w:rPr>
          <w:b/>
          <w:szCs w:val="22"/>
          <w:lang w:val="fr-FR"/>
        </w:rPr>
        <w:t>RES</w:t>
      </w:r>
      <w:r w:rsidR="00D92E49" w:rsidRPr="00AB2BEB">
        <w:rPr>
          <w:b/>
          <w:szCs w:val="22"/>
          <w:lang w:val="fr-FR"/>
        </w:rPr>
        <w:t>S</w:t>
      </w:r>
      <w:r w:rsidR="00633D52" w:rsidRPr="00AB2BEB">
        <w:rPr>
          <w:b/>
          <w:szCs w:val="22"/>
          <w:lang w:val="fr-FR"/>
        </w:rPr>
        <w:t>OURCES</w:t>
      </w:r>
    </w:p>
    <w:p w14:paraId="131FA85B" w14:textId="147F4A6D" w:rsidR="00633D52" w:rsidRPr="00AB2BEB" w:rsidRDefault="00DF2495" w:rsidP="00D24668">
      <w:pPr>
        <w:spacing w:before="120" w:after="240"/>
        <w:rPr>
          <w:szCs w:val="22"/>
          <w:lang w:val="fr-FR"/>
        </w:rPr>
      </w:pPr>
      <w:r w:rsidRPr="00AB2BEB">
        <w:rPr>
          <w:szCs w:val="22"/>
          <w:lang w:val="fr-FR"/>
        </w:rPr>
        <w:t>23</w:t>
      </w:r>
      <w:r w:rsidR="00633D52" w:rsidRPr="00AB2BEB">
        <w:rPr>
          <w:szCs w:val="22"/>
          <w:lang w:val="fr-FR"/>
        </w:rPr>
        <w:t>.</w:t>
      </w:r>
      <w:r w:rsidR="00633D52" w:rsidRPr="00AB2BEB">
        <w:rPr>
          <w:szCs w:val="22"/>
          <w:lang w:val="fr-FR"/>
        </w:rPr>
        <w:tab/>
      </w:r>
      <w:r w:rsidR="00D92E49" w:rsidRPr="00AB2BEB">
        <w:rPr>
          <w:kern w:val="22"/>
          <w:szCs w:val="22"/>
          <w:lang w:val="fr-FR"/>
        </w:rPr>
        <w:t>L</w:t>
      </w:r>
      <w:r w:rsidR="004645B4" w:rsidRPr="00AB2BEB">
        <w:rPr>
          <w:kern w:val="22"/>
          <w:szCs w:val="22"/>
          <w:lang w:val="fr-FR"/>
        </w:rPr>
        <w:t>’</w:t>
      </w:r>
      <w:r w:rsidR="00D92E49" w:rsidRPr="00AB2BEB">
        <w:rPr>
          <w:kern w:val="22"/>
          <w:szCs w:val="22"/>
          <w:lang w:val="fr-FR"/>
        </w:rPr>
        <w:t>application effective du Protocole dépend dans une large mesure de l</w:t>
      </w:r>
      <w:r w:rsidR="004645B4" w:rsidRPr="00AB2BEB">
        <w:rPr>
          <w:kern w:val="22"/>
          <w:szCs w:val="22"/>
          <w:lang w:val="fr-FR"/>
        </w:rPr>
        <w:t>’</w:t>
      </w:r>
      <w:r w:rsidR="00D92E49" w:rsidRPr="00AB2BEB">
        <w:rPr>
          <w:kern w:val="22"/>
          <w:szCs w:val="22"/>
          <w:lang w:val="fr-FR"/>
        </w:rPr>
        <w:t xml:space="preserve">accès à des ressources humaines, techniques et financières adéquates </w:t>
      </w:r>
      <w:r w:rsidR="007418E9">
        <w:rPr>
          <w:kern w:val="22"/>
          <w:szCs w:val="22"/>
          <w:lang w:val="fr-FR"/>
        </w:rPr>
        <w:t xml:space="preserve">et à une coopération efficace, </w:t>
      </w:r>
      <w:r w:rsidR="00D24668">
        <w:rPr>
          <w:kern w:val="22"/>
          <w:szCs w:val="22"/>
          <w:lang w:val="fr-FR"/>
        </w:rPr>
        <w:t xml:space="preserve">conformément aux articles 22 et </w:t>
      </w:r>
      <w:r w:rsidR="007418E9">
        <w:rPr>
          <w:kern w:val="22"/>
          <w:szCs w:val="22"/>
          <w:lang w:val="fr-FR"/>
        </w:rPr>
        <w:t>28 du Protocole</w:t>
      </w:r>
      <w:r w:rsidR="00D92E49" w:rsidRPr="00AB2BEB">
        <w:rPr>
          <w:kern w:val="22"/>
          <w:szCs w:val="22"/>
          <w:lang w:val="fr-FR"/>
        </w:rPr>
        <w:t xml:space="preserve">. Le </w:t>
      </w:r>
      <w:r w:rsidR="006A6FCE">
        <w:rPr>
          <w:kern w:val="22"/>
          <w:szCs w:val="22"/>
          <w:lang w:val="fr-FR"/>
        </w:rPr>
        <w:t>Plan</w:t>
      </w:r>
      <w:r w:rsidR="00D92E49" w:rsidRPr="00AB2BEB">
        <w:rPr>
          <w:kern w:val="22"/>
          <w:szCs w:val="22"/>
          <w:lang w:val="fr-FR"/>
        </w:rPr>
        <w:t xml:space="preserve"> d</w:t>
      </w:r>
      <w:r w:rsidR="004645B4" w:rsidRPr="00AB2BEB">
        <w:rPr>
          <w:kern w:val="22"/>
          <w:szCs w:val="22"/>
          <w:lang w:val="fr-FR"/>
        </w:rPr>
        <w:t>’</w:t>
      </w:r>
      <w:r w:rsidR="00D92E49" w:rsidRPr="00AB2BEB">
        <w:rPr>
          <w:kern w:val="22"/>
          <w:szCs w:val="22"/>
          <w:lang w:val="fr-FR"/>
        </w:rPr>
        <w:t>action pour le renforcement des capacités vise à soutenir les Parties à cet égard, en particulier dans le cadre des buts relatifs à la création d</w:t>
      </w:r>
      <w:r w:rsidR="0098202F">
        <w:rPr>
          <w:kern w:val="22"/>
          <w:szCs w:val="22"/>
          <w:lang w:val="fr-FR"/>
        </w:rPr>
        <w:t>e conditions</w:t>
      </w:r>
      <w:r w:rsidR="00D92E49" w:rsidRPr="00AB2BEB">
        <w:rPr>
          <w:kern w:val="22"/>
          <w:szCs w:val="22"/>
          <w:lang w:val="fr-FR"/>
        </w:rPr>
        <w:t xml:space="preserve"> favorable</w:t>
      </w:r>
      <w:r w:rsidR="0098202F">
        <w:rPr>
          <w:kern w:val="22"/>
          <w:szCs w:val="22"/>
          <w:lang w:val="fr-FR"/>
        </w:rPr>
        <w:t>s</w:t>
      </w:r>
      <w:r w:rsidR="00633D52" w:rsidRPr="00AB2BEB">
        <w:rPr>
          <w:szCs w:val="22"/>
          <w:lang w:val="fr-FR"/>
        </w:rPr>
        <w:t>.</w:t>
      </w:r>
    </w:p>
    <w:p w14:paraId="131FA85C" w14:textId="77777777" w:rsidR="00633D52" w:rsidRPr="00AB2BEB" w:rsidRDefault="00D92E49" w:rsidP="00633D52">
      <w:pPr>
        <w:tabs>
          <w:tab w:val="left" w:pos="993"/>
        </w:tabs>
        <w:spacing w:before="120" w:after="120"/>
        <w:jc w:val="center"/>
        <w:rPr>
          <w:b/>
          <w:szCs w:val="22"/>
          <w:lang w:val="fr-FR"/>
        </w:rPr>
      </w:pPr>
      <w:r w:rsidRPr="00AB2BEB">
        <w:rPr>
          <w:b/>
          <w:szCs w:val="22"/>
          <w:lang w:val="fr-FR"/>
        </w:rPr>
        <w:t xml:space="preserve">VII. </w:t>
      </w:r>
      <w:r w:rsidRPr="00AB2BEB">
        <w:rPr>
          <w:b/>
          <w:szCs w:val="22"/>
          <w:lang w:val="fr-FR"/>
        </w:rPr>
        <w:tab/>
        <w:t>RÔ</w:t>
      </w:r>
      <w:r w:rsidR="00633D52" w:rsidRPr="00AB2BEB">
        <w:rPr>
          <w:b/>
          <w:szCs w:val="22"/>
          <w:lang w:val="fr-FR"/>
        </w:rPr>
        <w:t xml:space="preserve">LE </w:t>
      </w:r>
      <w:r w:rsidRPr="00AB2BEB">
        <w:rPr>
          <w:b/>
          <w:szCs w:val="22"/>
          <w:lang w:val="fr-FR"/>
        </w:rPr>
        <w:t>DU SECRÉ</w:t>
      </w:r>
      <w:r w:rsidR="00633D52" w:rsidRPr="00AB2BEB">
        <w:rPr>
          <w:b/>
          <w:szCs w:val="22"/>
          <w:lang w:val="fr-FR"/>
        </w:rPr>
        <w:t>TARIAT</w:t>
      </w:r>
    </w:p>
    <w:p w14:paraId="131FA85D" w14:textId="3A46C8E1" w:rsidR="000B4C78" w:rsidRPr="00AB2BEB" w:rsidRDefault="00DF2495" w:rsidP="00DF2495">
      <w:pPr>
        <w:spacing w:before="120" w:after="120"/>
        <w:rPr>
          <w:szCs w:val="22"/>
          <w:lang w:val="fr-FR"/>
        </w:rPr>
      </w:pPr>
      <w:r w:rsidRPr="00AB2BEB">
        <w:rPr>
          <w:szCs w:val="22"/>
          <w:lang w:val="fr-FR"/>
        </w:rPr>
        <w:t>24</w:t>
      </w:r>
      <w:r w:rsidR="00633D52" w:rsidRPr="00AB2BEB">
        <w:rPr>
          <w:szCs w:val="22"/>
          <w:lang w:val="fr-FR"/>
        </w:rPr>
        <w:t>.</w:t>
      </w:r>
      <w:r w:rsidR="00633D52" w:rsidRPr="00AB2BEB">
        <w:rPr>
          <w:szCs w:val="22"/>
          <w:lang w:val="fr-FR"/>
        </w:rPr>
        <w:tab/>
      </w:r>
      <w:r w:rsidR="00D92E49" w:rsidRPr="00AB2BEB">
        <w:rPr>
          <w:kern w:val="22"/>
          <w:szCs w:val="22"/>
          <w:lang w:val="fr-FR"/>
        </w:rPr>
        <w:t xml:space="preserve">Le </w:t>
      </w:r>
      <w:r w:rsidR="006A6FCE">
        <w:rPr>
          <w:kern w:val="22"/>
          <w:szCs w:val="22"/>
          <w:lang w:val="fr-FR"/>
        </w:rPr>
        <w:t>Plan</w:t>
      </w:r>
      <w:r w:rsidR="00D92E49" w:rsidRPr="00AB2BEB">
        <w:rPr>
          <w:kern w:val="22"/>
          <w:szCs w:val="22"/>
          <w:lang w:val="fr-FR"/>
        </w:rPr>
        <w:t xml:space="preserve"> d</w:t>
      </w:r>
      <w:r w:rsidR="004645B4" w:rsidRPr="00AB2BEB">
        <w:rPr>
          <w:kern w:val="22"/>
          <w:szCs w:val="22"/>
          <w:lang w:val="fr-FR"/>
        </w:rPr>
        <w:t>’</w:t>
      </w:r>
      <w:r w:rsidR="00D92E49" w:rsidRPr="00AB2BEB">
        <w:rPr>
          <w:kern w:val="22"/>
          <w:szCs w:val="22"/>
          <w:lang w:val="fr-FR"/>
        </w:rPr>
        <w:t>action pour le renforcement des capacités s</w:t>
      </w:r>
      <w:r w:rsidR="004645B4" w:rsidRPr="00AB2BEB">
        <w:rPr>
          <w:kern w:val="22"/>
          <w:szCs w:val="22"/>
          <w:lang w:val="fr-FR"/>
        </w:rPr>
        <w:t>’</w:t>
      </w:r>
      <w:r w:rsidR="00D92E49" w:rsidRPr="00AB2BEB">
        <w:rPr>
          <w:kern w:val="22"/>
          <w:szCs w:val="22"/>
          <w:lang w:val="fr-FR"/>
        </w:rPr>
        <w:t>adressant principalement aux Parties, le Secrétariat de la Convention sur la div</w:t>
      </w:r>
      <w:r w:rsidR="0098202F">
        <w:rPr>
          <w:kern w:val="22"/>
          <w:szCs w:val="22"/>
          <w:lang w:val="fr-FR"/>
        </w:rPr>
        <w:t>ersité biologique apportera son soutien aux</w:t>
      </w:r>
      <w:r w:rsidR="00D92E49" w:rsidRPr="00AB2BEB">
        <w:rPr>
          <w:kern w:val="22"/>
          <w:szCs w:val="22"/>
          <w:lang w:val="fr-FR"/>
        </w:rPr>
        <w:t xml:space="preserve"> Parties et autres parties prenantes dans leurs efforts prodigués, conformément aux orientations de la Conférence des Parties siégeant en tant que réunion des Parties au Protocole de Cartagena et conformément à l</w:t>
      </w:r>
      <w:r w:rsidR="004645B4" w:rsidRPr="00AB2BEB">
        <w:rPr>
          <w:kern w:val="22"/>
          <w:szCs w:val="22"/>
          <w:lang w:val="fr-FR"/>
        </w:rPr>
        <w:t>’</w:t>
      </w:r>
      <w:r w:rsidR="00D92E49" w:rsidRPr="00AB2BEB">
        <w:rPr>
          <w:kern w:val="22"/>
          <w:szCs w:val="22"/>
          <w:lang w:val="fr-FR"/>
        </w:rPr>
        <w:t>article 31 du Protocole de Cartagena et à l</w:t>
      </w:r>
      <w:r w:rsidR="004645B4" w:rsidRPr="00AB2BEB">
        <w:rPr>
          <w:kern w:val="22"/>
          <w:szCs w:val="22"/>
          <w:lang w:val="fr-FR"/>
        </w:rPr>
        <w:t>’</w:t>
      </w:r>
      <w:r w:rsidR="00D92E49" w:rsidRPr="00AB2BEB">
        <w:rPr>
          <w:kern w:val="22"/>
          <w:szCs w:val="22"/>
          <w:lang w:val="fr-FR"/>
        </w:rPr>
        <w:t>article 24 de la Convention sur la diversité</w:t>
      </w:r>
      <w:r w:rsidR="0098202F">
        <w:rPr>
          <w:kern w:val="22"/>
          <w:szCs w:val="22"/>
          <w:lang w:val="fr-FR"/>
        </w:rPr>
        <w:t xml:space="preserve"> biologique. Ce soutien inclut</w:t>
      </w:r>
      <w:r w:rsidR="00D92E49" w:rsidRPr="00AB2BEB">
        <w:rPr>
          <w:kern w:val="22"/>
          <w:szCs w:val="22"/>
          <w:lang w:val="fr-FR"/>
        </w:rPr>
        <w:t xml:space="preserve"> la gestion et le maintien du Centre d</w:t>
      </w:r>
      <w:r w:rsidR="004645B4" w:rsidRPr="00AB2BEB">
        <w:rPr>
          <w:kern w:val="22"/>
          <w:szCs w:val="22"/>
          <w:lang w:val="fr-FR"/>
        </w:rPr>
        <w:t>’</w:t>
      </w:r>
      <w:r w:rsidR="00D92E49" w:rsidRPr="00AB2BEB">
        <w:rPr>
          <w:kern w:val="22"/>
          <w:szCs w:val="22"/>
          <w:lang w:val="fr-FR"/>
        </w:rPr>
        <w:t>échange pour la prévention des risques biotechnologiques</w:t>
      </w:r>
      <w:r w:rsidR="00C56793">
        <w:rPr>
          <w:kern w:val="22"/>
          <w:szCs w:val="22"/>
          <w:lang w:val="fr-FR"/>
        </w:rPr>
        <w:t>,</w:t>
      </w:r>
      <w:r w:rsidR="00D92E49" w:rsidRPr="00AB2BEB">
        <w:rPr>
          <w:kern w:val="22"/>
          <w:szCs w:val="22"/>
          <w:lang w:val="fr-FR"/>
        </w:rPr>
        <w:t xml:space="preserve"> ainsi que la réalisation d</w:t>
      </w:r>
      <w:r w:rsidR="004645B4" w:rsidRPr="00AB2BEB">
        <w:rPr>
          <w:kern w:val="22"/>
          <w:szCs w:val="22"/>
          <w:lang w:val="fr-FR"/>
        </w:rPr>
        <w:t>’</w:t>
      </w:r>
      <w:r w:rsidR="00D92E49" w:rsidRPr="00AB2BEB">
        <w:rPr>
          <w:kern w:val="22"/>
          <w:szCs w:val="22"/>
          <w:lang w:val="fr-FR"/>
        </w:rPr>
        <w:t>act</w:t>
      </w:r>
      <w:r w:rsidR="00C56793">
        <w:rPr>
          <w:kern w:val="22"/>
          <w:szCs w:val="22"/>
          <w:lang w:val="fr-FR"/>
        </w:rPr>
        <w:t>ivités, y compris</w:t>
      </w:r>
      <w:r w:rsidR="00D92E49" w:rsidRPr="00AB2BEB">
        <w:rPr>
          <w:kern w:val="22"/>
          <w:szCs w:val="22"/>
          <w:lang w:val="fr-FR"/>
        </w:rPr>
        <w:t xml:space="preserve"> des activités de renforcement des capacités, comme demandé par la Conférence des Parties siégeant en tant que réunion des Parties au Protocole</w:t>
      </w:r>
      <w:r w:rsidR="00844090" w:rsidRPr="00AB2BEB">
        <w:rPr>
          <w:szCs w:val="22"/>
          <w:lang w:val="fr-FR"/>
        </w:rPr>
        <w:t>.</w:t>
      </w:r>
    </w:p>
    <w:p w14:paraId="131FA85E" w14:textId="77777777" w:rsidR="008C765C" w:rsidRPr="00AB2BEB" w:rsidRDefault="008C765C" w:rsidP="00737E63">
      <w:pPr>
        <w:spacing w:before="120" w:after="120"/>
        <w:rPr>
          <w:szCs w:val="22"/>
          <w:lang w:val="fr-FR"/>
        </w:rPr>
        <w:sectPr w:rsidR="008C765C" w:rsidRPr="00AB2BEB" w:rsidSect="000A50F5">
          <w:headerReference w:type="even" r:id="rId15"/>
          <w:headerReference w:type="default" r:id="rId16"/>
          <w:pgSz w:w="12240" w:h="15840"/>
          <w:pgMar w:top="562" w:right="1382" w:bottom="1138" w:left="1382" w:header="706" w:footer="706" w:gutter="0"/>
          <w:cols w:space="708"/>
          <w:titlePg/>
          <w:docGrid w:linePitch="360"/>
        </w:sectPr>
      </w:pPr>
    </w:p>
    <w:p w14:paraId="131FA85F" w14:textId="77777777" w:rsidR="00B72BED" w:rsidRPr="00AB2BEB" w:rsidRDefault="00554B78" w:rsidP="00737E63">
      <w:pPr>
        <w:suppressLineNumbers/>
        <w:suppressAutoHyphens/>
        <w:spacing w:before="60" w:after="120"/>
        <w:jc w:val="center"/>
        <w:outlineLvl w:val="0"/>
        <w:rPr>
          <w:rFonts w:eastAsia="MS Mincho"/>
          <w:bCs/>
          <w:i/>
          <w:kern w:val="22"/>
          <w:szCs w:val="22"/>
          <w:lang w:val="fr-FR"/>
        </w:rPr>
      </w:pPr>
      <w:bookmarkStart w:id="2" w:name="_Toc118383065"/>
      <w:r w:rsidRPr="00AB2BEB">
        <w:rPr>
          <w:rFonts w:eastAsia="MS Mincho"/>
          <w:bCs/>
          <w:i/>
          <w:kern w:val="22"/>
          <w:szCs w:val="22"/>
          <w:lang w:val="fr-FR"/>
        </w:rPr>
        <w:lastRenderedPageBreak/>
        <w:t>Appendice</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543"/>
        <w:gridCol w:w="3118"/>
        <w:gridCol w:w="3261"/>
        <w:gridCol w:w="2835"/>
      </w:tblGrid>
      <w:tr w:rsidR="00DD64E5" w:rsidRPr="00597279" w14:paraId="131FA861" w14:textId="77777777" w:rsidTr="00274B14">
        <w:trPr>
          <w:tblHeader/>
          <w:jc w:val="center"/>
        </w:trPr>
        <w:tc>
          <w:tcPr>
            <w:tcW w:w="13462" w:type="dxa"/>
            <w:gridSpan w:val="5"/>
            <w:tcBorders>
              <w:bottom w:val="nil"/>
            </w:tcBorders>
            <w:vAlign w:val="center"/>
          </w:tcPr>
          <w:bookmarkEnd w:id="2"/>
          <w:p w14:paraId="131FA860" w14:textId="00469BCE" w:rsidR="00DD64E5" w:rsidRPr="00AB2BEB" w:rsidRDefault="00EE22BE" w:rsidP="00274B14">
            <w:pPr>
              <w:suppressLineNumbers/>
              <w:suppressAutoHyphens/>
              <w:spacing w:before="60" w:after="60"/>
              <w:jc w:val="center"/>
              <w:outlineLvl w:val="0"/>
              <w:rPr>
                <w:rFonts w:eastAsia="MS Mincho"/>
                <w:b/>
                <w:iCs/>
                <w:kern w:val="22"/>
                <w:szCs w:val="22"/>
                <w:lang w:val="fr-FR"/>
              </w:rPr>
            </w:pPr>
            <w:r w:rsidRPr="00AB2BEB">
              <w:rPr>
                <w:rFonts w:eastAsia="MS Mincho"/>
                <w:b/>
                <w:iCs/>
                <w:kern w:val="22"/>
                <w:szCs w:val="22"/>
                <w:lang w:val="fr-FR"/>
              </w:rPr>
              <w:t>Plan d</w:t>
            </w:r>
            <w:r w:rsidR="004645B4" w:rsidRPr="00AB2BEB">
              <w:rPr>
                <w:rFonts w:eastAsia="MS Mincho"/>
                <w:b/>
                <w:iCs/>
                <w:kern w:val="22"/>
                <w:szCs w:val="22"/>
                <w:lang w:val="fr-FR"/>
              </w:rPr>
              <w:t>’</w:t>
            </w:r>
            <w:r w:rsidR="00D24668">
              <w:rPr>
                <w:rFonts w:eastAsia="MS Mincho"/>
                <w:b/>
                <w:iCs/>
                <w:kern w:val="22"/>
                <w:szCs w:val="22"/>
                <w:lang w:val="fr-FR"/>
              </w:rPr>
              <w:t xml:space="preserve">action pour le </w:t>
            </w:r>
            <w:r w:rsidRPr="00AB2BEB">
              <w:rPr>
                <w:rFonts w:eastAsia="MS Mincho"/>
                <w:b/>
                <w:iCs/>
                <w:kern w:val="22"/>
                <w:szCs w:val="22"/>
                <w:lang w:val="fr-FR"/>
              </w:rPr>
              <w:t>renforcement des capacités</w:t>
            </w:r>
            <w:r w:rsidR="00D24668" w:rsidRPr="00AB2BEB">
              <w:rPr>
                <w:kern w:val="22"/>
                <w:szCs w:val="22"/>
                <w:lang w:val="fr-FR"/>
              </w:rPr>
              <w:t xml:space="preserve"> </w:t>
            </w:r>
            <w:r w:rsidR="00D24668" w:rsidRPr="00D24668">
              <w:rPr>
                <w:b/>
                <w:kern w:val="22"/>
                <w:szCs w:val="22"/>
                <w:lang w:val="fr-FR"/>
              </w:rPr>
              <w:t xml:space="preserve">du Protocole de Cartagena </w:t>
            </w:r>
            <w:r w:rsidR="00D24668" w:rsidRPr="00D24668">
              <w:rPr>
                <w:b/>
                <w:kern w:val="22"/>
                <w:lang w:val="fr-FR"/>
              </w:rPr>
              <w:t>sur la prévention des risques biotechnologiques</w:t>
            </w:r>
          </w:p>
        </w:tc>
      </w:tr>
      <w:tr w:rsidR="00AC38BC" w:rsidRPr="00AB2BEB" w14:paraId="131FA867" w14:textId="77777777" w:rsidTr="00BB18BE">
        <w:trPr>
          <w:tblHeader/>
          <w:jc w:val="center"/>
        </w:trPr>
        <w:tc>
          <w:tcPr>
            <w:tcW w:w="1705" w:type="dxa"/>
            <w:tcBorders>
              <w:bottom w:val="nil"/>
            </w:tcBorders>
            <w:vAlign w:val="center"/>
          </w:tcPr>
          <w:p w14:paraId="131FA862" w14:textId="77777777" w:rsidR="00AC38BC" w:rsidRPr="00AB2BEB" w:rsidRDefault="00554B78" w:rsidP="00737E63">
            <w:pPr>
              <w:suppressLineNumbers/>
              <w:suppressAutoHyphens/>
              <w:jc w:val="center"/>
              <w:rPr>
                <w:rFonts w:eastAsia="MS Mincho"/>
                <w:b/>
                <w:iCs/>
                <w:kern w:val="22"/>
                <w:szCs w:val="22"/>
                <w:lang w:val="fr-FR"/>
              </w:rPr>
            </w:pPr>
            <w:r w:rsidRPr="00AB2BEB">
              <w:rPr>
                <w:rFonts w:eastAsia="MS Mincho"/>
                <w:b/>
                <w:bCs/>
                <w:kern w:val="22"/>
                <w:szCs w:val="22"/>
                <w:lang w:val="fr-FR"/>
              </w:rPr>
              <w:t>Buts</w:t>
            </w:r>
          </w:p>
        </w:tc>
        <w:tc>
          <w:tcPr>
            <w:tcW w:w="2543" w:type="dxa"/>
            <w:tcBorders>
              <w:bottom w:val="nil"/>
            </w:tcBorders>
            <w:shd w:val="clear" w:color="auto" w:fill="auto"/>
            <w:vAlign w:val="center"/>
          </w:tcPr>
          <w:p w14:paraId="131FA863" w14:textId="760ECD64" w:rsidR="00AC38BC" w:rsidRPr="00AB2BEB" w:rsidRDefault="00293E22" w:rsidP="00737E63">
            <w:pPr>
              <w:suppressLineNumbers/>
              <w:suppressAutoHyphens/>
              <w:jc w:val="center"/>
              <w:rPr>
                <w:rFonts w:eastAsia="MS Mincho"/>
                <w:b/>
                <w:iCs/>
                <w:kern w:val="22"/>
                <w:szCs w:val="22"/>
                <w:lang w:val="fr-FR"/>
              </w:rPr>
            </w:pPr>
            <w:r>
              <w:rPr>
                <w:rFonts w:eastAsia="MS Mincho"/>
                <w:b/>
                <w:iCs/>
                <w:kern w:val="22"/>
                <w:szCs w:val="22"/>
                <w:lang w:val="fr-FR"/>
              </w:rPr>
              <w:t>Domaines clés pour le renfor</w:t>
            </w:r>
            <w:r w:rsidR="00554B78" w:rsidRPr="00AB2BEB">
              <w:rPr>
                <w:rFonts w:eastAsia="MS Mincho"/>
                <w:b/>
                <w:iCs/>
                <w:kern w:val="22"/>
                <w:szCs w:val="22"/>
                <w:lang w:val="fr-FR"/>
              </w:rPr>
              <w:t>cement des capacités</w:t>
            </w:r>
          </w:p>
        </w:tc>
        <w:tc>
          <w:tcPr>
            <w:tcW w:w="3118" w:type="dxa"/>
            <w:tcBorders>
              <w:bottom w:val="nil"/>
            </w:tcBorders>
            <w:shd w:val="clear" w:color="auto" w:fill="auto"/>
            <w:vAlign w:val="center"/>
          </w:tcPr>
          <w:p w14:paraId="131FA864" w14:textId="77777777" w:rsidR="00AC38BC" w:rsidRPr="00AB2BEB" w:rsidRDefault="00554B78" w:rsidP="00737E63">
            <w:pPr>
              <w:suppressLineNumbers/>
              <w:suppressAutoHyphens/>
              <w:jc w:val="center"/>
              <w:rPr>
                <w:rFonts w:eastAsia="MS Mincho"/>
                <w:b/>
                <w:iCs/>
                <w:kern w:val="22"/>
                <w:szCs w:val="22"/>
                <w:lang w:val="fr-FR"/>
              </w:rPr>
            </w:pPr>
            <w:r w:rsidRPr="00AB2BEB">
              <w:rPr>
                <w:rFonts w:eastAsia="MS Mincho"/>
                <w:b/>
                <w:iCs/>
                <w:kern w:val="22"/>
                <w:szCs w:val="22"/>
                <w:lang w:val="fr-FR"/>
              </w:rPr>
              <w:t>Activités de renforcement des capacités</w:t>
            </w:r>
          </w:p>
        </w:tc>
        <w:tc>
          <w:tcPr>
            <w:tcW w:w="3261" w:type="dxa"/>
            <w:tcBorders>
              <w:bottom w:val="nil"/>
            </w:tcBorders>
            <w:vAlign w:val="center"/>
          </w:tcPr>
          <w:p w14:paraId="131FA865" w14:textId="77777777" w:rsidR="00AC38BC" w:rsidRPr="00AB2BEB" w:rsidRDefault="00554B78" w:rsidP="00737E63">
            <w:pPr>
              <w:suppressLineNumbers/>
              <w:suppressAutoHyphens/>
              <w:jc w:val="center"/>
              <w:rPr>
                <w:rFonts w:eastAsia="MS Mincho"/>
                <w:b/>
                <w:bCs/>
                <w:kern w:val="22"/>
                <w:szCs w:val="22"/>
                <w:lang w:val="fr-FR"/>
              </w:rPr>
            </w:pPr>
            <w:r w:rsidRPr="00AB2BEB">
              <w:rPr>
                <w:rFonts w:eastAsia="MS Mincho"/>
                <w:b/>
                <w:bCs/>
                <w:szCs w:val="22"/>
                <w:lang w:val="fr-FR"/>
              </w:rPr>
              <w:t>Indicateu</w:t>
            </w:r>
            <w:r w:rsidR="00AC38BC" w:rsidRPr="00AB2BEB">
              <w:rPr>
                <w:rFonts w:eastAsia="MS Mincho"/>
                <w:b/>
                <w:bCs/>
                <w:szCs w:val="22"/>
                <w:lang w:val="fr-FR"/>
              </w:rPr>
              <w:t>rs</w:t>
            </w:r>
          </w:p>
        </w:tc>
        <w:tc>
          <w:tcPr>
            <w:tcW w:w="2835" w:type="dxa"/>
            <w:tcBorders>
              <w:bottom w:val="nil"/>
            </w:tcBorders>
            <w:vAlign w:val="center"/>
          </w:tcPr>
          <w:p w14:paraId="131FA866" w14:textId="60B89B8A" w:rsidR="00AC38BC" w:rsidRPr="00AB2BEB" w:rsidRDefault="00554B78" w:rsidP="00737E63">
            <w:pPr>
              <w:suppressLineNumbers/>
              <w:suppressAutoHyphens/>
              <w:jc w:val="center"/>
              <w:rPr>
                <w:rFonts w:eastAsia="MS Mincho"/>
                <w:b/>
                <w:bCs/>
                <w:kern w:val="22"/>
                <w:szCs w:val="22"/>
                <w:lang w:val="fr-FR"/>
              </w:rPr>
            </w:pPr>
            <w:r w:rsidRPr="00AB2BEB">
              <w:rPr>
                <w:rFonts w:eastAsia="MS Mincho"/>
                <w:b/>
                <w:iCs/>
                <w:kern w:val="22"/>
                <w:szCs w:val="22"/>
                <w:lang w:val="fr-FR"/>
              </w:rPr>
              <w:t>Résultat</w:t>
            </w:r>
            <w:r w:rsidR="00D24668">
              <w:rPr>
                <w:rFonts w:eastAsia="MS Mincho"/>
                <w:b/>
                <w:iCs/>
                <w:kern w:val="22"/>
                <w:szCs w:val="22"/>
                <w:lang w:val="fr-FR"/>
              </w:rPr>
              <w:t>s</w:t>
            </w:r>
          </w:p>
        </w:tc>
      </w:tr>
      <w:tr w:rsidR="00554B78" w:rsidRPr="00597279" w14:paraId="131FA86D" w14:textId="77777777" w:rsidTr="00BB18BE">
        <w:trPr>
          <w:trHeight w:val="807"/>
          <w:jc w:val="center"/>
        </w:trPr>
        <w:tc>
          <w:tcPr>
            <w:tcW w:w="1705" w:type="dxa"/>
            <w:tcBorders>
              <w:top w:val="nil"/>
              <w:bottom w:val="single" w:sz="2" w:space="0" w:color="auto"/>
            </w:tcBorders>
          </w:tcPr>
          <w:p w14:paraId="131FA868" w14:textId="77777777" w:rsidR="00554B78" w:rsidRPr="00AB2BEB" w:rsidRDefault="00554B78" w:rsidP="00274B14">
            <w:pPr>
              <w:suppressLineNumbers/>
              <w:suppressAutoHyphens/>
              <w:spacing w:before="60" w:after="60"/>
              <w:jc w:val="left"/>
              <w:rPr>
                <w:rFonts w:eastAsia="MS Mincho"/>
                <w:i/>
                <w:iCs/>
                <w:kern w:val="22"/>
                <w:szCs w:val="22"/>
                <w:lang w:val="fr-FR"/>
              </w:rPr>
            </w:pPr>
            <w:r w:rsidRPr="00AB2BEB">
              <w:rPr>
                <w:rFonts w:eastAsia="MS Mincho"/>
                <w:i/>
                <w:iCs/>
                <w:kern w:val="22"/>
                <w:szCs w:val="22"/>
                <w:lang w:val="fr-FR"/>
              </w:rPr>
              <w:t>(Réalisations souhaitables)</w:t>
            </w:r>
          </w:p>
        </w:tc>
        <w:tc>
          <w:tcPr>
            <w:tcW w:w="2543" w:type="dxa"/>
            <w:tcBorders>
              <w:top w:val="nil"/>
              <w:bottom w:val="single" w:sz="2" w:space="0" w:color="auto"/>
            </w:tcBorders>
            <w:shd w:val="clear" w:color="auto" w:fill="auto"/>
          </w:tcPr>
          <w:p w14:paraId="131FA869" w14:textId="47D122AD" w:rsidR="00554B78" w:rsidRPr="00AB2BEB" w:rsidRDefault="00293E22" w:rsidP="00274B14">
            <w:pPr>
              <w:suppressLineNumbers/>
              <w:suppressAutoHyphens/>
              <w:spacing w:before="60" w:after="60"/>
              <w:jc w:val="left"/>
              <w:rPr>
                <w:rFonts w:eastAsia="MS Mincho"/>
                <w:iCs/>
                <w:kern w:val="22"/>
                <w:szCs w:val="22"/>
                <w:lang w:val="fr-FR"/>
              </w:rPr>
            </w:pPr>
            <w:r>
              <w:rPr>
                <w:rFonts w:eastAsia="MS Mincho"/>
                <w:i/>
                <w:iCs/>
                <w:kern w:val="22"/>
                <w:szCs w:val="22"/>
                <w:lang w:val="fr-FR"/>
              </w:rPr>
              <w:t xml:space="preserve">(Principaux domaines dans lesquels des </w:t>
            </w:r>
            <w:r w:rsidR="00D24668">
              <w:rPr>
                <w:rFonts w:eastAsia="MS Mincho"/>
                <w:i/>
                <w:iCs/>
                <w:kern w:val="22"/>
                <w:szCs w:val="22"/>
                <w:lang w:val="fr-FR"/>
              </w:rPr>
              <w:t>capacités</w:t>
            </w:r>
            <w:r>
              <w:rPr>
                <w:rFonts w:eastAsia="MS Mincho"/>
                <w:i/>
                <w:iCs/>
                <w:kern w:val="22"/>
                <w:szCs w:val="22"/>
                <w:lang w:val="fr-FR"/>
              </w:rPr>
              <w:t xml:space="preserve"> peuvent être nécessaires</w:t>
            </w:r>
            <w:r w:rsidR="00554B78" w:rsidRPr="00AB2BEB">
              <w:rPr>
                <w:rFonts w:eastAsia="MS Mincho"/>
                <w:i/>
                <w:iCs/>
                <w:kern w:val="22"/>
                <w:szCs w:val="22"/>
                <w:lang w:val="fr-FR"/>
              </w:rPr>
              <w:t>)</w:t>
            </w:r>
          </w:p>
        </w:tc>
        <w:tc>
          <w:tcPr>
            <w:tcW w:w="3118" w:type="dxa"/>
            <w:tcBorders>
              <w:top w:val="nil"/>
              <w:bottom w:val="single" w:sz="2" w:space="0" w:color="auto"/>
            </w:tcBorders>
            <w:shd w:val="clear" w:color="auto" w:fill="auto"/>
          </w:tcPr>
          <w:p w14:paraId="131FA86A" w14:textId="1394839E" w:rsidR="00554B78" w:rsidRPr="00AB2BEB" w:rsidRDefault="00554B78" w:rsidP="00274B14">
            <w:pPr>
              <w:suppressLineNumbers/>
              <w:suppressAutoHyphens/>
              <w:spacing w:before="60" w:after="60"/>
              <w:jc w:val="left"/>
              <w:rPr>
                <w:rFonts w:eastAsia="MS Mincho"/>
                <w:kern w:val="22"/>
                <w:szCs w:val="22"/>
                <w:lang w:val="fr-FR"/>
              </w:rPr>
            </w:pPr>
            <w:r w:rsidRPr="00AB2BEB">
              <w:rPr>
                <w:rFonts w:eastAsia="MS Mincho"/>
                <w:i/>
                <w:iCs/>
                <w:kern w:val="22"/>
                <w:szCs w:val="22"/>
                <w:lang w:val="fr-FR"/>
              </w:rPr>
              <w:t>(Exemples d</w:t>
            </w:r>
            <w:r w:rsidR="004645B4" w:rsidRPr="00AB2BEB">
              <w:rPr>
                <w:rFonts w:eastAsia="MS Mincho"/>
                <w:i/>
                <w:iCs/>
                <w:kern w:val="22"/>
                <w:szCs w:val="22"/>
                <w:lang w:val="fr-FR"/>
              </w:rPr>
              <w:t>’</w:t>
            </w:r>
            <w:r w:rsidRPr="00AB2BEB">
              <w:rPr>
                <w:rFonts w:eastAsia="MS Mincho"/>
                <w:i/>
                <w:iCs/>
                <w:kern w:val="22"/>
                <w:szCs w:val="22"/>
                <w:lang w:val="fr-FR"/>
              </w:rPr>
              <w:t>activités de renforcement des capacités suggérées</w:t>
            </w:r>
            <w:r w:rsidR="00961C26">
              <w:rPr>
                <w:rFonts w:eastAsia="MS Mincho"/>
                <w:i/>
                <w:iCs/>
                <w:kern w:val="22"/>
                <w:szCs w:val="22"/>
                <w:lang w:val="fr-FR"/>
              </w:rPr>
              <w:t xml:space="preserve"> dans les </w:t>
            </w:r>
            <w:r w:rsidR="00293E22">
              <w:rPr>
                <w:rFonts w:eastAsia="MS Mincho"/>
                <w:i/>
                <w:iCs/>
                <w:kern w:val="22"/>
                <w:szCs w:val="22"/>
                <w:lang w:val="fr-FR"/>
              </w:rPr>
              <w:t>domaines clés pour le renfor</w:t>
            </w:r>
            <w:r w:rsidRPr="00AB2BEB">
              <w:rPr>
                <w:rFonts w:eastAsia="MS Mincho"/>
                <w:i/>
                <w:iCs/>
                <w:kern w:val="22"/>
                <w:szCs w:val="22"/>
                <w:lang w:val="fr-FR"/>
              </w:rPr>
              <w:t>cement des capacités)</w:t>
            </w:r>
          </w:p>
        </w:tc>
        <w:tc>
          <w:tcPr>
            <w:tcW w:w="3261" w:type="dxa"/>
            <w:tcBorders>
              <w:top w:val="nil"/>
              <w:bottom w:val="single" w:sz="2" w:space="0" w:color="auto"/>
            </w:tcBorders>
          </w:tcPr>
          <w:p w14:paraId="131FA86B" w14:textId="10853115" w:rsidR="00554B78" w:rsidRPr="00AB2BEB" w:rsidRDefault="00554B78" w:rsidP="00737E63">
            <w:pPr>
              <w:suppressLineNumbers/>
              <w:suppressAutoHyphens/>
              <w:spacing w:after="60"/>
              <w:jc w:val="left"/>
              <w:rPr>
                <w:rFonts w:eastAsia="MS Mincho"/>
                <w:kern w:val="22"/>
                <w:szCs w:val="22"/>
                <w:lang w:val="fr-FR"/>
              </w:rPr>
            </w:pPr>
            <w:r w:rsidRPr="00AB2BEB">
              <w:rPr>
                <w:rFonts w:eastAsia="MS Mincho"/>
                <w:i/>
                <w:iCs/>
                <w:szCs w:val="22"/>
                <w:lang w:val="fr-FR"/>
              </w:rPr>
              <w:t>(Mesure si l</w:t>
            </w:r>
            <w:r w:rsidR="004645B4" w:rsidRPr="00AB2BEB">
              <w:rPr>
                <w:rFonts w:eastAsia="MS Mincho"/>
                <w:i/>
                <w:iCs/>
                <w:szCs w:val="22"/>
                <w:lang w:val="fr-FR"/>
              </w:rPr>
              <w:t>’</w:t>
            </w:r>
            <w:r w:rsidR="00D24668">
              <w:rPr>
                <w:rFonts w:eastAsia="MS Mincho"/>
                <w:i/>
                <w:iCs/>
                <w:szCs w:val="22"/>
                <w:lang w:val="fr-FR"/>
              </w:rPr>
              <w:t>activité a eu lieu</w:t>
            </w:r>
            <w:r w:rsidRPr="00AB2BEB">
              <w:rPr>
                <w:rFonts w:eastAsia="MS Mincho"/>
                <w:i/>
                <w:iCs/>
                <w:szCs w:val="22"/>
                <w:lang w:val="fr-FR"/>
              </w:rPr>
              <w:t>)</w:t>
            </w:r>
          </w:p>
        </w:tc>
        <w:tc>
          <w:tcPr>
            <w:tcW w:w="2835" w:type="dxa"/>
            <w:tcBorders>
              <w:top w:val="nil"/>
              <w:bottom w:val="single" w:sz="2" w:space="0" w:color="auto"/>
            </w:tcBorders>
          </w:tcPr>
          <w:p w14:paraId="131FA86C" w14:textId="55600C7D" w:rsidR="00554B78" w:rsidRPr="00AB2BEB" w:rsidRDefault="00961C26" w:rsidP="00737E63">
            <w:pPr>
              <w:suppressLineNumbers/>
              <w:suppressAutoHyphens/>
              <w:spacing w:before="60" w:after="60"/>
              <w:jc w:val="left"/>
              <w:rPr>
                <w:rFonts w:eastAsia="MS Mincho"/>
                <w:i/>
                <w:iCs/>
                <w:kern w:val="22"/>
                <w:szCs w:val="22"/>
                <w:lang w:val="fr-FR"/>
              </w:rPr>
            </w:pPr>
            <w:r>
              <w:rPr>
                <w:rFonts w:eastAsia="MS Mincho"/>
                <w:bCs/>
                <w:i/>
                <w:kern w:val="22"/>
                <w:szCs w:val="22"/>
                <w:lang w:val="fr-FR"/>
              </w:rPr>
              <w:t>(Les effet</w:t>
            </w:r>
            <w:r w:rsidR="00554B78" w:rsidRPr="00AB2BEB">
              <w:rPr>
                <w:rFonts w:eastAsia="MS Mincho"/>
                <w:bCs/>
                <w:i/>
                <w:kern w:val="22"/>
                <w:szCs w:val="22"/>
                <w:lang w:val="fr-FR"/>
              </w:rPr>
              <w:t>s d</w:t>
            </w:r>
            <w:r>
              <w:rPr>
                <w:rFonts w:eastAsia="MS Mincho"/>
                <w:bCs/>
                <w:i/>
                <w:kern w:val="22"/>
                <w:szCs w:val="22"/>
                <w:lang w:val="fr-FR"/>
              </w:rPr>
              <w:t xml:space="preserve">es </w:t>
            </w:r>
            <w:r w:rsidR="00554B78" w:rsidRPr="00AB2BEB">
              <w:rPr>
                <w:rFonts w:eastAsia="MS Mincho"/>
                <w:bCs/>
                <w:i/>
                <w:kern w:val="22"/>
                <w:szCs w:val="22"/>
                <w:lang w:val="fr-FR"/>
              </w:rPr>
              <w:t>activités réalisées avec succès)</w:t>
            </w:r>
          </w:p>
        </w:tc>
      </w:tr>
      <w:tr w:rsidR="00DD64E5" w:rsidRPr="00597279" w14:paraId="131FA86F" w14:textId="77777777" w:rsidTr="00274B14">
        <w:trPr>
          <w:jc w:val="center"/>
        </w:trPr>
        <w:tc>
          <w:tcPr>
            <w:tcW w:w="13462" w:type="dxa"/>
            <w:gridSpan w:val="5"/>
            <w:tcBorders>
              <w:top w:val="single" w:sz="2" w:space="0" w:color="auto"/>
              <w:bottom w:val="single" w:sz="2" w:space="0" w:color="auto"/>
            </w:tcBorders>
          </w:tcPr>
          <w:p w14:paraId="131FA86E" w14:textId="56C66589" w:rsidR="00DD64E5" w:rsidRPr="00D24668" w:rsidRDefault="00211BCE" w:rsidP="00D24668">
            <w:pPr>
              <w:pStyle w:val="ListParagraph"/>
              <w:numPr>
                <w:ilvl w:val="0"/>
                <w:numId w:val="22"/>
              </w:numPr>
              <w:suppressLineNumbers/>
              <w:suppressAutoHyphens/>
              <w:spacing w:before="60" w:after="60"/>
              <w:jc w:val="center"/>
              <w:rPr>
                <w:rFonts w:eastAsia="MS Mincho"/>
                <w:b/>
                <w:bCs/>
                <w:kern w:val="22"/>
                <w:szCs w:val="22"/>
                <w:lang w:val="fr-FR"/>
              </w:rPr>
            </w:pPr>
            <w:r w:rsidRPr="00D24668">
              <w:rPr>
                <w:rFonts w:eastAsia="MS Mincho"/>
                <w:b/>
                <w:bCs/>
                <w:kern w:val="22"/>
                <w:szCs w:val="22"/>
                <w:lang w:val="fr-FR"/>
              </w:rPr>
              <w:t>Domaines de mise en œuvre</w:t>
            </w:r>
          </w:p>
        </w:tc>
      </w:tr>
      <w:tr w:rsidR="00211BCE" w:rsidRPr="00597279" w14:paraId="131FA879" w14:textId="77777777" w:rsidTr="00BB18BE">
        <w:trPr>
          <w:jc w:val="center"/>
        </w:trPr>
        <w:tc>
          <w:tcPr>
            <w:tcW w:w="1705" w:type="dxa"/>
            <w:tcBorders>
              <w:top w:val="single" w:sz="2" w:space="0" w:color="auto"/>
              <w:bottom w:val="single" w:sz="4" w:space="0" w:color="auto"/>
            </w:tcBorders>
          </w:tcPr>
          <w:p w14:paraId="131FA870" w14:textId="3D2C26AE" w:rsidR="00211BCE" w:rsidRPr="00AB2BEB" w:rsidRDefault="00211BCE" w:rsidP="00274B14">
            <w:pPr>
              <w:jc w:val="left"/>
              <w:rPr>
                <w:rFonts w:eastAsia="MS Mincho"/>
                <w:b/>
                <w:kern w:val="22"/>
                <w:szCs w:val="22"/>
                <w:lang w:val="fr-FR"/>
              </w:rPr>
            </w:pPr>
            <w:r w:rsidRPr="00AB2BEB">
              <w:rPr>
                <w:b/>
                <w:bCs/>
                <w:kern w:val="22"/>
                <w:szCs w:val="22"/>
                <w:lang w:val="fr-FR"/>
              </w:rPr>
              <w:t xml:space="preserve">A.1. Les Parties ont mis en place des cadres nationaux fonctionnels </w:t>
            </w:r>
            <w:r w:rsidR="00293E22">
              <w:rPr>
                <w:b/>
                <w:bCs/>
                <w:kern w:val="22"/>
                <w:szCs w:val="22"/>
                <w:lang w:val="fr-FR"/>
              </w:rPr>
              <w:t xml:space="preserve">en matière </w:t>
            </w:r>
            <w:r w:rsidRPr="00AB2BEB">
              <w:rPr>
                <w:b/>
                <w:bCs/>
                <w:kern w:val="22"/>
                <w:szCs w:val="22"/>
                <w:lang w:val="fr-FR"/>
              </w:rPr>
              <w:t xml:space="preserve">de prévention des risques </w:t>
            </w:r>
            <w:r w:rsidR="00704084" w:rsidRPr="00AB2BEB">
              <w:rPr>
                <w:b/>
                <w:bCs/>
                <w:kern w:val="22"/>
                <w:szCs w:val="22"/>
                <w:lang w:val="fr-FR"/>
              </w:rPr>
              <w:t>biotechno</w:t>
            </w:r>
            <w:r w:rsidR="00D567D7" w:rsidRPr="00AB2BEB">
              <w:rPr>
                <w:b/>
                <w:bCs/>
                <w:kern w:val="22"/>
                <w:szCs w:val="22"/>
                <w:lang w:val="fr-FR"/>
              </w:rPr>
              <w:t>-</w:t>
            </w:r>
            <w:r w:rsidR="00704084" w:rsidRPr="00AB2BEB">
              <w:rPr>
                <w:b/>
                <w:bCs/>
                <w:kern w:val="22"/>
                <w:szCs w:val="22"/>
                <w:lang w:val="fr-FR"/>
              </w:rPr>
              <w:t>logiques</w:t>
            </w:r>
          </w:p>
          <w:p w14:paraId="131FA871" w14:textId="77777777" w:rsidR="00211BCE" w:rsidRPr="00AB2BEB" w:rsidRDefault="00211BCE" w:rsidP="00274B14">
            <w:pPr>
              <w:suppressLineNumbers/>
              <w:suppressAutoHyphens/>
              <w:spacing w:before="60" w:after="60"/>
              <w:jc w:val="left"/>
              <w:rPr>
                <w:rFonts w:eastAsia="MS Mincho"/>
                <w:kern w:val="22"/>
                <w:szCs w:val="22"/>
                <w:lang w:val="fr-FR"/>
              </w:rPr>
            </w:pPr>
          </w:p>
        </w:tc>
        <w:tc>
          <w:tcPr>
            <w:tcW w:w="2543" w:type="dxa"/>
            <w:tcBorders>
              <w:top w:val="single" w:sz="2" w:space="0" w:color="auto"/>
              <w:bottom w:val="single" w:sz="4" w:space="0" w:color="auto"/>
            </w:tcBorders>
            <w:shd w:val="clear" w:color="auto" w:fill="auto"/>
          </w:tcPr>
          <w:p w14:paraId="131FA872" w14:textId="6ECC6074" w:rsidR="00211BCE" w:rsidRPr="00AB2BEB" w:rsidRDefault="00211BCE" w:rsidP="00274B14">
            <w:pPr>
              <w:spacing w:before="60" w:after="60"/>
              <w:jc w:val="left"/>
              <w:rPr>
                <w:rFonts w:eastAsia="MS Mincho"/>
                <w:kern w:val="22"/>
                <w:szCs w:val="22"/>
                <w:lang w:val="fr-FR"/>
              </w:rPr>
            </w:pPr>
            <w:r w:rsidRPr="00AB2BEB">
              <w:rPr>
                <w:kern w:val="22"/>
                <w:szCs w:val="22"/>
                <w:lang w:val="fr-FR"/>
              </w:rPr>
              <w:t xml:space="preserve">1) Élaboration et mise en œuvre de mesures </w:t>
            </w:r>
            <w:r w:rsidR="00293E22">
              <w:rPr>
                <w:kern w:val="22"/>
                <w:szCs w:val="22"/>
                <w:lang w:val="fr-FR"/>
              </w:rPr>
              <w:t xml:space="preserve">juridiques, administratives et autres mesures pour assurer </w:t>
            </w:r>
            <w:r w:rsidRPr="00AB2BEB">
              <w:rPr>
                <w:kern w:val="22"/>
                <w:szCs w:val="22"/>
                <w:lang w:val="fr-FR"/>
              </w:rPr>
              <w:t>l</w:t>
            </w:r>
            <w:r w:rsidR="004645B4" w:rsidRPr="00AB2BEB">
              <w:rPr>
                <w:kern w:val="22"/>
                <w:szCs w:val="22"/>
                <w:lang w:val="fr-FR"/>
              </w:rPr>
              <w:t>’</w:t>
            </w:r>
            <w:r w:rsidRPr="00AB2BEB">
              <w:rPr>
                <w:kern w:val="22"/>
                <w:szCs w:val="22"/>
                <w:lang w:val="fr-FR"/>
              </w:rPr>
              <w:t xml:space="preserve">application du </w:t>
            </w:r>
            <w:r w:rsidR="00C96D21">
              <w:rPr>
                <w:kern w:val="22"/>
                <w:szCs w:val="22"/>
                <w:lang w:val="fr-FR"/>
              </w:rPr>
              <w:t>Protocole</w:t>
            </w:r>
            <w:r w:rsidR="00BB600B" w:rsidRPr="00AB2BEB">
              <w:rPr>
                <w:kern w:val="22"/>
                <w:szCs w:val="22"/>
                <w:lang w:val="fr-FR"/>
              </w:rPr>
              <w:t>;</w:t>
            </w:r>
          </w:p>
          <w:p w14:paraId="131FA873" w14:textId="77777777" w:rsidR="00211BCE" w:rsidRPr="00AB2BEB" w:rsidRDefault="00211BCE" w:rsidP="00274B14">
            <w:pPr>
              <w:suppressLineNumbers/>
              <w:suppressAutoHyphens/>
              <w:spacing w:before="60" w:after="60"/>
              <w:jc w:val="left"/>
              <w:rPr>
                <w:rFonts w:eastAsia="MS Mincho"/>
                <w:kern w:val="22"/>
                <w:szCs w:val="22"/>
                <w:lang w:val="fr-FR"/>
              </w:rPr>
            </w:pPr>
            <w:r w:rsidRPr="00AB2BEB">
              <w:rPr>
                <w:kern w:val="22"/>
                <w:szCs w:val="22"/>
                <w:lang w:val="fr-FR"/>
              </w:rPr>
              <w:t>2) Renforcement des capacités des autorités nationales compétentes.</w:t>
            </w:r>
          </w:p>
        </w:tc>
        <w:tc>
          <w:tcPr>
            <w:tcW w:w="3118" w:type="dxa"/>
            <w:tcBorders>
              <w:top w:val="single" w:sz="2" w:space="0" w:color="auto"/>
              <w:bottom w:val="single" w:sz="4" w:space="0" w:color="auto"/>
            </w:tcBorders>
            <w:shd w:val="clear" w:color="auto" w:fill="auto"/>
          </w:tcPr>
          <w:p w14:paraId="131FA874" w14:textId="67FFCAFB" w:rsidR="00211BCE" w:rsidRPr="00AB2BEB" w:rsidRDefault="00211BCE" w:rsidP="00274B14">
            <w:pPr>
              <w:spacing w:before="60" w:after="60"/>
              <w:jc w:val="left"/>
              <w:rPr>
                <w:rFonts w:eastAsia="MS Mincho"/>
                <w:kern w:val="22"/>
                <w:szCs w:val="22"/>
                <w:lang w:val="fr-FR"/>
              </w:rPr>
            </w:pPr>
            <w:r w:rsidRPr="00AB2BEB">
              <w:rPr>
                <w:kern w:val="22"/>
                <w:szCs w:val="22"/>
                <w:lang w:val="fr-FR"/>
              </w:rPr>
              <w:t>i) Dispenser une formation sur l</w:t>
            </w:r>
            <w:r w:rsidR="004645B4" w:rsidRPr="00AB2BEB">
              <w:rPr>
                <w:kern w:val="22"/>
                <w:szCs w:val="22"/>
                <w:lang w:val="fr-FR"/>
              </w:rPr>
              <w:t>’</w:t>
            </w:r>
            <w:r w:rsidR="00293E22">
              <w:rPr>
                <w:kern w:val="22"/>
                <w:szCs w:val="22"/>
                <w:lang w:val="fr-FR"/>
              </w:rPr>
              <w:t>élaboration et l’application</w:t>
            </w:r>
            <w:r w:rsidRPr="00AB2BEB">
              <w:rPr>
                <w:kern w:val="22"/>
                <w:szCs w:val="22"/>
                <w:lang w:val="fr-FR"/>
              </w:rPr>
              <w:t xml:space="preserve"> de mesures juridiques, ad</w:t>
            </w:r>
            <w:r w:rsidR="00293E22">
              <w:rPr>
                <w:kern w:val="22"/>
                <w:szCs w:val="22"/>
                <w:lang w:val="fr-FR"/>
              </w:rPr>
              <w:t xml:space="preserve">ministratives et </w:t>
            </w:r>
            <w:r w:rsidRPr="00AB2BEB">
              <w:rPr>
                <w:kern w:val="22"/>
                <w:szCs w:val="22"/>
                <w:lang w:val="fr-FR"/>
              </w:rPr>
              <w:t>autres mesures pour</w:t>
            </w:r>
            <w:r w:rsidR="00293E22">
              <w:rPr>
                <w:kern w:val="22"/>
                <w:szCs w:val="22"/>
                <w:lang w:val="fr-FR"/>
              </w:rPr>
              <w:t xml:space="preserve"> assurer</w:t>
            </w:r>
            <w:r w:rsidRPr="00AB2BEB">
              <w:rPr>
                <w:kern w:val="22"/>
                <w:szCs w:val="22"/>
                <w:lang w:val="fr-FR"/>
              </w:rPr>
              <w:t xml:space="preserve"> l</w:t>
            </w:r>
            <w:r w:rsidR="004645B4" w:rsidRPr="00AB2BEB">
              <w:rPr>
                <w:kern w:val="22"/>
                <w:szCs w:val="22"/>
                <w:lang w:val="fr-FR"/>
              </w:rPr>
              <w:t>’</w:t>
            </w:r>
            <w:r w:rsidRPr="00AB2BEB">
              <w:rPr>
                <w:kern w:val="22"/>
                <w:szCs w:val="22"/>
                <w:lang w:val="fr-FR"/>
              </w:rPr>
              <w:t xml:space="preserve">application du </w:t>
            </w:r>
            <w:r w:rsidR="00BB600B" w:rsidRPr="00AB2BEB">
              <w:rPr>
                <w:kern w:val="22"/>
                <w:szCs w:val="22"/>
                <w:lang w:val="fr-FR"/>
              </w:rPr>
              <w:t>Protocole</w:t>
            </w:r>
            <w:r w:rsidR="00C96D21">
              <w:rPr>
                <w:kern w:val="22"/>
                <w:szCs w:val="22"/>
                <w:lang w:val="fr-FR"/>
              </w:rPr>
              <w:t>;</w:t>
            </w:r>
          </w:p>
          <w:p w14:paraId="131FA875" w14:textId="3E8D3957" w:rsidR="00211BCE" w:rsidRPr="00AB2BEB" w:rsidRDefault="00211BCE" w:rsidP="00274B14">
            <w:pPr>
              <w:suppressLineNumbers/>
              <w:suppressAutoHyphens/>
              <w:spacing w:before="60" w:after="60"/>
              <w:jc w:val="left"/>
              <w:rPr>
                <w:rFonts w:eastAsia="MS Mincho"/>
                <w:kern w:val="22"/>
                <w:szCs w:val="22"/>
                <w:lang w:val="fr-FR"/>
              </w:rPr>
            </w:pPr>
            <w:r w:rsidRPr="00AB2BEB">
              <w:rPr>
                <w:kern w:val="22"/>
                <w:szCs w:val="22"/>
                <w:lang w:val="fr-FR"/>
              </w:rPr>
              <w:t>ii) Former le personnel des autorités nationales compétentes à l</w:t>
            </w:r>
            <w:r w:rsidR="004645B4" w:rsidRPr="00AB2BEB">
              <w:rPr>
                <w:kern w:val="22"/>
                <w:szCs w:val="22"/>
                <w:lang w:val="fr-FR"/>
              </w:rPr>
              <w:t>’</w:t>
            </w:r>
            <w:r w:rsidRPr="00AB2BEB">
              <w:rPr>
                <w:kern w:val="22"/>
                <w:szCs w:val="22"/>
                <w:lang w:val="fr-FR"/>
              </w:rPr>
              <w:t xml:space="preserve">administration de leur système </w:t>
            </w:r>
            <w:r w:rsidR="00293E22">
              <w:rPr>
                <w:kern w:val="22"/>
                <w:szCs w:val="22"/>
                <w:lang w:val="fr-FR"/>
              </w:rPr>
              <w:t>règlementaire national de</w:t>
            </w:r>
            <w:r w:rsidRPr="00AB2BEB">
              <w:rPr>
                <w:kern w:val="22"/>
                <w:szCs w:val="22"/>
                <w:lang w:val="fr-FR"/>
              </w:rPr>
              <w:t xml:space="preserve"> prévention des risques biotechnologiques.</w:t>
            </w:r>
          </w:p>
        </w:tc>
        <w:tc>
          <w:tcPr>
            <w:tcW w:w="3261" w:type="dxa"/>
            <w:tcBorders>
              <w:top w:val="single" w:sz="2" w:space="0" w:color="auto"/>
              <w:bottom w:val="single" w:sz="4" w:space="0" w:color="auto"/>
            </w:tcBorders>
          </w:tcPr>
          <w:p w14:paraId="131FA876" w14:textId="08390FA0" w:rsidR="00211BCE" w:rsidRPr="00AB2BEB" w:rsidRDefault="00211BCE" w:rsidP="00274B14">
            <w:pPr>
              <w:suppressLineNumbers/>
              <w:suppressAutoHyphens/>
              <w:spacing w:before="60" w:after="60"/>
              <w:jc w:val="left"/>
              <w:rPr>
                <w:rFonts w:eastAsia="MS Mincho"/>
                <w:kern w:val="22"/>
                <w:szCs w:val="22"/>
                <w:lang w:val="fr-FR"/>
              </w:rPr>
            </w:pPr>
            <w:r w:rsidRPr="00AB2BEB">
              <w:rPr>
                <w:rFonts w:eastAsia="MS Mincho"/>
                <w:szCs w:val="22"/>
                <w:lang w:val="fr-FR"/>
              </w:rPr>
              <w:t>a) Pourcentage de Parties ayant des besoins de formation en matière d</w:t>
            </w:r>
            <w:r w:rsidR="004645B4" w:rsidRPr="00AB2BEB">
              <w:rPr>
                <w:rFonts w:eastAsia="MS Mincho"/>
                <w:szCs w:val="22"/>
                <w:lang w:val="fr-FR"/>
              </w:rPr>
              <w:t>’</w:t>
            </w:r>
            <w:r w:rsidRPr="00AB2BEB">
              <w:rPr>
                <w:rFonts w:eastAsia="MS Mincho"/>
                <w:szCs w:val="22"/>
                <w:lang w:val="fr-FR"/>
              </w:rPr>
              <w:t>élaboration et d</w:t>
            </w:r>
            <w:r w:rsidR="004645B4" w:rsidRPr="00AB2BEB">
              <w:rPr>
                <w:rFonts w:eastAsia="MS Mincho"/>
                <w:szCs w:val="22"/>
                <w:lang w:val="fr-FR"/>
              </w:rPr>
              <w:t>’</w:t>
            </w:r>
            <w:r w:rsidR="00293E22">
              <w:rPr>
                <w:rFonts w:eastAsia="MS Mincho"/>
                <w:szCs w:val="22"/>
                <w:lang w:val="fr-FR"/>
              </w:rPr>
              <w:t>application de mesures juridique</w:t>
            </w:r>
            <w:r w:rsidRPr="00AB2BEB">
              <w:rPr>
                <w:rFonts w:eastAsia="MS Mincho"/>
                <w:szCs w:val="22"/>
                <w:lang w:val="fr-FR"/>
              </w:rPr>
              <w:t xml:space="preserve">s, administratives et autres </w:t>
            </w:r>
            <w:r w:rsidR="00293E22">
              <w:rPr>
                <w:rFonts w:eastAsia="MS Mincho"/>
                <w:szCs w:val="22"/>
                <w:lang w:val="fr-FR"/>
              </w:rPr>
              <w:t xml:space="preserve">mesures </w:t>
            </w:r>
            <w:r w:rsidRPr="00AB2BEB">
              <w:rPr>
                <w:rFonts w:eastAsia="MS Mincho"/>
                <w:szCs w:val="22"/>
                <w:lang w:val="fr-FR"/>
              </w:rPr>
              <w:t xml:space="preserve">pour </w:t>
            </w:r>
            <w:r w:rsidR="00293E22">
              <w:rPr>
                <w:rFonts w:eastAsia="MS Mincho"/>
                <w:szCs w:val="22"/>
                <w:lang w:val="fr-FR"/>
              </w:rPr>
              <w:t xml:space="preserve">assurer l’application du </w:t>
            </w:r>
            <w:r w:rsidRPr="00AB2BEB">
              <w:rPr>
                <w:rFonts w:eastAsia="MS Mincho"/>
                <w:szCs w:val="22"/>
                <w:lang w:val="fr-FR"/>
              </w:rPr>
              <w:t xml:space="preserve">Protocole, ayant réalisé avec succès des activités de </w:t>
            </w:r>
            <w:r w:rsidR="00BB600B" w:rsidRPr="00AB2BEB">
              <w:rPr>
                <w:rFonts w:eastAsia="MS Mincho"/>
                <w:szCs w:val="22"/>
                <w:lang w:val="fr-FR"/>
              </w:rPr>
              <w:t>formation</w:t>
            </w:r>
            <w:r w:rsidR="00C96D21">
              <w:rPr>
                <w:rFonts w:eastAsia="MS Mincho"/>
                <w:szCs w:val="22"/>
                <w:lang w:val="fr-FR"/>
              </w:rPr>
              <w:t>;</w:t>
            </w:r>
          </w:p>
          <w:p w14:paraId="131FA877" w14:textId="343D5C3A" w:rsidR="00211BCE" w:rsidRPr="00AB2BEB" w:rsidRDefault="00211BCE" w:rsidP="00274B14">
            <w:pPr>
              <w:suppressLineNumbers/>
              <w:suppressAutoHyphens/>
              <w:spacing w:before="60" w:after="60"/>
              <w:jc w:val="left"/>
              <w:rPr>
                <w:rFonts w:eastAsia="MS Mincho"/>
                <w:kern w:val="22"/>
                <w:szCs w:val="22"/>
                <w:lang w:val="fr-FR"/>
              </w:rPr>
            </w:pPr>
            <w:r w:rsidRPr="00AB2BEB">
              <w:rPr>
                <w:rFonts w:eastAsia="MS Mincho"/>
                <w:szCs w:val="22"/>
                <w:lang w:val="fr-FR"/>
              </w:rPr>
              <w:t>b) Pourcentage de Parties ayant suffisamment de personnel fo</w:t>
            </w:r>
            <w:r w:rsidR="00293E22">
              <w:rPr>
                <w:rFonts w:eastAsia="MS Mincho"/>
                <w:szCs w:val="22"/>
                <w:lang w:val="fr-FR"/>
              </w:rPr>
              <w:t xml:space="preserve">rmé pour administrer le système </w:t>
            </w:r>
            <w:r w:rsidRPr="00AB2BEB">
              <w:rPr>
                <w:rFonts w:eastAsia="MS Mincho"/>
                <w:szCs w:val="22"/>
                <w:lang w:val="fr-FR"/>
              </w:rPr>
              <w:t>national de prévention des risques biotechnologiques.</w:t>
            </w:r>
          </w:p>
        </w:tc>
        <w:tc>
          <w:tcPr>
            <w:tcW w:w="2835" w:type="dxa"/>
            <w:tcBorders>
              <w:top w:val="single" w:sz="2" w:space="0" w:color="auto"/>
              <w:bottom w:val="single" w:sz="4" w:space="0" w:color="auto"/>
            </w:tcBorders>
          </w:tcPr>
          <w:p w14:paraId="131FA878" w14:textId="4ADD8C61" w:rsidR="00211BCE" w:rsidRPr="00AB2BEB" w:rsidRDefault="00211BCE" w:rsidP="00274B14">
            <w:pPr>
              <w:suppressLineNumbers/>
              <w:suppressAutoHyphens/>
              <w:spacing w:before="60" w:after="60"/>
              <w:jc w:val="left"/>
              <w:rPr>
                <w:rFonts w:eastAsia="MS Mincho"/>
                <w:kern w:val="22"/>
                <w:szCs w:val="22"/>
                <w:lang w:val="fr-FR"/>
              </w:rPr>
            </w:pPr>
            <w:r w:rsidRPr="00AB2BEB">
              <w:rPr>
                <w:kern w:val="22"/>
                <w:szCs w:val="22"/>
                <w:lang w:val="fr-FR"/>
              </w:rPr>
              <w:t xml:space="preserve">Des cadres nationaux fonctionnels </w:t>
            </w:r>
            <w:r w:rsidR="00293E22">
              <w:rPr>
                <w:kern w:val="22"/>
                <w:szCs w:val="22"/>
                <w:lang w:val="fr-FR"/>
              </w:rPr>
              <w:t xml:space="preserve">en matière </w:t>
            </w:r>
            <w:r w:rsidRPr="00AB2BEB">
              <w:rPr>
                <w:kern w:val="22"/>
                <w:szCs w:val="22"/>
                <w:lang w:val="fr-FR"/>
              </w:rPr>
              <w:t>de prévention des risques biotechnologiques permettent aux autorités nationales compétentes, aux correspondants nationaux et aux points de contact de l</w:t>
            </w:r>
            <w:r w:rsidR="004645B4" w:rsidRPr="00AB2BEB">
              <w:rPr>
                <w:kern w:val="22"/>
                <w:szCs w:val="22"/>
                <w:lang w:val="fr-FR"/>
              </w:rPr>
              <w:t>’</w:t>
            </w:r>
            <w:r w:rsidRPr="00AB2BEB">
              <w:rPr>
                <w:kern w:val="22"/>
                <w:szCs w:val="22"/>
                <w:lang w:val="fr-FR"/>
              </w:rPr>
              <w:t>article 17 de toutes les Parties de s</w:t>
            </w:r>
            <w:r w:rsidR="004645B4" w:rsidRPr="00AB2BEB">
              <w:rPr>
                <w:kern w:val="22"/>
                <w:szCs w:val="22"/>
                <w:lang w:val="fr-FR"/>
              </w:rPr>
              <w:t>’</w:t>
            </w:r>
            <w:r w:rsidRPr="00AB2BEB">
              <w:rPr>
                <w:kern w:val="22"/>
                <w:szCs w:val="22"/>
                <w:lang w:val="fr-FR"/>
              </w:rPr>
              <w:t>acquitter effectivement et efficacement de leurs obligations au titre du Protocole.</w:t>
            </w:r>
          </w:p>
        </w:tc>
      </w:tr>
      <w:tr w:rsidR="00211BCE" w:rsidRPr="00597279" w14:paraId="131FA883" w14:textId="77777777" w:rsidTr="00BB18BE">
        <w:trPr>
          <w:jc w:val="center"/>
        </w:trPr>
        <w:tc>
          <w:tcPr>
            <w:tcW w:w="1705" w:type="dxa"/>
            <w:tcBorders>
              <w:top w:val="single" w:sz="4" w:space="0" w:color="auto"/>
            </w:tcBorders>
          </w:tcPr>
          <w:p w14:paraId="131FA87A" w14:textId="11F329BA" w:rsidR="00211BCE" w:rsidRPr="00AB2BEB" w:rsidRDefault="00211BCE" w:rsidP="00274B14">
            <w:pPr>
              <w:suppressLineNumbers/>
              <w:suppressAutoHyphens/>
              <w:spacing w:before="60" w:after="60"/>
              <w:jc w:val="left"/>
              <w:rPr>
                <w:rFonts w:eastAsia="MS Mincho"/>
                <w:kern w:val="22"/>
                <w:szCs w:val="22"/>
                <w:lang w:val="fr-FR"/>
              </w:rPr>
            </w:pPr>
            <w:r w:rsidRPr="00AB2BEB">
              <w:rPr>
                <w:b/>
                <w:bCs/>
                <w:kern w:val="22"/>
                <w:szCs w:val="22"/>
                <w:lang w:val="fr-FR"/>
              </w:rPr>
              <w:t>A.2. Les Parti</w:t>
            </w:r>
            <w:r w:rsidR="00293E22">
              <w:rPr>
                <w:b/>
                <w:bCs/>
                <w:kern w:val="22"/>
                <w:szCs w:val="22"/>
                <w:lang w:val="fr-FR"/>
              </w:rPr>
              <w:t>es ont amélioré l’accès à l’information</w:t>
            </w:r>
            <w:r w:rsidRPr="00AB2BEB">
              <w:rPr>
                <w:b/>
                <w:bCs/>
                <w:kern w:val="22"/>
                <w:szCs w:val="22"/>
                <w:lang w:val="fr-FR"/>
              </w:rPr>
              <w:t xml:space="preserve"> et l</w:t>
            </w:r>
            <w:r w:rsidR="004645B4" w:rsidRPr="00AB2BEB">
              <w:rPr>
                <w:b/>
                <w:bCs/>
                <w:kern w:val="22"/>
                <w:szCs w:val="22"/>
                <w:lang w:val="fr-FR"/>
              </w:rPr>
              <w:t>’</w:t>
            </w:r>
            <w:r w:rsidRPr="00AB2BEB">
              <w:rPr>
                <w:b/>
                <w:bCs/>
                <w:kern w:val="22"/>
                <w:szCs w:val="22"/>
                <w:lang w:val="fr-FR"/>
              </w:rPr>
              <w:t>échange d</w:t>
            </w:r>
            <w:r w:rsidR="004645B4" w:rsidRPr="00AB2BEB">
              <w:rPr>
                <w:b/>
                <w:bCs/>
                <w:kern w:val="22"/>
                <w:szCs w:val="22"/>
                <w:lang w:val="fr-FR"/>
              </w:rPr>
              <w:t>’</w:t>
            </w:r>
            <w:r w:rsidRPr="00AB2BEB">
              <w:rPr>
                <w:b/>
                <w:bCs/>
                <w:kern w:val="22"/>
                <w:szCs w:val="22"/>
                <w:lang w:val="fr-FR"/>
              </w:rPr>
              <w:t>informations pertinentes par l</w:t>
            </w:r>
            <w:r w:rsidR="004645B4" w:rsidRPr="00AB2BEB">
              <w:rPr>
                <w:b/>
                <w:bCs/>
                <w:kern w:val="22"/>
                <w:szCs w:val="22"/>
                <w:lang w:val="fr-FR"/>
              </w:rPr>
              <w:t>’</w:t>
            </w:r>
            <w:r w:rsidRPr="00AB2BEB">
              <w:rPr>
                <w:b/>
                <w:bCs/>
                <w:kern w:val="22"/>
                <w:szCs w:val="22"/>
                <w:lang w:val="fr-FR"/>
              </w:rPr>
              <w:t xml:space="preserve">intermédiaire </w:t>
            </w:r>
            <w:r w:rsidRPr="00AB2BEB">
              <w:rPr>
                <w:b/>
                <w:bCs/>
                <w:kern w:val="22"/>
                <w:szCs w:val="22"/>
                <w:lang w:val="fr-FR"/>
              </w:rPr>
              <w:lastRenderedPageBreak/>
              <w:t xml:space="preserve">du </w:t>
            </w:r>
            <w:r w:rsidR="00C96D21">
              <w:rPr>
                <w:b/>
                <w:bCs/>
                <w:kern w:val="22"/>
                <w:szCs w:val="22"/>
                <w:lang w:val="fr-FR"/>
              </w:rPr>
              <w:t>Centre d’échange pour la prévention des risques biotechnolo</w:t>
            </w:r>
            <w:r w:rsidR="00261555">
              <w:rPr>
                <w:b/>
                <w:bCs/>
                <w:kern w:val="22"/>
                <w:szCs w:val="22"/>
                <w:lang w:val="fr-FR"/>
              </w:rPr>
              <w:t>-</w:t>
            </w:r>
            <w:r w:rsidR="00C96D21">
              <w:rPr>
                <w:b/>
                <w:bCs/>
                <w:kern w:val="22"/>
                <w:szCs w:val="22"/>
                <w:lang w:val="fr-FR"/>
              </w:rPr>
              <w:t>giques (CEPRB)</w:t>
            </w:r>
          </w:p>
        </w:tc>
        <w:tc>
          <w:tcPr>
            <w:tcW w:w="2543" w:type="dxa"/>
            <w:tcBorders>
              <w:top w:val="single" w:sz="4" w:space="0" w:color="auto"/>
            </w:tcBorders>
            <w:shd w:val="clear" w:color="auto" w:fill="auto"/>
          </w:tcPr>
          <w:p w14:paraId="131FA87B" w14:textId="38605922" w:rsidR="00211BCE" w:rsidRPr="00AB2BEB" w:rsidRDefault="00211BCE" w:rsidP="00274B14">
            <w:pPr>
              <w:spacing w:before="60" w:after="60"/>
              <w:jc w:val="left"/>
              <w:rPr>
                <w:rFonts w:eastAsia="MS Mincho"/>
                <w:kern w:val="22"/>
                <w:szCs w:val="22"/>
                <w:lang w:val="fr-FR"/>
              </w:rPr>
            </w:pPr>
            <w:r w:rsidRPr="00AB2BEB">
              <w:rPr>
                <w:kern w:val="22"/>
                <w:szCs w:val="22"/>
                <w:lang w:val="fr-FR"/>
              </w:rPr>
              <w:lastRenderedPageBreak/>
              <w:t>1) Publication d</w:t>
            </w:r>
            <w:r w:rsidR="004645B4" w:rsidRPr="00AB2BEB">
              <w:rPr>
                <w:kern w:val="22"/>
                <w:szCs w:val="22"/>
                <w:lang w:val="fr-FR"/>
              </w:rPr>
              <w:t>’</w:t>
            </w:r>
            <w:r w:rsidR="00C96D21">
              <w:rPr>
                <w:kern w:val="22"/>
                <w:szCs w:val="22"/>
                <w:lang w:val="fr-FR"/>
              </w:rPr>
              <w:t>informations dans</w:t>
            </w:r>
            <w:r w:rsidRPr="00AB2BEB">
              <w:rPr>
                <w:kern w:val="22"/>
                <w:szCs w:val="22"/>
                <w:lang w:val="fr-FR"/>
              </w:rPr>
              <w:t xml:space="preserve"> le </w:t>
            </w:r>
            <w:r w:rsidR="00BB600B" w:rsidRPr="00AB2BEB">
              <w:rPr>
                <w:kern w:val="22"/>
                <w:szCs w:val="22"/>
                <w:lang w:val="fr-FR"/>
              </w:rPr>
              <w:t>CEPRB</w:t>
            </w:r>
            <w:r w:rsidR="00C96D21">
              <w:rPr>
                <w:kern w:val="22"/>
                <w:szCs w:val="22"/>
                <w:lang w:val="fr-FR"/>
              </w:rPr>
              <w:t>;</w:t>
            </w:r>
          </w:p>
          <w:p w14:paraId="131FA87C" w14:textId="264D1C24" w:rsidR="00211BCE" w:rsidRPr="00AB2BEB" w:rsidRDefault="00211BCE" w:rsidP="00274B14">
            <w:pPr>
              <w:suppressLineNumbers/>
              <w:suppressAutoHyphens/>
              <w:spacing w:before="60" w:after="60"/>
              <w:jc w:val="left"/>
              <w:rPr>
                <w:rFonts w:eastAsia="MS Mincho"/>
                <w:strike/>
                <w:kern w:val="22"/>
                <w:szCs w:val="22"/>
                <w:lang w:val="fr-FR"/>
              </w:rPr>
            </w:pPr>
            <w:r w:rsidRPr="00AB2BEB">
              <w:rPr>
                <w:kern w:val="22"/>
                <w:szCs w:val="22"/>
                <w:lang w:val="fr-FR"/>
              </w:rPr>
              <w:t xml:space="preserve">2) Accès et </w:t>
            </w:r>
            <w:r w:rsidR="00293E22">
              <w:rPr>
                <w:kern w:val="22"/>
                <w:szCs w:val="22"/>
                <w:lang w:val="fr-FR"/>
              </w:rPr>
              <w:t xml:space="preserve">utilisation des </w:t>
            </w:r>
            <w:r w:rsidR="00C96D21">
              <w:rPr>
                <w:kern w:val="22"/>
                <w:szCs w:val="22"/>
                <w:lang w:val="fr-FR"/>
              </w:rPr>
              <w:t xml:space="preserve">informations </w:t>
            </w:r>
            <w:r w:rsidR="00293E22">
              <w:rPr>
                <w:kern w:val="22"/>
                <w:szCs w:val="22"/>
                <w:lang w:val="fr-FR"/>
              </w:rPr>
              <w:t xml:space="preserve">publiées </w:t>
            </w:r>
            <w:r w:rsidR="00C96D21">
              <w:rPr>
                <w:kern w:val="22"/>
                <w:szCs w:val="22"/>
                <w:lang w:val="fr-FR"/>
              </w:rPr>
              <w:t>dans</w:t>
            </w:r>
            <w:r w:rsidRPr="00AB2BEB">
              <w:rPr>
                <w:kern w:val="22"/>
                <w:szCs w:val="22"/>
                <w:lang w:val="fr-FR"/>
              </w:rPr>
              <w:t xml:space="preserve"> le CEPRB.</w:t>
            </w:r>
          </w:p>
        </w:tc>
        <w:tc>
          <w:tcPr>
            <w:tcW w:w="3118" w:type="dxa"/>
            <w:tcBorders>
              <w:top w:val="single" w:sz="4" w:space="0" w:color="auto"/>
            </w:tcBorders>
            <w:shd w:val="clear" w:color="auto" w:fill="auto"/>
          </w:tcPr>
          <w:p w14:paraId="131FA87D" w14:textId="4506673D" w:rsidR="00211BCE" w:rsidRPr="00AB2BEB" w:rsidRDefault="00211BCE" w:rsidP="00274B14">
            <w:pPr>
              <w:spacing w:before="60" w:after="60"/>
              <w:jc w:val="left"/>
              <w:rPr>
                <w:rFonts w:eastAsia="MS Mincho"/>
                <w:kern w:val="22"/>
                <w:szCs w:val="22"/>
                <w:lang w:val="fr-FR"/>
              </w:rPr>
            </w:pPr>
            <w:r w:rsidRPr="00AB2BEB">
              <w:rPr>
                <w:kern w:val="22"/>
                <w:szCs w:val="22"/>
                <w:lang w:val="fr-FR"/>
              </w:rPr>
              <w:t xml:space="preserve">i) Élaborer, mettre à jour et maintenir des outils de soutien interactifs, suite à la migration du CEPRB vers la nouvelle </w:t>
            </w:r>
            <w:r w:rsidR="00BB600B" w:rsidRPr="00AB2BEB">
              <w:rPr>
                <w:kern w:val="22"/>
                <w:szCs w:val="22"/>
                <w:lang w:val="fr-FR"/>
              </w:rPr>
              <w:t>plateforme</w:t>
            </w:r>
            <w:r w:rsidR="00C96D21">
              <w:rPr>
                <w:kern w:val="22"/>
                <w:szCs w:val="22"/>
                <w:lang w:val="fr-FR"/>
              </w:rPr>
              <w:t>;</w:t>
            </w:r>
          </w:p>
          <w:p w14:paraId="131FA87E" w14:textId="05FFDBCD" w:rsidR="00211BCE" w:rsidRPr="00AB2BEB" w:rsidRDefault="00293E22" w:rsidP="00274B14">
            <w:pPr>
              <w:suppressLineNumbers/>
              <w:suppressAutoHyphens/>
              <w:spacing w:before="60" w:after="60"/>
              <w:jc w:val="left"/>
              <w:rPr>
                <w:rFonts w:eastAsia="MS Mincho"/>
                <w:kern w:val="22"/>
                <w:szCs w:val="22"/>
                <w:lang w:val="fr-FR"/>
              </w:rPr>
            </w:pPr>
            <w:r>
              <w:rPr>
                <w:kern w:val="22"/>
                <w:szCs w:val="22"/>
                <w:lang w:val="fr-FR"/>
              </w:rPr>
              <w:t>ii) Assurer une formation sur</w:t>
            </w:r>
            <w:r w:rsidR="00211BCE" w:rsidRPr="00AB2BEB">
              <w:rPr>
                <w:kern w:val="22"/>
                <w:szCs w:val="22"/>
                <w:lang w:val="fr-FR"/>
              </w:rPr>
              <w:t xml:space="preserve"> l</w:t>
            </w:r>
            <w:r w:rsidR="004645B4" w:rsidRPr="00AB2BEB">
              <w:rPr>
                <w:kern w:val="22"/>
                <w:szCs w:val="22"/>
                <w:lang w:val="fr-FR"/>
              </w:rPr>
              <w:t>’</w:t>
            </w:r>
            <w:r w:rsidR="00211BCE" w:rsidRPr="00AB2BEB">
              <w:rPr>
                <w:kern w:val="22"/>
                <w:szCs w:val="22"/>
                <w:lang w:val="fr-FR"/>
              </w:rPr>
              <w:t>utilisation du CEPRB.</w:t>
            </w:r>
          </w:p>
        </w:tc>
        <w:tc>
          <w:tcPr>
            <w:tcW w:w="3261" w:type="dxa"/>
            <w:tcBorders>
              <w:top w:val="single" w:sz="4" w:space="0" w:color="auto"/>
            </w:tcBorders>
          </w:tcPr>
          <w:p w14:paraId="131FA87F" w14:textId="7CCCBFC7" w:rsidR="00211BCE" w:rsidRPr="00AB2BEB" w:rsidRDefault="00211BCE" w:rsidP="00274B14">
            <w:pPr>
              <w:suppressLineNumbers/>
              <w:suppressAutoHyphens/>
              <w:spacing w:before="60" w:after="60"/>
              <w:jc w:val="left"/>
              <w:rPr>
                <w:rFonts w:eastAsia="MS Mincho"/>
                <w:kern w:val="22"/>
                <w:szCs w:val="22"/>
                <w:lang w:val="fr-FR"/>
              </w:rPr>
            </w:pPr>
            <w:r w:rsidRPr="00AB2BEB">
              <w:rPr>
                <w:rFonts w:eastAsia="MS Mincho"/>
                <w:szCs w:val="22"/>
                <w:lang w:val="fr-FR"/>
              </w:rPr>
              <w:t xml:space="preserve">a) Pourcentage des outils de soutien interactifs mis à jour en fonction des caractéristiques de la nouvelle plateforme du </w:t>
            </w:r>
            <w:r w:rsidR="00BB600B" w:rsidRPr="00AB2BEB">
              <w:rPr>
                <w:rFonts w:eastAsia="MS Mincho"/>
                <w:szCs w:val="22"/>
                <w:lang w:val="fr-FR"/>
              </w:rPr>
              <w:t>CEPRB</w:t>
            </w:r>
            <w:r w:rsidR="00C96D21">
              <w:rPr>
                <w:rFonts w:eastAsia="MS Mincho"/>
                <w:szCs w:val="22"/>
                <w:lang w:val="fr-FR"/>
              </w:rPr>
              <w:t>;</w:t>
            </w:r>
          </w:p>
          <w:p w14:paraId="131FA880" w14:textId="7B79BCA3" w:rsidR="00211BCE" w:rsidRPr="00AB2BEB" w:rsidRDefault="00211BCE" w:rsidP="00274B14">
            <w:pPr>
              <w:suppressLineNumbers/>
              <w:suppressAutoHyphens/>
              <w:spacing w:before="60" w:after="60"/>
              <w:jc w:val="left"/>
              <w:rPr>
                <w:rFonts w:eastAsia="MS Mincho"/>
                <w:szCs w:val="22"/>
                <w:lang w:val="fr-FR"/>
              </w:rPr>
            </w:pPr>
            <w:r w:rsidRPr="00AB2BEB">
              <w:rPr>
                <w:rFonts w:eastAsia="MS Mincho"/>
                <w:szCs w:val="22"/>
                <w:lang w:val="fr-FR"/>
              </w:rPr>
              <w:t>b) Nombre d</w:t>
            </w:r>
            <w:r w:rsidR="004645B4" w:rsidRPr="00AB2BEB">
              <w:rPr>
                <w:rFonts w:eastAsia="MS Mincho"/>
                <w:szCs w:val="22"/>
                <w:lang w:val="fr-FR"/>
              </w:rPr>
              <w:t>’</w:t>
            </w:r>
            <w:r w:rsidRPr="00AB2BEB">
              <w:rPr>
                <w:rFonts w:eastAsia="MS Mincho"/>
                <w:szCs w:val="22"/>
                <w:lang w:val="fr-FR"/>
              </w:rPr>
              <w:t>utilisateurs qui utilisent le matériel de formation sur l</w:t>
            </w:r>
            <w:r w:rsidR="004645B4" w:rsidRPr="00AB2BEB">
              <w:rPr>
                <w:rFonts w:eastAsia="MS Mincho"/>
                <w:szCs w:val="22"/>
                <w:lang w:val="fr-FR"/>
              </w:rPr>
              <w:t>’</w:t>
            </w:r>
            <w:r w:rsidRPr="00AB2BEB">
              <w:rPr>
                <w:rFonts w:eastAsia="MS Mincho"/>
                <w:szCs w:val="22"/>
                <w:lang w:val="fr-FR"/>
              </w:rPr>
              <w:t xml:space="preserve">utilisation du </w:t>
            </w:r>
            <w:r w:rsidR="00BB600B" w:rsidRPr="00AB2BEB">
              <w:rPr>
                <w:rFonts w:eastAsia="MS Mincho"/>
                <w:szCs w:val="22"/>
                <w:lang w:val="fr-FR"/>
              </w:rPr>
              <w:t>CEPRB</w:t>
            </w:r>
            <w:r w:rsidR="00C96D21">
              <w:rPr>
                <w:rFonts w:eastAsia="MS Mincho"/>
                <w:szCs w:val="22"/>
                <w:lang w:val="fr-FR"/>
              </w:rPr>
              <w:t>;</w:t>
            </w:r>
          </w:p>
          <w:p w14:paraId="131FA881" w14:textId="38948BD4" w:rsidR="00211BCE" w:rsidRPr="00AB2BEB" w:rsidRDefault="00211BCE" w:rsidP="00274B14">
            <w:pPr>
              <w:suppressLineNumbers/>
              <w:suppressAutoHyphens/>
              <w:spacing w:before="60" w:after="60"/>
              <w:jc w:val="left"/>
              <w:rPr>
                <w:rFonts w:eastAsia="MS Mincho"/>
                <w:kern w:val="22"/>
                <w:szCs w:val="22"/>
                <w:lang w:val="fr-FR"/>
              </w:rPr>
            </w:pPr>
            <w:r w:rsidRPr="00AB2BEB">
              <w:rPr>
                <w:rFonts w:eastAsia="MS Mincho"/>
                <w:szCs w:val="22"/>
                <w:lang w:val="fr-FR"/>
              </w:rPr>
              <w:lastRenderedPageBreak/>
              <w:t xml:space="preserve">c) Pourcentage de Parties ayant </w:t>
            </w:r>
            <w:r w:rsidR="00293E22">
              <w:rPr>
                <w:rFonts w:eastAsia="MS Mincho"/>
                <w:szCs w:val="22"/>
                <w:lang w:val="fr-FR"/>
              </w:rPr>
              <w:t xml:space="preserve">publié </w:t>
            </w:r>
            <w:r w:rsidRPr="00AB2BEB">
              <w:rPr>
                <w:rFonts w:eastAsia="MS Mincho"/>
                <w:szCs w:val="22"/>
                <w:lang w:val="fr-FR"/>
              </w:rPr>
              <w:t>des informa</w:t>
            </w:r>
            <w:r w:rsidR="00C96D21">
              <w:rPr>
                <w:rFonts w:eastAsia="MS Mincho"/>
                <w:szCs w:val="22"/>
                <w:lang w:val="fr-FR"/>
              </w:rPr>
              <w:t xml:space="preserve">tions pertinentes et à jour dans </w:t>
            </w:r>
            <w:r w:rsidRPr="00AB2BEB">
              <w:rPr>
                <w:rFonts w:eastAsia="MS Mincho"/>
                <w:szCs w:val="22"/>
                <w:lang w:val="fr-FR"/>
              </w:rPr>
              <w:t>le CEPRB.</w:t>
            </w:r>
          </w:p>
        </w:tc>
        <w:tc>
          <w:tcPr>
            <w:tcW w:w="2835" w:type="dxa"/>
            <w:tcBorders>
              <w:top w:val="single" w:sz="4" w:space="0" w:color="auto"/>
            </w:tcBorders>
          </w:tcPr>
          <w:p w14:paraId="131FA882" w14:textId="71C68005" w:rsidR="00211BCE" w:rsidRPr="00AB2BEB" w:rsidRDefault="00211BCE" w:rsidP="00274B14">
            <w:pPr>
              <w:suppressLineNumbers/>
              <w:suppressAutoHyphens/>
              <w:spacing w:before="60" w:after="60"/>
              <w:jc w:val="left"/>
              <w:rPr>
                <w:rFonts w:eastAsia="MS Mincho"/>
                <w:kern w:val="22"/>
                <w:szCs w:val="22"/>
                <w:lang w:val="fr-FR"/>
              </w:rPr>
            </w:pPr>
            <w:r w:rsidRPr="00AB2BEB">
              <w:rPr>
                <w:kern w:val="22"/>
                <w:szCs w:val="22"/>
                <w:lang w:val="fr-FR"/>
              </w:rPr>
              <w:lastRenderedPageBreak/>
              <w:t>Le</w:t>
            </w:r>
            <w:r w:rsidR="00293E22">
              <w:rPr>
                <w:kern w:val="22"/>
                <w:szCs w:val="22"/>
                <w:lang w:val="fr-FR"/>
              </w:rPr>
              <w:t xml:space="preserve"> CEPRB facilite l’accès</w:t>
            </w:r>
            <w:r w:rsidRPr="00AB2BEB">
              <w:rPr>
                <w:kern w:val="22"/>
                <w:szCs w:val="22"/>
                <w:lang w:val="fr-FR"/>
              </w:rPr>
              <w:t xml:space="preserve"> </w:t>
            </w:r>
            <w:r w:rsidR="00293E22">
              <w:rPr>
                <w:kern w:val="22"/>
                <w:szCs w:val="22"/>
                <w:lang w:val="fr-FR"/>
              </w:rPr>
              <w:t xml:space="preserve">à l’information </w:t>
            </w:r>
            <w:r w:rsidRPr="00AB2BEB">
              <w:rPr>
                <w:kern w:val="22"/>
                <w:szCs w:val="22"/>
                <w:lang w:val="fr-FR"/>
              </w:rPr>
              <w:t>et l</w:t>
            </w:r>
            <w:r w:rsidR="004645B4" w:rsidRPr="00AB2BEB">
              <w:rPr>
                <w:kern w:val="22"/>
                <w:szCs w:val="22"/>
                <w:lang w:val="fr-FR"/>
              </w:rPr>
              <w:t>’</w:t>
            </w:r>
            <w:r w:rsidRPr="00AB2BEB">
              <w:rPr>
                <w:kern w:val="22"/>
                <w:szCs w:val="22"/>
                <w:lang w:val="fr-FR"/>
              </w:rPr>
              <w:t>échange d</w:t>
            </w:r>
            <w:r w:rsidR="004645B4" w:rsidRPr="00AB2BEB">
              <w:rPr>
                <w:kern w:val="22"/>
                <w:szCs w:val="22"/>
                <w:lang w:val="fr-FR"/>
              </w:rPr>
              <w:t>’</w:t>
            </w:r>
            <w:r w:rsidRPr="00AB2BEB">
              <w:rPr>
                <w:kern w:val="22"/>
                <w:szCs w:val="22"/>
                <w:lang w:val="fr-FR"/>
              </w:rPr>
              <w:t>informations relatives à la prévention des risques biotechnologiques et permet aux Parties de prendre des décisions éclairées.</w:t>
            </w:r>
          </w:p>
        </w:tc>
      </w:tr>
      <w:tr w:rsidR="00211BCE" w:rsidRPr="00597279" w14:paraId="131FA88E" w14:textId="77777777" w:rsidTr="00BB18BE">
        <w:trPr>
          <w:jc w:val="center"/>
        </w:trPr>
        <w:tc>
          <w:tcPr>
            <w:tcW w:w="1705" w:type="dxa"/>
          </w:tcPr>
          <w:p w14:paraId="131FA884" w14:textId="74998D9B" w:rsidR="00211BCE" w:rsidRPr="00AB2BEB" w:rsidRDefault="00211BCE" w:rsidP="00274B14">
            <w:pPr>
              <w:suppressLineNumbers/>
              <w:suppressAutoHyphens/>
              <w:spacing w:before="60" w:after="60"/>
              <w:jc w:val="left"/>
              <w:rPr>
                <w:rFonts w:eastAsia="MS Mincho"/>
                <w:kern w:val="22"/>
                <w:szCs w:val="22"/>
                <w:lang w:val="fr-FR"/>
              </w:rPr>
            </w:pPr>
            <w:r w:rsidRPr="00AB2BEB">
              <w:rPr>
                <w:b/>
                <w:bCs/>
                <w:kern w:val="22"/>
                <w:szCs w:val="22"/>
                <w:lang w:val="fr-FR"/>
              </w:rPr>
              <w:t>A.3. Des informations complètes sur l</w:t>
            </w:r>
            <w:r w:rsidR="004645B4" w:rsidRPr="00AB2BEB">
              <w:rPr>
                <w:b/>
                <w:bCs/>
                <w:kern w:val="22"/>
                <w:szCs w:val="22"/>
                <w:lang w:val="fr-FR"/>
              </w:rPr>
              <w:t>’</w:t>
            </w:r>
            <w:r w:rsidRPr="00AB2BEB">
              <w:rPr>
                <w:b/>
                <w:bCs/>
                <w:kern w:val="22"/>
                <w:szCs w:val="22"/>
                <w:lang w:val="fr-FR"/>
              </w:rPr>
              <w:t>application du Protocole sont mises à disposition pa</w:t>
            </w:r>
            <w:r w:rsidR="00261555">
              <w:rPr>
                <w:b/>
                <w:bCs/>
                <w:kern w:val="22"/>
                <w:szCs w:val="22"/>
                <w:lang w:val="fr-FR"/>
              </w:rPr>
              <w:t>r les Parties en temps opportun</w:t>
            </w:r>
          </w:p>
        </w:tc>
        <w:tc>
          <w:tcPr>
            <w:tcW w:w="2543" w:type="dxa"/>
            <w:shd w:val="clear" w:color="auto" w:fill="auto"/>
          </w:tcPr>
          <w:p w14:paraId="131FA885" w14:textId="0B353DEA" w:rsidR="00211BCE" w:rsidRPr="00AB2BEB" w:rsidRDefault="00293E22" w:rsidP="00274B14">
            <w:pPr>
              <w:spacing w:before="60" w:after="60"/>
              <w:jc w:val="left"/>
              <w:rPr>
                <w:rFonts w:eastAsia="MS Mincho"/>
                <w:kern w:val="22"/>
                <w:szCs w:val="22"/>
                <w:lang w:val="fr-FR"/>
              </w:rPr>
            </w:pPr>
            <w:r>
              <w:rPr>
                <w:kern w:val="22"/>
                <w:szCs w:val="22"/>
                <w:lang w:val="fr-FR"/>
              </w:rPr>
              <w:t>1) Mise en place</w:t>
            </w:r>
            <w:r w:rsidR="00211BCE" w:rsidRPr="00AB2BEB">
              <w:rPr>
                <w:kern w:val="22"/>
                <w:szCs w:val="22"/>
                <w:lang w:val="fr-FR"/>
              </w:rPr>
              <w:t xml:space="preserve"> et renforcement des systèmes nationaux de coordination pour recueillir des informations sur la prévention des risques </w:t>
            </w:r>
            <w:r w:rsidR="00BB600B" w:rsidRPr="00AB2BEB">
              <w:rPr>
                <w:kern w:val="22"/>
                <w:szCs w:val="22"/>
                <w:lang w:val="fr-FR"/>
              </w:rPr>
              <w:t>biotechnologiques</w:t>
            </w:r>
            <w:r w:rsidR="00C96D21">
              <w:rPr>
                <w:kern w:val="22"/>
                <w:szCs w:val="22"/>
                <w:lang w:val="fr-FR"/>
              </w:rPr>
              <w:t>;</w:t>
            </w:r>
          </w:p>
          <w:p w14:paraId="131FA886" w14:textId="478FB561" w:rsidR="00211BCE" w:rsidRPr="00AB2BEB" w:rsidRDefault="00293E22" w:rsidP="00274B14">
            <w:pPr>
              <w:suppressLineNumbers/>
              <w:suppressAutoHyphens/>
              <w:spacing w:before="60" w:after="60"/>
              <w:jc w:val="left"/>
              <w:rPr>
                <w:rFonts w:eastAsia="MS Mincho"/>
                <w:kern w:val="22"/>
                <w:szCs w:val="22"/>
                <w:lang w:val="fr-FR"/>
              </w:rPr>
            </w:pPr>
            <w:r>
              <w:rPr>
                <w:kern w:val="22"/>
                <w:szCs w:val="22"/>
                <w:lang w:val="fr-FR"/>
              </w:rPr>
              <w:t>2) Établissement</w:t>
            </w:r>
            <w:r w:rsidR="00211BCE" w:rsidRPr="00AB2BEB">
              <w:rPr>
                <w:kern w:val="22"/>
                <w:szCs w:val="22"/>
                <w:lang w:val="fr-FR"/>
              </w:rPr>
              <w:t xml:space="preserve"> d</w:t>
            </w:r>
            <w:r w:rsidR="004645B4" w:rsidRPr="00AB2BEB">
              <w:rPr>
                <w:kern w:val="22"/>
                <w:szCs w:val="22"/>
                <w:lang w:val="fr-FR"/>
              </w:rPr>
              <w:t>’</w:t>
            </w:r>
            <w:r w:rsidR="00211BCE" w:rsidRPr="00AB2BEB">
              <w:rPr>
                <w:kern w:val="22"/>
                <w:szCs w:val="22"/>
                <w:lang w:val="fr-FR"/>
              </w:rPr>
              <w:t>un rapport national.</w:t>
            </w:r>
          </w:p>
        </w:tc>
        <w:tc>
          <w:tcPr>
            <w:tcW w:w="3118" w:type="dxa"/>
            <w:shd w:val="clear" w:color="auto" w:fill="auto"/>
          </w:tcPr>
          <w:p w14:paraId="131FA887" w14:textId="4AB3DC50" w:rsidR="00211BCE" w:rsidRPr="00AB2BEB" w:rsidRDefault="00211BCE" w:rsidP="00274B14">
            <w:pPr>
              <w:spacing w:before="60" w:after="60"/>
              <w:jc w:val="left"/>
              <w:rPr>
                <w:rFonts w:eastAsia="MS Mincho"/>
                <w:kern w:val="22"/>
                <w:szCs w:val="22"/>
                <w:lang w:val="fr-FR"/>
              </w:rPr>
            </w:pPr>
            <w:r w:rsidRPr="00AB2BEB">
              <w:rPr>
                <w:kern w:val="22"/>
                <w:szCs w:val="22"/>
                <w:lang w:val="fr-FR"/>
              </w:rPr>
              <w:t>i) Dispenser une formation sur la collecte d</w:t>
            </w:r>
            <w:r w:rsidR="004645B4" w:rsidRPr="00AB2BEB">
              <w:rPr>
                <w:kern w:val="22"/>
                <w:szCs w:val="22"/>
                <w:lang w:val="fr-FR"/>
              </w:rPr>
              <w:t>’</w:t>
            </w:r>
            <w:r w:rsidRPr="00AB2BEB">
              <w:rPr>
                <w:kern w:val="22"/>
                <w:szCs w:val="22"/>
                <w:lang w:val="fr-FR"/>
              </w:rPr>
              <w:t>informations et la gestion des données adressées aux autorités nationales compétentes pour l</w:t>
            </w:r>
            <w:r w:rsidR="004645B4" w:rsidRPr="00AB2BEB">
              <w:rPr>
                <w:kern w:val="22"/>
                <w:szCs w:val="22"/>
                <w:lang w:val="fr-FR"/>
              </w:rPr>
              <w:t>’</w:t>
            </w:r>
            <w:r w:rsidRPr="00AB2BEB">
              <w:rPr>
                <w:kern w:val="22"/>
                <w:szCs w:val="22"/>
                <w:lang w:val="fr-FR"/>
              </w:rPr>
              <w:t xml:space="preserve">établissement des rapports </w:t>
            </w:r>
            <w:r w:rsidR="00BB600B" w:rsidRPr="00AB2BEB">
              <w:rPr>
                <w:kern w:val="22"/>
                <w:szCs w:val="22"/>
                <w:lang w:val="fr-FR"/>
              </w:rPr>
              <w:t>nationaux</w:t>
            </w:r>
            <w:r w:rsidR="00C96D21">
              <w:rPr>
                <w:kern w:val="22"/>
                <w:szCs w:val="22"/>
                <w:lang w:val="fr-FR"/>
              </w:rPr>
              <w:t>;</w:t>
            </w:r>
            <w:r w:rsidRPr="00AB2BEB">
              <w:rPr>
                <w:kern w:val="22"/>
                <w:szCs w:val="22"/>
                <w:lang w:val="fr-FR"/>
              </w:rPr>
              <w:t xml:space="preserve"> </w:t>
            </w:r>
          </w:p>
          <w:p w14:paraId="131FA888" w14:textId="3CA31796" w:rsidR="00211BCE" w:rsidRPr="00AB2BEB" w:rsidRDefault="00211BCE" w:rsidP="00274B14">
            <w:pPr>
              <w:suppressLineNumbers/>
              <w:suppressAutoHyphens/>
              <w:spacing w:before="60" w:after="60"/>
              <w:jc w:val="left"/>
              <w:rPr>
                <w:kern w:val="22"/>
                <w:szCs w:val="22"/>
                <w:lang w:val="fr-FR"/>
              </w:rPr>
            </w:pPr>
            <w:r w:rsidRPr="00AB2BEB">
              <w:rPr>
                <w:kern w:val="22"/>
                <w:szCs w:val="22"/>
                <w:lang w:val="fr-FR"/>
              </w:rPr>
              <w:t>ii) Concevoir des outils pour aider les Parties à préparer et à re</w:t>
            </w:r>
            <w:r w:rsidR="00293E22">
              <w:rPr>
                <w:kern w:val="22"/>
                <w:szCs w:val="22"/>
                <w:lang w:val="fr-FR"/>
              </w:rPr>
              <w:t>mettre leurs rapports nationaux;</w:t>
            </w:r>
          </w:p>
          <w:p w14:paraId="131FA889" w14:textId="77777777" w:rsidR="00211BCE" w:rsidRPr="00AB2BEB" w:rsidRDefault="00211BCE" w:rsidP="00EE22BE">
            <w:pPr>
              <w:suppressLineNumbers/>
              <w:suppressAutoHyphens/>
              <w:spacing w:before="60" w:after="60"/>
              <w:jc w:val="left"/>
              <w:rPr>
                <w:rFonts w:eastAsia="MS Mincho"/>
                <w:kern w:val="22"/>
                <w:szCs w:val="22"/>
                <w:lang w:val="fr-FR"/>
              </w:rPr>
            </w:pPr>
            <w:r w:rsidRPr="00AB2BEB">
              <w:rPr>
                <w:kern w:val="22"/>
                <w:szCs w:val="22"/>
                <w:lang w:val="fr-FR"/>
              </w:rPr>
              <w:t>iii) Soutenir la coopération entre les Parties afin d</w:t>
            </w:r>
            <w:r w:rsidR="004645B4" w:rsidRPr="00AB2BEB">
              <w:rPr>
                <w:kern w:val="22"/>
                <w:szCs w:val="22"/>
                <w:lang w:val="fr-FR"/>
              </w:rPr>
              <w:t>’</w:t>
            </w:r>
            <w:r w:rsidRPr="00AB2BEB">
              <w:rPr>
                <w:kern w:val="22"/>
                <w:szCs w:val="22"/>
                <w:lang w:val="fr-FR"/>
              </w:rPr>
              <w:t>aider les Parties ayant des ressources inadéquates à préparer et à remettre leurs rapports nationaux</w:t>
            </w:r>
            <w:r w:rsidR="00EE22BE" w:rsidRPr="00AB2BEB">
              <w:rPr>
                <w:kern w:val="22"/>
                <w:szCs w:val="22"/>
                <w:lang w:val="fr-FR"/>
              </w:rPr>
              <w:t>.</w:t>
            </w:r>
          </w:p>
        </w:tc>
        <w:tc>
          <w:tcPr>
            <w:tcW w:w="3261" w:type="dxa"/>
          </w:tcPr>
          <w:p w14:paraId="131FA88A" w14:textId="259FEEA7" w:rsidR="00211BCE" w:rsidRPr="00AB2BEB" w:rsidRDefault="00211BCE" w:rsidP="00274B14">
            <w:pPr>
              <w:suppressLineNumbers/>
              <w:suppressAutoHyphens/>
              <w:spacing w:before="60" w:after="60"/>
              <w:jc w:val="left"/>
              <w:rPr>
                <w:rFonts w:eastAsia="MS Mincho"/>
                <w:kern w:val="22"/>
                <w:szCs w:val="22"/>
                <w:lang w:val="fr-FR"/>
              </w:rPr>
            </w:pPr>
            <w:r w:rsidRPr="00AB2BEB">
              <w:rPr>
                <w:rFonts w:eastAsia="MS Mincho"/>
                <w:szCs w:val="22"/>
                <w:lang w:val="fr-FR"/>
              </w:rPr>
              <w:t>a</w:t>
            </w:r>
            <w:r w:rsidR="00293E22">
              <w:rPr>
                <w:rFonts w:eastAsia="MS Mincho"/>
                <w:szCs w:val="22"/>
                <w:lang w:val="fr-FR"/>
              </w:rPr>
              <w:t xml:space="preserve">) Pourcentage de Parties qui recensent </w:t>
            </w:r>
            <w:r w:rsidRPr="00AB2BEB">
              <w:rPr>
                <w:rFonts w:eastAsia="MS Mincho"/>
                <w:szCs w:val="22"/>
                <w:lang w:val="fr-FR"/>
              </w:rPr>
              <w:t>leurs besoins de formation en matière d</w:t>
            </w:r>
            <w:r w:rsidR="004645B4" w:rsidRPr="00AB2BEB">
              <w:rPr>
                <w:rFonts w:eastAsia="MS Mincho"/>
                <w:szCs w:val="22"/>
                <w:lang w:val="fr-FR"/>
              </w:rPr>
              <w:t>’</w:t>
            </w:r>
            <w:r w:rsidRPr="00AB2BEB">
              <w:rPr>
                <w:rFonts w:eastAsia="MS Mincho"/>
                <w:szCs w:val="22"/>
                <w:lang w:val="fr-FR"/>
              </w:rPr>
              <w:t xml:space="preserve">établissement de rapports nationaux </w:t>
            </w:r>
            <w:r w:rsidR="00293E22">
              <w:rPr>
                <w:rFonts w:eastAsia="MS Mincho"/>
                <w:szCs w:val="22"/>
                <w:lang w:val="fr-FR"/>
              </w:rPr>
              <w:t>et qui mettent en place</w:t>
            </w:r>
            <w:r w:rsidRPr="00AB2BEB">
              <w:rPr>
                <w:rFonts w:eastAsia="MS Mincho"/>
                <w:szCs w:val="22"/>
                <w:lang w:val="fr-FR"/>
              </w:rPr>
              <w:t xml:space="preserve"> une </w:t>
            </w:r>
            <w:r w:rsidR="00BB600B" w:rsidRPr="00AB2BEB">
              <w:rPr>
                <w:rFonts w:eastAsia="MS Mincho"/>
                <w:szCs w:val="22"/>
                <w:lang w:val="fr-FR"/>
              </w:rPr>
              <w:t>formation</w:t>
            </w:r>
            <w:r w:rsidR="00274B14">
              <w:rPr>
                <w:rFonts w:eastAsia="MS Mincho"/>
                <w:szCs w:val="22"/>
                <w:lang w:val="fr-FR"/>
              </w:rPr>
              <w:t xml:space="preserve"> pour les </w:t>
            </w:r>
            <w:r w:rsidR="00274B14" w:rsidRPr="00AB2BEB">
              <w:rPr>
                <w:rFonts w:eastAsia="MS Mincho"/>
                <w:szCs w:val="22"/>
                <w:lang w:val="fr-FR"/>
              </w:rPr>
              <w:t>autorités nationale</w:t>
            </w:r>
            <w:r w:rsidR="00274B14">
              <w:rPr>
                <w:rFonts w:eastAsia="MS Mincho"/>
                <w:szCs w:val="22"/>
                <w:lang w:val="fr-FR"/>
              </w:rPr>
              <w:t>s concernées</w:t>
            </w:r>
            <w:r w:rsidR="00C96D21">
              <w:rPr>
                <w:rFonts w:eastAsia="MS Mincho"/>
                <w:szCs w:val="22"/>
                <w:lang w:val="fr-FR"/>
              </w:rPr>
              <w:t>;</w:t>
            </w:r>
          </w:p>
          <w:p w14:paraId="131FA88B" w14:textId="45321D3E" w:rsidR="00211BCE" w:rsidRPr="00AB2BEB" w:rsidRDefault="00211BCE"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b) Pourcentage de Parties ayant besoin d</w:t>
            </w:r>
            <w:r w:rsidR="004645B4" w:rsidRPr="00AB2BEB">
              <w:rPr>
                <w:rFonts w:eastAsia="MS Mincho"/>
                <w:kern w:val="22"/>
                <w:szCs w:val="22"/>
                <w:lang w:val="fr-FR"/>
              </w:rPr>
              <w:t>’</w:t>
            </w:r>
            <w:r w:rsidR="00293E22">
              <w:rPr>
                <w:rFonts w:eastAsia="MS Mincho"/>
                <w:kern w:val="22"/>
                <w:szCs w:val="22"/>
                <w:lang w:val="fr-FR"/>
              </w:rPr>
              <w:t>assistance qui utilisent d</w:t>
            </w:r>
            <w:r w:rsidRPr="00AB2BEB">
              <w:rPr>
                <w:rFonts w:eastAsia="MS Mincho"/>
                <w:kern w:val="22"/>
                <w:szCs w:val="22"/>
                <w:lang w:val="fr-FR"/>
              </w:rPr>
              <w:t>es outils d</w:t>
            </w:r>
            <w:r w:rsidR="004645B4" w:rsidRPr="00AB2BEB">
              <w:rPr>
                <w:rFonts w:eastAsia="MS Mincho"/>
                <w:kern w:val="22"/>
                <w:szCs w:val="22"/>
                <w:lang w:val="fr-FR"/>
              </w:rPr>
              <w:t>’</w:t>
            </w:r>
            <w:r w:rsidRPr="00AB2BEB">
              <w:rPr>
                <w:rFonts w:eastAsia="MS Mincho"/>
                <w:kern w:val="22"/>
                <w:szCs w:val="22"/>
                <w:lang w:val="fr-FR"/>
              </w:rPr>
              <w:t xml:space="preserve">assistance, préparent et remettent leurs rapports dans les délais </w:t>
            </w:r>
            <w:r w:rsidR="00BB600B" w:rsidRPr="00AB2BEB">
              <w:rPr>
                <w:rFonts w:eastAsia="MS Mincho"/>
                <w:kern w:val="22"/>
                <w:szCs w:val="22"/>
                <w:lang w:val="fr-FR"/>
              </w:rPr>
              <w:t>impartis</w:t>
            </w:r>
            <w:r w:rsidR="00C96D21">
              <w:rPr>
                <w:rFonts w:eastAsia="MS Mincho"/>
                <w:kern w:val="22"/>
                <w:szCs w:val="22"/>
                <w:lang w:val="fr-FR"/>
              </w:rPr>
              <w:t>;</w:t>
            </w:r>
          </w:p>
          <w:p w14:paraId="131FA88C" w14:textId="32EC12B3" w:rsidR="00211BCE" w:rsidRPr="00AB2BEB" w:rsidRDefault="00211BCE" w:rsidP="00274B14">
            <w:pPr>
              <w:suppressLineNumbers/>
              <w:suppressAutoHyphens/>
              <w:spacing w:before="60" w:after="60"/>
              <w:jc w:val="left"/>
              <w:rPr>
                <w:rFonts w:eastAsia="MS Mincho"/>
                <w:kern w:val="22"/>
                <w:szCs w:val="22"/>
                <w:lang w:val="fr-FR"/>
              </w:rPr>
            </w:pPr>
            <w:r w:rsidRPr="00AB2BEB">
              <w:rPr>
                <w:rFonts w:eastAsia="MS Mincho"/>
                <w:szCs w:val="22"/>
                <w:lang w:val="fr-FR"/>
              </w:rPr>
              <w:t>c) Pourcentage de</w:t>
            </w:r>
            <w:r w:rsidR="00293E22">
              <w:rPr>
                <w:rFonts w:eastAsia="MS Mincho"/>
                <w:szCs w:val="22"/>
                <w:lang w:val="fr-FR"/>
              </w:rPr>
              <w:t xml:space="preserve"> Parties nécessitant un soutien</w:t>
            </w:r>
            <w:r w:rsidRPr="00AB2BEB">
              <w:rPr>
                <w:rFonts w:eastAsia="MS Mincho"/>
                <w:szCs w:val="22"/>
                <w:lang w:val="fr-FR"/>
              </w:rPr>
              <w:t xml:space="preserve"> qui bénéficient d</w:t>
            </w:r>
            <w:r w:rsidR="004645B4" w:rsidRPr="00AB2BEB">
              <w:rPr>
                <w:rFonts w:eastAsia="MS Mincho"/>
                <w:szCs w:val="22"/>
                <w:lang w:val="fr-FR"/>
              </w:rPr>
              <w:t>’</w:t>
            </w:r>
            <w:r w:rsidRPr="00AB2BEB">
              <w:rPr>
                <w:rFonts w:eastAsia="MS Mincho"/>
                <w:szCs w:val="22"/>
                <w:lang w:val="fr-FR"/>
              </w:rPr>
              <w:t>activités de coopération pour les aider à préparer et à remettre leurs rapports nationaux.</w:t>
            </w:r>
          </w:p>
        </w:tc>
        <w:tc>
          <w:tcPr>
            <w:tcW w:w="2835" w:type="dxa"/>
          </w:tcPr>
          <w:p w14:paraId="131FA88D" w14:textId="77777777" w:rsidR="00211BCE" w:rsidRPr="00AB2BEB" w:rsidRDefault="00211BCE" w:rsidP="00274B14">
            <w:pPr>
              <w:suppressLineNumbers/>
              <w:suppressAutoHyphens/>
              <w:spacing w:before="60" w:after="60"/>
              <w:jc w:val="left"/>
              <w:rPr>
                <w:rFonts w:eastAsia="MS Mincho"/>
                <w:kern w:val="22"/>
                <w:szCs w:val="22"/>
                <w:lang w:val="fr-FR"/>
              </w:rPr>
            </w:pPr>
            <w:r w:rsidRPr="00AB2BEB">
              <w:rPr>
                <w:kern w:val="22"/>
                <w:szCs w:val="22"/>
                <w:lang w:val="fr-FR"/>
              </w:rPr>
              <w:t>Des informations précises et en temps opportun sur l</w:t>
            </w:r>
            <w:r w:rsidR="004645B4" w:rsidRPr="00AB2BEB">
              <w:rPr>
                <w:kern w:val="22"/>
                <w:szCs w:val="22"/>
                <w:lang w:val="fr-FR"/>
              </w:rPr>
              <w:t>’</w:t>
            </w:r>
            <w:r w:rsidRPr="00AB2BEB">
              <w:rPr>
                <w:kern w:val="22"/>
                <w:szCs w:val="22"/>
                <w:lang w:val="fr-FR"/>
              </w:rPr>
              <w:t>application du Protocole permettent à la Conférence des Parties siégeant en tant que réunion des Parties au Protocole d</w:t>
            </w:r>
            <w:r w:rsidR="004645B4" w:rsidRPr="00AB2BEB">
              <w:rPr>
                <w:kern w:val="22"/>
                <w:szCs w:val="22"/>
                <w:lang w:val="fr-FR"/>
              </w:rPr>
              <w:t>’</w:t>
            </w:r>
            <w:r w:rsidRPr="00AB2BEB">
              <w:rPr>
                <w:kern w:val="22"/>
                <w:szCs w:val="22"/>
                <w:lang w:val="fr-FR"/>
              </w:rPr>
              <w:t>établir des priorités et d</w:t>
            </w:r>
            <w:r w:rsidR="004645B4" w:rsidRPr="00AB2BEB">
              <w:rPr>
                <w:kern w:val="22"/>
                <w:szCs w:val="22"/>
                <w:lang w:val="fr-FR"/>
              </w:rPr>
              <w:t>’</w:t>
            </w:r>
            <w:r w:rsidRPr="00AB2BEB">
              <w:rPr>
                <w:kern w:val="22"/>
                <w:szCs w:val="22"/>
                <w:lang w:val="fr-FR"/>
              </w:rPr>
              <w:t>identifier les domaines dans lesquels un soutien est nécessaire.</w:t>
            </w:r>
          </w:p>
        </w:tc>
      </w:tr>
      <w:tr w:rsidR="00351DD2" w:rsidRPr="00597279" w14:paraId="131FA894" w14:textId="77777777" w:rsidTr="00BB18BE">
        <w:trPr>
          <w:jc w:val="center"/>
        </w:trPr>
        <w:tc>
          <w:tcPr>
            <w:tcW w:w="1705" w:type="dxa"/>
          </w:tcPr>
          <w:p w14:paraId="131FA88F" w14:textId="4070DEB5" w:rsidR="00351DD2" w:rsidRPr="00AB2BEB" w:rsidRDefault="00351DD2" w:rsidP="00274B14">
            <w:pPr>
              <w:suppressLineNumbers/>
              <w:suppressAutoHyphens/>
              <w:spacing w:before="60" w:after="60"/>
              <w:jc w:val="left"/>
              <w:rPr>
                <w:rFonts w:eastAsia="MS Mincho"/>
                <w:kern w:val="22"/>
                <w:szCs w:val="22"/>
                <w:lang w:val="fr-FR"/>
              </w:rPr>
            </w:pPr>
            <w:r w:rsidRPr="00AB2BEB">
              <w:rPr>
                <w:b/>
                <w:bCs/>
                <w:kern w:val="22"/>
                <w:szCs w:val="22"/>
                <w:lang w:val="fr-FR"/>
              </w:rPr>
              <w:t>A.4. Les Parties se confor</w:t>
            </w:r>
            <w:r w:rsidR="00261555">
              <w:rPr>
                <w:b/>
                <w:bCs/>
                <w:kern w:val="22"/>
                <w:szCs w:val="22"/>
                <w:lang w:val="fr-FR"/>
              </w:rPr>
              <w:t>ment aux exigences du Protocole</w:t>
            </w:r>
          </w:p>
        </w:tc>
        <w:tc>
          <w:tcPr>
            <w:tcW w:w="2543" w:type="dxa"/>
            <w:shd w:val="clear" w:color="auto" w:fill="auto"/>
          </w:tcPr>
          <w:p w14:paraId="131FA890" w14:textId="77777777" w:rsidR="00351DD2" w:rsidRPr="00AB2BEB" w:rsidRDefault="00351DD2" w:rsidP="00274B14">
            <w:pPr>
              <w:suppressLineNumbers/>
              <w:suppressAutoHyphens/>
              <w:spacing w:before="60" w:after="60"/>
              <w:jc w:val="left"/>
              <w:rPr>
                <w:rFonts w:eastAsia="MS Mincho"/>
                <w:kern w:val="22"/>
                <w:szCs w:val="22"/>
                <w:lang w:val="fr-FR"/>
              </w:rPr>
            </w:pPr>
            <w:r w:rsidRPr="00AB2BEB">
              <w:rPr>
                <w:bCs/>
                <w:kern w:val="22"/>
                <w:szCs w:val="22"/>
                <w:lang w:val="fr-FR"/>
              </w:rPr>
              <w:t>1) Résolution des problèmes de non</w:t>
            </w:r>
            <w:r w:rsidR="004645B4" w:rsidRPr="00AB2BEB">
              <w:rPr>
                <w:bCs/>
                <w:kern w:val="22"/>
                <w:szCs w:val="22"/>
                <w:lang w:val="fr-FR"/>
              </w:rPr>
              <w:noBreakHyphen/>
            </w:r>
            <w:r w:rsidRPr="00AB2BEB">
              <w:rPr>
                <w:bCs/>
                <w:kern w:val="22"/>
                <w:szCs w:val="22"/>
                <w:lang w:val="fr-FR"/>
              </w:rPr>
              <w:t xml:space="preserve">respect identifiés par le Comité chargé du respect des </w:t>
            </w:r>
            <w:r w:rsidRPr="00AB2BEB">
              <w:rPr>
                <w:bCs/>
                <w:kern w:val="22"/>
                <w:szCs w:val="22"/>
                <w:lang w:val="fr-FR"/>
              </w:rPr>
              <w:lastRenderedPageBreak/>
              <w:t>obligations au titre du Protocole.</w:t>
            </w:r>
          </w:p>
        </w:tc>
        <w:tc>
          <w:tcPr>
            <w:tcW w:w="3118" w:type="dxa"/>
            <w:shd w:val="clear" w:color="auto" w:fill="auto"/>
          </w:tcPr>
          <w:p w14:paraId="131FA891" w14:textId="69C0255F" w:rsidR="00351DD2" w:rsidRPr="00AB2BEB" w:rsidRDefault="00351DD2" w:rsidP="00274B14">
            <w:pPr>
              <w:suppressLineNumbers/>
              <w:suppressAutoHyphens/>
              <w:spacing w:before="60" w:after="60"/>
              <w:jc w:val="left"/>
              <w:rPr>
                <w:rFonts w:eastAsia="MS Mincho"/>
                <w:kern w:val="22"/>
                <w:szCs w:val="22"/>
                <w:lang w:val="fr-FR"/>
              </w:rPr>
            </w:pPr>
            <w:r w:rsidRPr="00AB2BEB">
              <w:rPr>
                <w:bCs/>
                <w:kern w:val="22"/>
                <w:szCs w:val="22"/>
                <w:lang w:val="fr-FR"/>
              </w:rPr>
              <w:lastRenderedPageBreak/>
              <w:t>i) Fournir un appui</w:t>
            </w:r>
            <w:r w:rsidR="00EE22BE" w:rsidRPr="00AB2BEB">
              <w:rPr>
                <w:bCs/>
                <w:kern w:val="22"/>
                <w:szCs w:val="22"/>
                <w:lang w:val="fr-FR"/>
              </w:rPr>
              <w:t xml:space="preserve"> technique et financier adéquat</w:t>
            </w:r>
            <w:r w:rsidRPr="00AB2BEB">
              <w:rPr>
                <w:bCs/>
                <w:kern w:val="22"/>
                <w:szCs w:val="22"/>
                <w:lang w:val="fr-FR"/>
              </w:rPr>
              <w:t xml:space="preserve"> pour que les </w:t>
            </w:r>
            <w:r w:rsidR="00274B14">
              <w:rPr>
                <w:bCs/>
                <w:kern w:val="22"/>
                <w:szCs w:val="22"/>
                <w:lang w:val="fr-FR"/>
              </w:rPr>
              <w:t>Parties concernées réalisent</w:t>
            </w:r>
            <w:r w:rsidRPr="00AB2BEB">
              <w:rPr>
                <w:bCs/>
                <w:kern w:val="22"/>
                <w:szCs w:val="22"/>
                <w:lang w:val="fr-FR"/>
              </w:rPr>
              <w:t xml:space="preserve"> les activités prévues dans les plans d</w:t>
            </w:r>
            <w:r w:rsidR="004645B4" w:rsidRPr="00AB2BEB">
              <w:rPr>
                <w:bCs/>
                <w:kern w:val="22"/>
                <w:szCs w:val="22"/>
                <w:lang w:val="fr-FR"/>
              </w:rPr>
              <w:t>’</w:t>
            </w:r>
            <w:r w:rsidRPr="00AB2BEB">
              <w:rPr>
                <w:bCs/>
                <w:kern w:val="22"/>
                <w:szCs w:val="22"/>
                <w:lang w:val="fr-FR"/>
              </w:rPr>
              <w:t>action</w:t>
            </w:r>
            <w:r w:rsidR="00274B14">
              <w:rPr>
                <w:bCs/>
                <w:kern w:val="22"/>
                <w:szCs w:val="22"/>
                <w:lang w:val="fr-FR"/>
              </w:rPr>
              <w:t xml:space="preserve"> pour le respect des </w:t>
            </w:r>
            <w:r w:rsidR="00274B14">
              <w:rPr>
                <w:bCs/>
                <w:kern w:val="22"/>
                <w:szCs w:val="22"/>
                <w:lang w:val="fr-FR"/>
              </w:rPr>
              <w:lastRenderedPageBreak/>
              <w:t>obligation</w:t>
            </w:r>
            <w:r w:rsidRPr="00AB2BEB">
              <w:rPr>
                <w:bCs/>
                <w:kern w:val="22"/>
                <w:szCs w:val="22"/>
                <w:lang w:val="fr-FR"/>
              </w:rPr>
              <w:t>s, afin de résoudre les problèmes de non</w:t>
            </w:r>
            <w:r w:rsidR="004645B4" w:rsidRPr="00AB2BEB">
              <w:rPr>
                <w:bCs/>
                <w:kern w:val="22"/>
                <w:szCs w:val="22"/>
                <w:lang w:val="fr-FR"/>
              </w:rPr>
              <w:noBreakHyphen/>
            </w:r>
            <w:r w:rsidRPr="00AB2BEB">
              <w:rPr>
                <w:bCs/>
                <w:kern w:val="22"/>
                <w:szCs w:val="22"/>
                <w:lang w:val="fr-FR"/>
              </w:rPr>
              <w:t>respect identifiés.</w:t>
            </w:r>
          </w:p>
        </w:tc>
        <w:tc>
          <w:tcPr>
            <w:tcW w:w="3261" w:type="dxa"/>
          </w:tcPr>
          <w:p w14:paraId="131FA892" w14:textId="7B3D4D01" w:rsidR="00351DD2" w:rsidRPr="00AB2BEB" w:rsidRDefault="00351DD2" w:rsidP="00274B14">
            <w:pPr>
              <w:suppressLineNumbers/>
              <w:suppressAutoHyphens/>
              <w:spacing w:before="60" w:after="60"/>
              <w:jc w:val="left"/>
              <w:rPr>
                <w:rFonts w:eastAsia="MS Mincho"/>
                <w:kern w:val="22"/>
                <w:szCs w:val="22"/>
                <w:lang w:val="fr-FR"/>
              </w:rPr>
            </w:pPr>
            <w:r w:rsidRPr="00AB2BEB">
              <w:rPr>
                <w:rFonts w:eastAsia="MS Mincho"/>
                <w:szCs w:val="22"/>
                <w:lang w:val="fr-FR"/>
              </w:rPr>
              <w:lastRenderedPageBreak/>
              <w:t xml:space="preserve">a) Pourcentage des pays en situation de </w:t>
            </w:r>
            <w:r w:rsidRPr="00AB2BEB">
              <w:rPr>
                <w:szCs w:val="22"/>
                <w:lang w:val="fr-FR"/>
              </w:rPr>
              <w:t>non</w:t>
            </w:r>
            <w:r w:rsidR="004645B4" w:rsidRPr="00AB2BEB">
              <w:rPr>
                <w:szCs w:val="22"/>
                <w:lang w:val="fr-FR"/>
              </w:rPr>
              <w:noBreakHyphen/>
            </w:r>
            <w:r w:rsidRPr="00AB2BEB">
              <w:rPr>
                <w:szCs w:val="22"/>
                <w:lang w:val="fr-FR"/>
              </w:rPr>
              <w:t>conformité, dont l</w:t>
            </w:r>
            <w:r w:rsidR="004645B4" w:rsidRPr="00AB2BEB">
              <w:rPr>
                <w:szCs w:val="22"/>
                <w:lang w:val="fr-FR"/>
              </w:rPr>
              <w:t>’</w:t>
            </w:r>
            <w:r w:rsidRPr="00AB2BEB">
              <w:rPr>
                <w:szCs w:val="22"/>
                <w:lang w:val="fr-FR"/>
              </w:rPr>
              <w:t>exécution réussie du plan d</w:t>
            </w:r>
            <w:r w:rsidR="004645B4" w:rsidRPr="00AB2BEB">
              <w:rPr>
                <w:szCs w:val="22"/>
                <w:lang w:val="fr-FR"/>
              </w:rPr>
              <w:t>’</w:t>
            </w:r>
            <w:r w:rsidRPr="00AB2BEB">
              <w:rPr>
                <w:szCs w:val="22"/>
                <w:lang w:val="fr-FR"/>
              </w:rPr>
              <w:t>action</w:t>
            </w:r>
            <w:r w:rsidR="00274B14">
              <w:rPr>
                <w:szCs w:val="22"/>
                <w:lang w:val="fr-FR"/>
              </w:rPr>
              <w:t xml:space="preserve"> pour le respect des </w:t>
            </w:r>
            <w:r w:rsidR="00274B14">
              <w:rPr>
                <w:szCs w:val="22"/>
                <w:lang w:val="fr-FR"/>
              </w:rPr>
              <w:lastRenderedPageBreak/>
              <w:t>obligation</w:t>
            </w:r>
            <w:r w:rsidRPr="00AB2BEB">
              <w:rPr>
                <w:szCs w:val="22"/>
                <w:lang w:val="fr-FR"/>
              </w:rPr>
              <w:t>s a mené à leur conformité complète</w:t>
            </w:r>
            <w:r w:rsidRPr="00AB2BEB">
              <w:rPr>
                <w:rFonts w:eastAsia="MS Mincho"/>
                <w:szCs w:val="22"/>
                <w:lang w:val="fr-FR"/>
              </w:rPr>
              <w:t>.</w:t>
            </w:r>
          </w:p>
        </w:tc>
        <w:tc>
          <w:tcPr>
            <w:tcW w:w="2835" w:type="dxa"/>
          </w:tcPr>
          <w:p w14:paraId="131FA893" w14:textId="77777777" w:rsidR="00351DD2" w:rsidRPr="00AB2BEB" w:rsidRDefault="00351DD2" w:rsidP="00274B14">
            <w:pPr>
              <w:suppressLineNumbers/>
              <w:suppressAutoHyphens/>
              <w:spacing w:before="60" w:after="60"/>
              <w:jc w:val="left"/>
              <w:rPr>
                <w:rFonts w:eastAsia="MS Mincho"/>
                <w:kern w:val="22"/>
                <w:szCs w:val="22"/>
                <w:lang w:val="fr-FR"/>
              </w:rPr>
            </w:pPr>
            <w:r w:rsidRPr="00AB2BEB">
              <w:rPr>
                <w:kern w:val="22"/>
                <w:szCs w:val="22"/>
                <w:lang w:val="fr-FR"/>
              </w:rPr>
              <w:lastRenderedPageBreak/>
              <w:t>Un mécanisme de respect efficace facilite l</w:t>
            </w:r>
            <w:r w:rsidR="004645B4" w:rsidRPr="00AB2BEB">
              <w:rPr>
                <w:kern w:val="22"/>
                <w:szCs w:val="22"/>
                <w:lang w:val="fr-FR"/>
              </w:rPr>
              <w:t>’</w:t>
            </w:r>
            <w:r w:rsidRPr="00AB2BEB">
              <w:rPr>
                <w:kern w:val="22"/>
                <w:szCs w:val="22"/>
                <w:lang w:val="fr-FR"/>
              </w:rPr>
              <w:t>application du Protocole.</w:t>
            </w:r>
          </w:p>
        </w:tc>
      </w:tr>
      <w:tr w:rsidR="00FE173E" w:rsidRPr="00597279" w14:paraId="131FA8A9" w14:textId="77777777" w:rsidTr="00BB18BE">
        <w:trPr>
          <w:trHeight w:val="2156"/>
          <w:jc w:val="center"/>
        </w:trPr>
        <w:tc>
          <w:tcPr>
            <w:tcW w:w="1705" w:type="dxa"/>
          </w:tcPr>
          <w:p w14:paraId="131FA895" w14:textId="193E94D1" w:rsidR="00FE173E" w:rsidRPr="00AB2BEB" w:rsidRDefault="00876CDA" w:rsidP="00274B14">
            <w:pPr>
              <w:suppressLineNumbers/>
              <w:suppressAutoHyphens/>
              <w:spacing w:before="60" w:after="60"/>
              <w:jc w:val="left"/>
              <w:rPr>
                <w:rFonts w:eastAsia="MS Mincho"/>
                <w:kern w:val="22"/>
                <w:szCs w:val="22"/>
                <w:lang w:val="fr-FR"/>
              </w:rPr>
            </w:pPr>
            <w:r w:rsidRPr="00AB2BEB">
              <w:rPr>
                <w:b/>
                <w:bCs/>
                <w:kern w:val="22"/>
                <w:szCs w:val="22"/>
                <w:lang w:val="fr-FR"/>
              </w:rPr>
              <w:t>A.5. Les Parties procèdent à des évaluations scientifique</w:t>
            </w:r>
            <w:r w:rsidR="00274B14">
              <w:rPr>
                <w:b/>
                <w:bCs/>
                <w:kern w:val="22"/>
                <w:szCs w:val="22"/>
                <w:lang w:val="fr-FR"/>
              </w:rPr>
              <w:t>-</w:t>
            </w:r>
            <w:r w:rsidRPr="00AB2BEB">
              <w:rPr>
                <w:b/>
                <w:bCs/>
                <w:kern w:val="22"/>
                <w:szCs w:val="22"/>
                <w:lang w:val="fr-FR"/>
              </w:rPr>
              <w:t>m</w:t>
            </w:r>
            <w:r w:rsidR="00274B14">
              <w:rPr>
                <w:b/>
                <w:bCs/>
                <w:kern w:val="22"/>
                <w:szCs w:val="22"/>
                <w:lang w:val="fr-FR"/>
              </w:rPr>
              <w:t>ent fondées des risques liés</w:t>
            </w:r>
            <w:r w:rsidRPr="00AB2BEB">
              <w:rPr>
                <w:b/>
                <w:bCs/>
                <w:kern w:val="22"/>
                <w:szCs w:val="22"/>
                <w:lang w:val="fr-FR"/>
              </w:rPr>
              <w:t xml:space="preserve"> aux </w:t>
            </w:r>
            <w:r w:rsidR="00261555">
              <w:rPr>
                <w:b/>
                <w:bCs/>
                <w:kern w:val="22"/>
                <w:szCs w:val="22"/>
                <w:lang w:val="fr-FR"/>
              </w:rPr>
              <w:t>organismes vivants modifiés (</w:t>
            </w:r>
            <w:r w:rsidRPr="00AB2BEB">
              <w:rPr>
                <w:b/>
                <w:bCs/>
                <w:kern w:val="22"/>
                <w:szCs w:val="22"/>
                <w:lang w:val="fr-FR"/>
              </w:rPr>
              <w:t>OVM</w:t>
            </w:r>
            <w:r w:rsidR="00261555">
              <w:rPr>
                <w:b/>
                <w:bCs/>
                <w:kern w:val="22"/>
                <w:szCs w:val="22"/>
                <w:lang w:val="fr-FR"/>
              </w:rPr>
              <w:t>)</w:t>
            </w:r>
            <w:r w:rsidRPr="00AB2BEB">
              <w:rPr>
                <w:b/>
                <w:bCs/>
                <w:kern w:val="22"/>
                <w:szCs w:val="22"/>
                <w:lang w:val="fr-FR"/>
              </w:rPr>
              <w:t>, et gèrent et contrôlent les risques identifiés pour prévenir les effets néfastes des OVM sur la conservation et l</w:t>
            </w:r>
            <w:r w:rsidR="004645B4" w:rsidRPr="00AB2BEB">
              <w:rPr>
                <w:b/>
                <w:bCs/>
                <w:kern w:val="22"/>
                <w:szCs w:val="22"/>
                <w:lang w:val="fr-FR"/>
              </w:rPr>
              <w:t>’</w:t>
            </w:r>
            <w:r w:rsidRPr="00AB2BEB">
              <w:rPr>
                <w:b/>
                <w:bCs/>
                <w:kern w:val="22"/>
                <w:szCs w:val="22"/>
                <w:lang w:val="fr-FR"/>
              </w:rPr>
              <w:t>utilisation durable de la diversité biologique, en tenant compte de</w:t>
            </w:r>
            <w:r w:rsidR="00261555">
              <w:rPr>
                <w:b/>
                <w:bCs/>
                <w:kern w:val="22"/>
                <w:szCs w:val="22"/>
                <w:lang w:val="fr-FR"/>
              </w:rPr>
              <w:t>s risques pour la santé humaine</w:t>
            </w:r>
          </w:p>
        </w:tc>
        <w:tc>
          <w:tcPr>
            <w:tcW w:w="2543" w:type="dxa"/>
            <w:shd w:val="clear" w:color="auto" w:fill="auto"/>
          </w:tcPr>
          <w:p w14:paraId="131FA896" w14:textId="726A981A" w:rsidR="00876CDA" w:rsidRPr="00AB2BEB" w:rsidRDefault="00876CDA" w:rsidP="00876CDA">
            <w:pPr>
              <w:spacing w:before="60" w:after="60"/>
              <w:jc w:val="left"/>
              <w:rPr>
                <w:rFonts w:eastAsia="MS Mincho"/>
                <w:kern w:val="22"/>
                <w:szCs w:val="22"/>
                <w:lang w:val="fr-FR"/>
              </w:rPr>
            </w:pPr>
            <w:r w:rsidRPr="00AB2BEB">
              <w:rPr>
                <w:kern w:val="22"/>
                <w:szCs w:val="22"/>
                <w:lang w:val="fr-FR"/>
              </w:rPr>
              <w:t xml:space="preserve">1) Conduite et examen des évaluations des risques scientifiquement </w:t>
            </w:r>
            <w:r w:rsidR="00BB600B" w:rsidRPr="00AB2BEB">
              <w:rPr>
                <w:kern w:val="22"/>
                <w:szCs w:val="22"/>
                <w:lang w:val="fr-FR"/>
              </w:rPr>
              <w:t>fondées</w:t>
            </w:r>
            <w:r w:rsidR="00C96D21">
              <w:rPr>
                <w:kern w:val="22"/>
                <w:szCs w:val="22"/>
                <w:lang w:val="fr-FR"/>
              </w:rPr>
              <w:t>;</w:t>
            </w:r>
          </w:p>
          <w:p w14:paraId="131FA897" w14:textId="5F6C9BCE" w:rsidR="00876CDA" w:rsidRPr="00AB2BEB" w:rsidRDefault="00876CDA" w:rsidP="00274B14">
            <w:pPr>
              <w:spacing w:after="60"/>
              <w:jc w:val="left"/>
              <w:rPr>
                <w:rFonts w:eastAsia="MS Mincho"/>
                <w:kern w:val="22"/>
                <w:szCs w:val="22"/>
                <w:lang w:val="fr-FR"/>
              </w:rPr>
            </w:pPr>
            <w:r w:rsidRPr="00AB2BEB">
              <w:rPr>
                <w:kern w:val="22"/>
                <w:szCs w:val="22"/>
                <w:lang w:val="fr-FR"/>
              </w:rPr>
              <w:t xml:space="preserve">2) Réglementation, gestion et contrôle des risques </w:t>
            </w:r>
            <w:r w:rsidR="00BB600B" w:rsidRPr="00AB2BEB">
              <w:rPr>
                <w:kern w:val="22"/>
                <w:szCs w:val="22"/>
                <w:lang w:val="fr-FR"/>
              </w:rPr>
              <w:t>identifiés</w:t>
            </w:r>
            <w:r w:rsidR="00C96D21">
              <w:rPr>
                <w:kern w:val="22"/>
                <w:szCs w:val="22"/>
                <w:lang w:val="fr-FR"/>
              </w:rPr>
              <w:t>;</w:t>
            </w:r>
          </w:p>
          <w:p w14:paraId="131FA898" w14:textId="307A52F2" w:rsidR="00876CDA" w:rsidRPr="00AB2BEB" w:rsidRDefault="00274B14" w:rsidP="00876CDA">
            <w:pPr>
              <w:jc w:val="left"/>
              <w:rPr>
                <w:rFonts w:eastAsia="MS Mincho"/>
                <w:kern w:val="22"/>
                <w:szCs w:val="22"/>
                <w:lang w:val="fr-FR"/>
              </w:rPr>
            </w:pPr>
            <w:r>
              <w:rPr>
                <w:kern w:val="22"/>
                <w:szCs w:val="22"/>
                <w:lang w:val="fr-FR"/>
              </w:rPr>
              <w:t xml:space="preserve">3) Accès à une infrastructure et une </w:t>
            </w:r>
            <w:r w:rsidR="00876CDA" w:rsidRPr="00AB2BEB">
              <w:rPr>
                <w:kern w:val="22"/>
                <w:szCs w:val="22"/>
                <w:lang w:val="fr-FR"/>
              </w:rPr>
              <w:t>expertise technique</w:t>
            </w:r>
            <w:r>
              <w:rPr>
                <w:kern w:val="22"/>
                <w:szCs w:val="22"/>
                <w:lang w:val="fr-FR"/>
              </w:rPr>
              <w:t>s</w:t>
            </w:r>
            <w:r w:rsidR="00876CDA" w:rsidRPr="00AB2BEB">
              <w:rPr>
                <w:kern w:val="22"/>
                <w:szCs w:val="22"/>
                <w:lang w:val="fr-FR"/>
              </w:rPr>
              <w:t xml:space="preserve"> pour l</w:t>
            </w:r>
            <w:r w:rsidR="004645B4" w:rsidRPr="00AB2BEB">
              <w:rPr>
                <w:kern w:val="22"/>
                <w:szCs w:val="22"/>
                <w:lang w:val="fr-FR"/>
              </w:rPr>
              <w:t>’</w:t>
            </w:r>
            <w:r w:rsidR="00876CDA" w:rsidRPr="00AB2BEB">
              <w:rPr>
                <w:kern w:val="22"/>
                <w:szCs w:val="22"/>
                <w:lang w:val="fr-FR"/>
              </w:rPr>
              <w:t xml:space="preserve">évaluation et la gestion des </w:t>
            </w:r>
            <w:r w:rsidR="00BB600B" w:rsidRPr="00AB2BEB">
              <w:rPr>
                <w:kern w:val="22"/>
                <w:szCs w:val="22"/>
                <w:lang w:val="fr-FR"/>
              </w:rPr>
              <w:t>risques</w:t>
            </w:r>
            <w:r w:rsidR="00C96D21">
              <w:rPr>
                <w:kern w:val="22"/>
                <w:szCs w:val="22"/>
                <w:lang w:val="fr-FR"/>
              </w:rPr>
              <w:t>;</w:t>
            </w:r>
          </w:p>
          <w:p w14:paraId="131FA899" w14:textId="18A51D7C" w:rsidR="00876CDA" w:rsidRPr="00AB2BEB" w:rsidRDefault="00876CDA" w:rsidP="00876CDA">
            <w:pPr>
              <w:suppressLineNumbers/>
              <w:suppressAutoHyphens/>
              <w:spacing w:before="60" w:after="60"/>
              <w:jc w:val="left"/>
              <w:rPr>
                <w:kern w:val="22"/>
                <w:szCs w:val="22"/>
                <w:lang w:val="fr-FR"/>
              </w:rPr>
            </w:pPr>
            <w:r w:rsidRPr="00AB2BEB">
              <w:rPr>
                <w:kern w:val="22"/>
                <w:szCs w:val="22"/>
                <w:lang w:val="fr-FR"/>
              </w:rPr>
              <w:t>4) Accès aux données scientifiques pertinentes pour l</w:t>
            </w:r>
            <w:r w:rsidR="004645B4" w:rsidRPr="00AB2BEB">
              <w:rPr>
                <w:kern w:val="22"/>
                <w:szCs w:val="22"/>
                <w:lang w:val="fr-FR"/>
              </w:rPr>
              <w:t>’</w:t>
            </w:r>
            <w:r w:rsidRPr="00AB2BEB">
              <w:rPr>
                <w:kern w:val="22"/>
                <w:szCs w:val="22"/>
                <w:lang w:val="fr-FR"/>
              </w:rPr>
              <w:t xml:space="preserve">évaluation et la gestion des </w:t>
            </w:r>
            <w:r w:rsidR="00BB600B" w:rsidRPr="00AB2BEB">
              <w:rPr>
                <w:kern w:val="22"/>
                <w:szCs w:val="22"/>
                <w:lang w:val="fr-FR"/>
              </w:rPr>
              <w:t>risques</w:t>
            </w:r>
            <w:r w:rsidR="00C96D21">
              <w:rPr>
                <w:kern w:val="22"/>
                <w:szCs w:val="22"/>
                <w:lang w:val="fr-FR"/>
              </w:rPr>
              <w:t>;</w:t>
            </w:r>
          </w:p>
          <w:p w14:paraId="131FA89A" w14:textId="488B7EC6" w:rsidR="00FE173E" w:rsidRPr="00AB2BEB" w:rsidRDefault="00876CDA" w:rsidP="00876CDA">
            <w:pPr>
              <w:suppressLineNumbers/>
              <w:suppressAutoHyphens/>
              <w:spacing w:before="60" w:after="60"/>
              <w:jc w:val="left"/>
              <w:rPr>
                <w:rFonts w:eastAsia="Times New Roman Bold"/>
                <w:i/>
                <w:iCs/>
                <w:szCs w:val="22"/>
                <w:highlight w:val="yellow"/>
                <w:lang w:val="fr-FR"/>
              </w:rPr>
            </w:pPr>
            <w:r w:rsidRPr="00AB2BEB">
              <w:rPr>
                <w:kern w:val="22"/>
                <w:szCs w:val="22"/>
                <w:lang w:val="fr-FR"/>
              </w:rPr>
              <w:t>5</w:t>
            </w:r>
            <w:r w:rsidR="00274B14">
              <w:rPr>
                <w:kern w:val="22"/>
                <w:szCs w:val="22"/>
                <w:lang w:val="fr-FR"/>
              </w:rPr>
              <w:t>) Les Parties disposent d’un</w:t>
            </w:r>
            <w:r w:rsidRPr="00AB2BEB">
              <w:rPr>
                <w:kern w:val="22"/>
                <w:szCs w:val="22"/>
                <w:lang w:val="fr-FR"/>
              </w:rPr>
              <w:t xml:space="preserve"> personnel qualifié pour entreprendre une évaluation des risques et la gestion des risques au cas par cas.</w:t>
            </w:r>
          </w:p>
          <w:p w14:paraId="131FA89B" w14:textId="77777777" w:rsidR="00FE173E" w:rsidRPr="00AB2BEB" w:rsidRDefault="00FE173E" w:rsidP="00274B14">
            <w:pPr>
              <w:suppressLineNumbers/>
              <w:suppressAutoHyphens/>
              <w:spacing w:before="60" w:after="60"/>
              <w:jc w:val="left"/>
              <w:rPr>
                <w:kern w:val="22"/>
                <w:szCs w:val="22"/>
                <w:highlight w:val="yellow"/>
                <w:lang w:val="fr-FR"/>
              </w:rPr>
            </w:pPr>
          </w:p>
        </w:tc>
        <w:tc>
          <w:tcPr>
            <w:tcW w:w="3118" w:type="dxa"/>
            <w:shd w:val="clear" w:color="auto" w:fill="auto"/>
          </w:tcPr>
          <w:p w14:paraId="131FA89C" w14:textId="0657DB43" w:rsidR="00876CDA" w:rsidRPr="00AB2BEB" w:rsidRDefault="00876CDA" w:rsidP="00876CDA">
            <w:pPr>
              <w:spacing w:before="60" w:after="60"/>
              <w:jc w:val="left"/>
              <w:rPr>
                <w:rFonts w:eastAsia="MS Mincho"/>
                <w:kern w:val="22"/>
                <w:szCs w:val="22"/>
                <w:lang w:val="fr-FR"/>
              </w:rPr>
            </w:pPr>
            <w:r w:rsidRPr="00AB2BEB">
              <w:rPr>
                <w:kern w:val="22"/>
                <w:szCs w:val="22"/>
                <w:lang w:val="fr-FR"/>
              </w:rPr>
              <w:t>i) Concevoir ou mettre à jour, si nécessaire, et diffuser du matériel de formation sur l</w:t>
            </w:r>
            <w:r w:rsidR="004645B4" w:rsidRPr="00AB2BEB">
              <w:rPr>
                <w:kern w:val="22"/>
                <w:szCs w:val="22"/>
                <w:lang w:val="fr-FR"/>
              </w:rPr>
              <w:t>’</w:t>
            </w:r>
            <w:r w:rsidRPr="00AB2BEB">
              <w:rPr>
                <w:kern w:val="22"/>
                <w:szCs w:val="22"/>
                <w:lang w:val="fr-FR"/>
              </w:rPr>
              <w:t>évaluation</w:t>
            </w:r>
            <w:r w:rsidR="00274B14">
              <w:rPr>
                <w:kern w:val="22"/>
                <w:szCs w:val="22"/>
                <w:lang w:val="fr-FR"/>
              </w:rPr>
              <w:t xml:space="preserve"> </w:t>
            </w:r>
            <w:r w:rsidRPr="00AB2BEB">
              <w:rPr>
                <w:kern w:val="22"/>
                <w:szCs w:val="22"/>
                <w:lang w:val="fr-FR"/>
              </w:rPr>
              <w:t xml:space="preserve">et la gestion des </w:t>
            </w:r>
            <w:r w:rsidR="00BB600B" w:rsidRPr="00AB2BEB">
              <w:rPr>
                <w:kern w:val="22"/>
                <w:szCs w:val="22"/>
                <w:lang w:val="fr-FR"/>
              </w:rPr>
              <w:t>risques</w:t>
            </w:r>
            <w:r w:rsidR="00C96D21">
              <w:rPr>
                <w:kern w:val="22"/>
                <w:szCs w:val="22"/>
                <w:lang w:val="fr-FR"/>
              </w:rPr>
              <w:t>;</w:t>
            </w:r>
          </w:p>
          <w:p w14:paraId="131FA89D" w14:textId="273F648C" w:rsidR="00876CDA" w:rsidRPr="00AB2BEB" w:rsidRDefault="00876CDA" w:rsidP="00184E31">
            <w:pPr>
              <w:spacing w:after="60"/>
              <w:jc w:val="left"/>
              <w:rPr>
                <w:rFonts w:eastAsia="MS Mincho"/>
                <w:kern w:val="22"/>
                <w:szCs w:val="22"/>
                <w:lang w:val="fr-FR"/>
              </w:rPr>
            </w:pPr>
            <w:r w:rsidRPr="00AB2BEB">
              <w:rPr>
                <w:kern w:val="22"/>
                <w:szCs w:val="22"/>
                <w:lang w:val="fr-FR"/>
              </w:rPr>
              <w:t>ii) Dispenser une formation sur la conduite et l</w:t>
            </w:r>
            <w:r w:rsidR="004645B4" w:rsidRPr="00AB2BEB">
              <w:rPr>
                <w:kern w:val="22"/>
                <w:szCs w:val="22"/>
                <w:lang w:val="fr-FR"/>
              </w:rPr>
              <w:t>’</w:t>
            </w:r>
            <w:r w:rsidRPr="00AB2BEB">
              <w:rPr>
                <w:kern w:val="22"/>
                <w:szCs w:val="22"/>
                <w:lang w:val="fr-FR"/>
              </w:rPr>
              <w:t>examen des évaluations des risques, incluant l</w:t>
            </w:r>
            <w:r w:rsidR="004645B4" w:rsidRPr="00AB2BEB">
              <w:rPr>
                <w:kern w:val="22"/>
                <w:szCs w:val="22"/>
                <w:lang w:val="fr-FR"/>
              </w:rPr>
              <w:t>’</w:t>
            </w:r>
            <w:r w:rsidRPr="00AB2BEB">
              <w:rPr>
                <w:kern w:val="22"/>
                <w:szCs w:val="22"/>
                <w:lang w:val="fr-FR"/>
              </w:rPr>
              <w:t>utilisation de documents de référence ainsi que la collecte et l</w:t>
            </w:r>
            <w:r w:rsidR="004645B4" w:rsidRPr="00AB2BEB">
              <w:rPr>
                <w:kern w:val="22"/>
                <w:szCs w:val="22"/>
                <w:lang w:val="fr-FR"/>
              </w:rPr>
              <w:t>’</w:t>
            </w:r>
            <w:r w:rsidRPr="00AB2BEB">
              <w:rPr>
                <w:kern w:val="22"/>
                <w:szCs w:val="22"/>
                <w:lang w:val="fr-FR"/>
              </w:rPr>
              <w:t>analyse d</w:t>
            </w:r>
            <w:r w:rsidR="004645B4" w:rsidRPr="00AB2BEB">
              <w:rPr>
                <w:kern w:val="22"/>
                <w:szCs w:val="22"/>
                <w:lang w:val="fr-FR"/>
              </w:rPr>
              <w:t>’</w:t>
            </w:r>
            <w:r w:rsidRPr="00AB2BEB">
              <w:rPr>
                <w:kern w:val="22"/>
                <w:szCs w:val="22"/>
                <w:lang w:val="fr-FR"/>
              </w:rPr>
              <w:t xml:space="preserve">informations </w:t>
            </w:r>
            <w:r w:rsidR="00BB600B" w:rsidRPr="00AB2BEB">
              <w:rPr>
                <w:kern w:val="22"/>
                <w:szCs w:val="22"/>
                <w:lang w:val="fr-FR"/>
              </w:rPr>
              <w:t>scientifiques</w:t>
            </w:r>
            <w:r w:rsidR="00C96D21">
              <w:rPr>
                <w:kern w:val="22"/>
                <w:szCs w:val="22"/>
                <w:lang w:val="fr-FR"/>
              </w:rPr>
              <w:t>;</w:t>
            </w:r>
          </w:p>
          <w:p w14:paraId="131FA89E" w14:textId="34247C7A" w:rsidR="00876CDA" w:rsidRPr="00AB2BEB" w:rsidRDefault="00876CDA" w:rsidP="00876CDA">
            <w:pPr>
              <w:jc w:val="left"/>
              <w:rPr>
                <w:rFonts w:eastAsia="MS Mincho"/>
                <w:kern w:val="22"/>
                <w:szCs w:val="22"/>
                <w:lang w:val="fr-FR"/>
              </w:rPr>
            </w:pPr>
            <w:r w:rsidRPr="00AB2BEB">
              <w:rPr>
                <w:kern w:val="22"/>
                <w:szCs w:val="22"/>
                <w:lang w:val="fr-FR"/>
              </w:rPr>
              <w:t>iii) Faciliter l</w:t>
            </w:r>
            <w:r w:rsidR="004645B4" w:rsidRPr="00AB2BEB">
              <w:rPr>
                <w:kern w:val="22"/>
                <w:szCs w:val="22"/>
                <w:lang w:val="fr-FR"/>
              </w:rPr>
              <w:t>’</w:t>
            </w:r>
            <w:r w:rsidRPr="00AB2BEB">
              <w:rPr>
                <w:kern w:val="22"/>
                <w:szCs w:val="22"/>
                <w:lang w:val="fr-FR"/>
              </w:rPr>
              <w:t>accès à une infrastructure et à une expertise adéquates pour l</w:t>
            </w:r>
            <w:r w:rsidR="004645B4" w:rsidRPr="00AB2BEB">
              <w:rPr>
                <w:kern w:val="22"/>
                <w:szCs w:val="22"/>
                <w:lang w:val="fr-FR"/>
              </w:rPr>
              <w:t>’</w:t>
            </w:r>
            <w:r w:rsidRPr="00AB2BEB">
              <w:rPr>
                <w:kern w:val="22"/>
                <w:szCs w:val="22"/>
                <w:lang w:val="fr-FR"/>
              </w:rPr>
              <w:t xml:space="preserve">évaluation et la gestion des </w:t>
            </w:r>
            <w:r w:rsidR="00BB600B" w:rsidRPr="00AB2BEB">
              <w:rPr>
                <w:kern w:val="22"/>
                <w:szCs w:val="22"/>
                <w:lang w:val="fr-FR"/>
              </w:rPr>
              <w:t>risques</w:t>
            </w:r>
            <w:r w:rsidR="00C96D21">
              <w:rPr>
                <w:kern w:val="22"/>
                <w:szCs w:val="22"/>
                <w:lang w:val="fr-FR"/>
              </w:rPr>
              <w:t>;</w:t>
            </w:r>
          </w:p>
          <w:p w14:paraId="131FA89F" w14:textId="7929A65B" w:rsidR="00876CDA" w:rsidRPr="00AB2BEB" w:rsidRDefault="00876CDA" w:rsidP="00876CDA">
            <w:pPr>
              <w:suppressLineNumbers/>
              <w:suppressAutoHyphens/>
              <w:spacing w:before="60" w:after="60"/>
              <w:jc w:val="left"/>
              <w:rPr>
                <w:kern w:val="22"/>
                <w:szCs w:val="22"/>
                <w:lang w:val="fr-FR"/>
              </w:rPr>
            </w:pPr>
            <w:r w:rsidRPr="00AB2BEB">
              <w:rPr>
                <w:kern w:val="22"/>
                <w:szCs w:val="22"/>
                <w:lang w:val="fr-FR"/>
              </w:rPr>
              <w:t>iv) Dispenser une formation sur la conduite de recherches scientifiques, l</w:t>
            </w:r>
            <w:r w:rsidR="004645B4" w:rsidRPr="00AB2BEB">
              <w:rPr>
                <w:kern w:val="22"/>
                <w:szCs w:val="22"/>
                <w:lang w:val="fr-FR"/>
              </w:rPr>
              <w:t>’</w:t>
            </w:r>
            <w:r w:rsidRPr="00AB2BEB">
              <w:rPr>
                <w:kern w:val="22"/>
                <w:szCs w:val="22"/>
                <w:lang w:val="fr-FR"/>
              </w:rPr>
              <w:t>examen et l</w:t>
            </w:r>
            <w:r w:rsidR="004645B4" w:rsidRPr="00AB2BEB">
              <w:rPr>
                <w:kern w:val="22"/>
                <w:szCs w:val="22"/>
                <w:lang w:val="fr-FR"/>
              </w:rPr>
              <w:t>’</w:t>
            </w:r>
            <w:r w:rsidRPr="00AB2BEB">
              <w:rPr>
                <w:kern w:val="22"/>
                <w:szCs w:val="22"/>
                <w:lang w:val="fr-FR"/>
              </w:rPr>
              <w:t>acquisition de données sur la biodiversité pour des zones écologiques spécifiques pertinentes pour l</w:t>
            </w:r>
            <w:r w:rsidR="004645B4" w:rsidRPr="00AB2BEB">
              <w:rPr>
                <w:kern w:val="22"/>
                <w:szCs w:val="22"/>
                <w:lang w:val="fr-FR"/>
              </w:rPr>
              <w:t>’</w:t>
            </w:r>
            <w:r w:rsidRPr="00AB2BEB">
              <w:rPr>
                <w:kern w:val="22"/>
                <w:szCs w:val="22"/>
                <w:lang w:val="fr-FR"/>
              </w:rPr>
              <w:t xml:space="preserve">évaluation et la gestion des </w:t>
            </w:r>
            <w:r w:rsidR="00A94572" w:rsidRPr="00AB2BEB">
              <w:rPr>
                <w:kern w:val="22"/>
                <w:szCs w:val="22"/>
                <w:lang w:val="fr-FR"/>
              </w:rPr>
              <w:t>risques</w:t>
            </w:r>
            <w:r w:rsidR="00C96D21">
              <w:rPr>
                <w:kern w:val="22"/>
                <w:szCs w:val="22"/>
                <w:lang w:val="fr-FR"/>
              </w:rPr>
              <w:t>;</w:t>
            </w:r>
          </w:p>
          <w:p w14:paraId="131FA8A0" w14:textId="1B4060B2" w:rsidR="00FE173E" w:rsidRPr="00AB2BEB" w:rsidRDefault="00876CDA" w:rsidP="00876CDA">
            <w:pPr>
              <w:suppressLineNumbers/>
              <w:suppressAutoHyphens/>
              <w:spacing w:before="60" w:after="60"/>
              <w:jc w:val="left"/>
              <w:rPr>
                <w:rFonts w:eastAsia="MS Mincho"/>
                <w:kern w:val="22"/>
                <w:szCs w:val="22"/>
                <w:lang w:val="fr-FR"/>
              </w:rPr>
            </w:pPr>
            <w:r w:rsidRPr="00AB2BEB">
              <w:rPr>
                <w:kern w:val="22"/>
                <w:szCs w:val="22"/>
                <w:lang w:val="fr-FR"/>
              </w:rPr>
              <w:t>v</w:t>
            </w:r>
            <w:r w:rsidR="00274B14">
              <w:rPr>
                <w:kern w:val="22"/>
                <w:szCs w:val="22"/>
                <w:lang w:val="fr-FR"/>
              </w:rPr>
              <w:t>) Créer des liens avec des établissements</w:t>
            </w:r>
            <w:r w:rsidRPr="00AB2BEB">
              <w:rPr>
                <w:kern w:val="22"/>
                <w:szCs w:val="22"/>
                <w:lang w:val="fr-FR"/>
              </w:rPr>
              <w:t xml:space="preserve"> universitaire</w:t>
            </w:r>
            <w:r w:rsidR="00274B14">
              <w:rPr>
                <w:kern w:val="22"/>
                <w:szCs w:val="22"/>
                <w:lang w:val="fr-FR"/>
              </w:rPr>
              <w:t>s</w:t>
            </w:r>
            <w:r w:rsidRPr="00AB2BEB">
              <w:rPr>
                <w:kern w:val="22"/>
                <w:szCs w:val="22"/>
                <w:lang w:val="fr-FR"/>
              </w:rPr>
              <w:t xml:space="preserve"> et/ou des institutions de </w:t>
            </w:r>
            <w:r w:rsidRPr="00AB2BEB">
              <w:rPr>
                <w:kern w:val="22"/>
                <w:szCs w:val="22"/>
                <w:lang w:val="fr-FR"/>
              </w:rPr>
              <w:lastRenderedPageBreak/>
              <w:t>recherche particulières afin d</w:t>
            </w:r>
            <w:r w:rsidR="004645B4" w:rsidRPr="00AB2BEB">
              <w:rPr>
                <w:kern w:val="22"/>
                <w:szCs w:val="22"/>
                <w:lang w:val="fr-FR"/>
              </w:rPr>
              <w:t>’</w:t>
            </w:r>
            <w:r w:rsidRPr="00AB2BEB">
              <w:rPr>
                <w:kern w:val="22"/>
                <w:szCs w:val="22"/>
                <w:lang w:val="fr-FR"/>
              </w:rPr>
              <w:t>élaborer des programmes éducatifs sur l</w:t>
            </w:r>
            <w:r w:rsidR="004645B4" w:rsidRPr="00AB2BEB">
              <w:rPr>
                <w:kern w:val="22"/>
                <w:szCs w:val="22"/>
                <w:lang w:val="fr-FR"/>
              </w:rPr>
              <w:t>’</w:t>
            </w:r>
            <w:r w:rsidRPr="00AB2BEB">
              <w:rPr>
                <w:kern w:val="22"/>
                <w:szCs w:val="22"/>
                <w:lang w:val="fr-FR"/>
              </w:rPr>
              <w:t>évaluation des risques et la gestion des risques</w:t>
            </w:r>
            <w:r w:rsidR="00FE173E" w:rsidRPr="00AB2BEB">
              <w:rPr>
                <w:rFonts w:eastAsia="MS Mincho"/>
                <w:szCs w:val="22"/>
                <w:lang w:val="fr-FR"/>
              </w:rPr>
              <w:t>.</w:t>
            </w:r>
          </w:p>
        </w:tc>
        <w:tc>
          <w:tcPr>
            <w:tcW w:w="3261" w:type="dxa"/>
          </w:tcPr>
          <w:p w14:paraId="131FA8A1" w14:textId="2245F3F4" w:rsidR="00876CDA" w:rsidRPr="00AB2BEB" w:rsidRDefault="00876CDA" w:rsidP="00876CDA">
            <w:pPr>
              <w:suppressLineNumbers/>
              <w:suppressAutoHyphens/>
              <w:spacing w:before="60" w:after="60"/>
              <w:jc w:val="left"/>
              <w:rPr>
                <w:rFonts w:eastAsia="MS Mincho"/>
                <w:kern w:val="22"/>
                <w:szCs w:val="22"/>
                <w:lang w:val="fr-FR"/>
              </w:rPr>
            </w:pPr>
            <w:r w:rsidRPr="00AB2BEB">
              <w:rPr>
                <w:rFonts w:eastAsia="MS Mincho"/>
                <w:szCs w:val="22"/>
                <w:lang w:val="fr-FR"/>
              </w:rPr>
              <w:lastRenderedPageBreak/>
              <w:t>a) Pourcentage de Parties ayant élaboré ou actualisé leur matériel de formation, selon que de besoin, sur l</w:t>
            </w:r>
            <w:r w:rsidR="004645B4" w:rsidRPr="00AB2BEB">
              <w:rPr>
                <w:rFonts w:eastAsia="MS Mincho"/>
                <w:szCs w:val="22"/>
                <w:lang w:val="fr-FR"/>
              </w:rPr>
              <w:t>’</w:t>
            </w:r>
            <w:r w:rsidRPr="00AB2BEB">
              <w:rPr>
                <w:rFonts w:eastAsia="MS Mincho"/>
                <w:szCs w:val="22"/>
                <w:lang w:val="fr-FR"/>
              </w:rPr>
              <w:t xml:space="preserve">évaluation des risques scientifiquement fondée et la gestion des </w:t>
            </w:r>
            <w:r w:rsidR="00BB600B" w:rsidRPr="00AB2BEB">
              <w:rPr>
                <w:rFonts w:eastAsia="MS Mincho"/>
                <w:szCs w:val="22"/>
                <w:lang w:val="fr-FR"/>
              </w:rPr>
              <w:t>risques</w:t>
            </w:r>
            <w:r w:rsidR="00C96D21">
              <w:rPr>
                <w:rFonts w:eastAsia="MS Mincho"/>
                <w:szCs w:val="22"/>
                <w:lang w:val="fr-FR"/>
              </w:rPr>
              <w:t>;</w:t>
            </w:r>
          </w:p>
          <w:p w14:paraId="131FA8A2" w14:textId="277E62C5" w:rsidR="00876CDA" w:rsidRPr="00AB2BEB" w:rsidRDefault="00876CDA" w:rsidP="00876CDA">
            <w:pPr>
              <w:suppressLineNumbers/>
              <w:suppressAutoHyphens/>
              <w:spacing w:before="60" w:after="60"/>
              <w:jc w:val="left"/>
              <w:rPr>
                <w:i/>
                <w:iCs/>
                <w:szCs w:val="22"/>
                <w:highlight w:val="yellow"/>
                <w:lang w:val="fr-FR"/>
              </w:rPr>
            </w:pPr>
            <w:r w:rsidRPr="00AB2BEB">
              <w:rPr>
                <w:rFonts w:eastAsia="MS Mincho"/>
                <w:szCs w:val="22"/>
                <w:lang w:val="fr-FR"/>
              </w:rPr>
              <w:t>b) Pourcentage de Parties ayant dispensé une formation sur la tenue et l</w:t>
            </w:r>
            <w:r w:rsidR="004645B4" w:rsidRPr="00AB2BEB">
              <w:rPr>
                <w:rFonts w:eastAsia="MS Mincho"/>
                <w:szCs w:val="22"/>
                <w:lang w:val="fr-FR"/>
              </w:rPr>
              <w:t>’</w:t>
            </w:r>
            <w:r w:rsidRPr="00AB2BEB">
              <w:rPr>
                <w:rFonts w:eastAsia="MS Mincho"/>
                <w:szCs w:val="22"/>
                <w:lang w:val="fr-FR"/>
              </w:rPr>
              <w:t xml:space="preserve">examen des évaluations des </w:t>
            </w:r>
            <w:r w:rsidR="00BB600B" w:rsidRPr="00AB2BEB">
              <w:rPr>
                <w:rFonts w:eastAsia="MS Mincho"/>
                <w:szCs w:val="22"/>
                <w:lang w:val="fr-FR"/>
              </w:rPr>
              <w:t>risques</w:t>
            </w:r>
            <w:r w:rsidR="00C96D21">
              <w:rPr>
                <w:rFonts w:eastAsia="MS Mincho"/>
                <w:szCs w:val="22"/>
                <w:lang w:val="fr-FR"/>
              </w:rPr>
              <w:t>;</w:t>
            </w:r>
          </w:p>
          <w:p w14:paraId="131FA8A3" w14:textId="0FCA5772" w:rsidR="00876CDA" w:rsidRPr="00AB2BEB" w:rsidRDefault="00876CDA" w:rsidP="00876CDA">
            <w:pPr>
              <w:suppressLineNumbers/>
              <w:suppressAutoHyphens/>
              <w:spacing w:before="60" w:after="60"/>
              <w:jc w:val="left"/>
              <w:rPr>
                <w:rFonts w:eastAsia="MS Mincho"/>
                <w:szCs w:val="22"/>
                <w:lang w:val="fr-FR"/>
              </w:rPr>
            </w:pPr>
            <w:r w:rsidRPr="00AB2BEB">
              <w:rPr>
                <w:rFonts w:eastAsia="MS Mincho"/>
                <w:szCs w:val="22"/>
                <w:lang w:val="fr-FR"/>
              </w:rPr>
              <w:t>c) Nombre d</w:t>
            </w:r>
            <w:r w:rsidR="004645B4" w:rsidRPr="00AB2BEB">
              <w:rPr>
                <w:rFonts w:eastAsia="MS Mincho"/>
                <w:szCs w:val="22"/>
                <w:lang w:val="fr-FR"/>
              </w:rPr>
              <w:t>’</w:t>
            </w:r>
            <w:r w:rsidRPr="00AB2BEB">
              <w:rPr>
                <w:rFonts w:eastAsia="MS Mincho"/>
                <w:szCs w:val="22"/>
                <w:lang w:val="fr-FR"/>
              </w:rPr>
              <w:t>experts par Partie qui sont en mesure d</w:t>
            </w:r>
            <w:r w:rsidR="004645B4" w:rsidRPr="00AB2BEB">
              <w:rPr>
                <w:rFonts w:eastAsia="MS Mincho"/>
                <w:szCs w:val="22"/>
                <w:lang w:val="fr-FR"/>
              </w:rPr>
              <w:t>’</w:t>
            </w:r>
            <w:r w:rsidRPr="00AB2BEB">
              <w:rPr>
                <w:rFonts w:eastAsia="MS Mincho"/>
                <w:szCs w:val="22"/>
                <w:lang w:val="fr-FR"/>
              </w:rPr>
              <w:t>entreprendre ou d</w:t>
            </w:r>
            <w:r w:rsidR="004645B4" w:rsidRPr="00AB2BEB">
              <w:rPr>
                <w:rFonts w:eastAsia="MS Mincho"/>
                <w:szCs w:val="22"/>
                <w:lang w:val="fr-FR"/>
              </w:rPr>
              <w:t>’</w:t>
            </w:r>
            <w:r w:rsidRPr="00AB2BEB">
              <w:rPr>
                <w:rFonts w:eastAsia="MS Mincho"/>
                <w:szCs w:val="22"/>
                <w:lang w:val="fr-FR"/>
              </w:rPr>
              <w:t xml:space="preserve">examiner une évaluation des risques et </w:t>
            </w:r>
            <w:r w:rsidR="00274B14">
              <w:rPr>
                <w:rFonts w:eastAsia="MS Mincho"/>
                <w:szCs w:val="22"/>
                <w:lang w:val="fr-FR"/>
              </w:rPr>
              <w:t xml:space="preserve">la </w:t>
            </w:r>
            <w:r w:rsidRPr="00AB2BEB">
              <w:rPr>
                <w:rFonts w:eastAsia="MS Mincho"/>
                <w:szCs w:val="22"/>
                <w:lang w:val="fr-FR"/>
              </w:rPr>
              <w:t xml:space="preserve">gestion des risques au cas par </w:t>
            </w:r>
            <w:r w:rsidR="006A3E2A" w:rsidRPr="00AB2BEB">
              <w:rPr>
                <w:rFonts w:eastAsia="MS Mincho"/>
                <w:szCs w:val="22"/>
                <w:lang w:val="fr-FR"/>
              </w:rPr>
              <w:t>cas</w:t>
            </w:r>
            <w:r w:rsidR="00C96D21">
              <w:rPr>
                <w:rFonts w:eastAsia="MS Mincho"/>
                <w:szCs w:val="22"/>
                <w:lang w:val="fr-FR"/>
              </w:rPr>
              <w:t>;</w:t>
            </w:r>
            <w:r w:rsidRPr="00AB2BEB">
              <w:rPr>
                <w:rFonts w:eastAsia="MS Mincho"/>
                <w:szCs w:val="22"/>
                <w:lang w:val="fr-FR"/>
              </w:rPr>
              <w:t xml:space="preserve"> </w:t>
            </w:r>
          </w:p>
          <w:p w14:paraId="131FA8A4" w14:textId="127EF7B9" w:rsidR="00876CDA" w:rsidRPr="00AB2BEB" w:rsidRDefault="00876CDA" w:rsidP="00876CDA">
            <w:pPr>
              <w:suppressLineNumbers/>
              <w:suppressAutoHyphens/>
              <w:spacing w:before="60" w:after="60"/>
              <w:jc w:val="left"/>
              <w:rPr>
                <w:rFonts w:eastAsia="MS Mincho"/>
                <w:kern w:val="22"/>
                <w:szCs w:val="22"/>
                <w:lang w:val="fr-FR"/>
              </w:rPr>
            </w:pPr>
            <w:r w:rsidRPr="00AB2BEB">
              <w:rPr>
                <w:rFonts w:eastAsia="MS Mincho"/>
                <w:kern w:val="22"/>
                <w:szCs w:val="22"/>
                <w:lang w:val="fr-FR"/>
              </w:rPr>
              <w:t xml:space="preserve">d) Pourcentage de Parties ayant accès à une infrastructure et une expertise adéquates pour évaluer et gérer les </w:t>
            </w:r>
            <w:r w:rsidR="00A94572" w:rsidRPr="00AB2BEB">
              <w:rPr>
                <w:rFonts w:eastAsia="MS Mincho"/>
                <w:kern w:val="22"/>
                <w:szCs w:val="22"/>
                <w:lang w:val="fr-FR"/>
              </w:rPr>
              <w:t>risques</w:t>
            </w:r>
            <w:r w:rsidR="00C96D21">
              <w:rPr>
                <w:rFonts w:eastAsia="MS Mincho"/>
                <w:kern w:val="22"/>
                <w:szCs w:val="22"/>
                <w:lang w:val="fr-FR"/>
              </w:rPr>
              <w:t>;</w:t>
            </w:r>
          </w:p>
          <w:p w14:paraId="131FA8A5" w14:textId="155D9F72" w:rsidR="00876CDA" w:rsidRPr="00AB2BEB" w:rsidRDefault="00876CDA" w:rsidP="00876CDA">
            <w:pPr>
              <w:pStyle w:val="Default"/>
              <w:rPr>
                <w:rFonts w:ascii="Times New Roman" w:eastAsia="MS Mincho" w:hAnsi="Times New Roman" w:cs="Times New Roman"/>
                <w:color w:val="auto"/>
                <w:kern w:val="22"/>
                <w:sz w:val="22"/>
                <w:szCs w:val="22"/>
                <w:lang w:val="fr-FR" w:eastAsia="en-US"/>
              </w:rPr>
            </w:pPr>
            <w:r w:rsidRPr="00AB2BEB">
              <w:rPr>
                <w:rFonts w:ascii="Times New Roman" w:eastAsia="MS Mincho" w:hAnsi="Times New Roman" w:cs="Times New Roman"/>
                <w:color w:val="auto"/>
                <w:kern w:val="22"/>
                <w:sz w:val="22"/>
                <w:szCs w:val="22"/>
                <w:lang w:val="fr-FR" w:eastAsia="en-US"/>
              </w:rPr>
              <w:t>e)</w:t>
            </w:r>
            <w:r w:rsidRPr="00AB2BEB">
              <w:rPr>
                <w:rFonts w:ascii="Times New Roman" w:eastAsia="MS Mincho" w:hAnsi="Times New Roman" w:cs="Times New Roman"/>
                <w:kern w:val="22"/>
                <w:sz w:val="22"/>
                <w:szCs w:val="22"/>
                <w:lang w:val="fr-FR"/>
              </w:rPr>
              <w:t xml:space="preserve"> </w:t>
            </w:r>
            <w:r w:rsidRPr="00AB2BEB">
              <w:rPr>
                <w:rFonts w:ascii="Times New Roman" w:eastAsia="MS Mincho" w:hAnsi="Times New Roman" w:cs="Times New Roman"/>
                <w:color w:val="auto"/>
                <w:kern w:val="22"/>
                <w:sz w:val="22"/>
                <w:szCs w:val="22"/>
                <w:lang w:val="fr-FR" w:eastAsia="en-US"/>
              </w:rPr>
              <w:t>Pourcentage de Par</w:t>
            </w:r>
            <w:r w:rsidR="00274B14">
              <w:rPr>
                <w:rFonts w:ascii="Times New Roman" w:eastAsia="MS Mincho" w:hAnsi="Times New Roman" w:cs="Times New Roman"/>
                <w:color w:val="auto"/>
                <w:kern w:val="22"/>
                <w:sz w:val="22"/>
                <w:szCs w:val="22"/>
                <w:lang w:val="fr-FR" w:eastAsia="en-US"/>
              </w:rPr>
              <w:t>ties dispensant une formation sur la</w:t>
            </w:r>
            <w:r w:rsidRPr="00AB2BEB">
              <w:rPr>
                <w:rFonts w:ascii="Times New Roman" w:eastAsia="MS Mincho" w:hAnsi="Times New Roman" w:cs="Times New Roman"/>
                <w:color w:val="auto"/>
                <w:kern w:val="22"/>
                <w:sz w:val="22"/>
                <w:szCs w:val="22"/>
                <w:lang w:val="fr-FR" w:eastAsia="en-US"/>
              </w:rPr>
              <w:t xml:space="preserve"> réalisation de recherches scientifiques, </w:t>
            </w:r>
            <w:r w:rsidR="00274B14">
              <w:rPr>
                <w:rFonts w:ascii="Times New Roman" w:eastAsia="MS Mincho" w:hAnsi="Times New Roman" w:cs="Times New Roman"/>
                <w:color w:val="auto"/>
                <w:kern w:val="22"/>
                <w:sz w:val="22"/>
                <w:szCs w:val="22"/>
                <w:lang w:val="fr-FR" w:eastAsia="en-US"/>
              </w:rPr>
              <w:t>l’</w:t>
            </w:r>
            <w:r w:rsidRPr="00AB2BEB">
              <w:rPr>
                <w:rFonts w:ascii="Times New Roman" w:eastAsia="MS Mincho" w:hAnsi="Times New Roman" w:cs="Times New Roman"/>
                <w:color w:val="auto"/>
                <w:kern w:val="22"/>
                <w:sz w:val="22"/>
                <w:szCs w:val="22"/>
                <w:lang w:val="fr-FR" w:eastAsia="en-US"/>
              </w:rPr>
              <w:t>examen et acqui</w:t>
            </w:r>
            <w:r w:rsidR="00274B14">
              <w:rPr>
                <w:rFonts w:ascii="Times New Roman" w:eastAsia="MS Mincho" w:hAnsi="Times New Roman" w:cs="Times New Roman"/>
                <w:color w:val="auto"/>
                <w:kern w:val="22"/>
                <w:sz w:val="22"/>
                <w:szCs w:val="22"/>
                <w:lang w:val="fr-FR" w:eastAsia="en-US"/>
              </w:rPr>
              <w:t xml:space="preserve">sition de données pertinentes pour </w:t>
            </w:r>
            <w:r w:rsidRPr="00AB2BEB">
              <w:rPr>
                <w:rFonts w:ascii="Times New Roman" w:eastAsia="MS Mincho" w:hAnsi="Times New Roman" w:cs="Times New Roman"/>
                <w:color w:val="auto"/>
                <w:kern w:val="22"/>
                <w:sz w:val="22"/>
                <w:szCs w:val="22"/>
                <w:lang w:val="fr-FR" w:eastAsia="en-US"/>
              </w:rPr>
              <w:t>l</w:t>
            </w:r>
            <w:r w:rsidR="004645B4" w:rsidRPr="00AB2BEB">
              <w:rPr>
                <w:rFonts w:ascii="Times New Roman" w:eastAsia="MS Mincho" w:hAnsi="Times New Roman" w:cs="Times New Roman"/>
                <w:color w:val="auto"/>
                <w:kern w:val="22"/>
                <w:sz w:val="22"/>
                <w:szCs w:val="22"/>
                <w:lang w:val="fr-FR" w:eastAsia="en-US"/>
              </w:rPr>
              <w:t>’</w:t>
            </w:r>
            <w:r w:rsidRPr="00AB2BEB">
              <w:rPr>
                <w:rFonts w:ascii="Times New Roman" w:eastAsia="MS Mincho" w:hAnsi="Times New Roman" w:cs="Times New Roman"/>
                <w:color w:val="auto"/>
                <w:kern w:val="22"/>
                <w:sz w:val="22"/>
                <w:szCs w:val="22"/>
                <w:lang w:val="fr-FR" w:eastAsia="en-US"/>
              </w:rPr>
              <w:t xml:space="preserve">évaluation des risques et la gestion des </w:t>
            </w:r>
            <w:r w:rsidR="00A94572" w:rsidRPr="00AB2BEB">
              <w:rPr>
                <w:rFonts w:ascii="Times New Roman" w:eastAsia="MS Mincho" w:hAnsi="Times New Roman" w:cs="Times New Roman"/>
                <w:color w:val="auto"/>
                <w:kern w:val="22"/>
                <w:sz w:val="22"/>
                <w:szCs w:val="22"/>
                <w:lang w:val="fr-FR" w:eastAsia="en-US"/>
              </w:rPr>
              <w:t>risques</w:t>
            </w:r>
            <w:r w:rsidR="00C96D21">
              <w:rPr>
                <w:rFonts w:ascii="Times New Roman" w:eastAsia="MS Mincho" w:hAnsi="Times New Roman" w:cs="Times New Roman"/>
                <w:color w:val="auto"/>
                <w:kern w:val="22"/>
                <w:sz w:val="22"/>
                <w:szCs w:val="22"/>
                <w:lang w:val="fr-FR" w:eastAsia="en-US"/>
              </w:rPr>
              <w:t>;</w:t>
            </w:r>
            <w:r w:rsidRPr="00AB2BEB">
              <w:rPr>
                <w:rFonts w:ascii="Times New Roman" w:eastAsia="MS Mincho" w:hAnsi="Times New Roman" w:cs="Times New Roman"/>
                <w:color w:val="auto"/>
                <w:kern w:val="22"/>
                <w:sz w:val="22"/>
                <w:szCs w:val="22"/>
                <w:lang w:val="fr-FR" w:eastAsia="en-US"/>
              </w:rPr>
              <w:t xml:space="preserve"> </w:t>
            </w:r>
          </w:p>
          <w:p w14:paraId="131FA8A6" w14:textId="4CF8A33E" w:rsidR="00FE173E" w:rsidRPr="00AB2BEB" w:rsidRDefault="00876CDA" w:rsidP="00876CDA">
            <w:pPr>
              <w:autoSpaceDE w:val="0"/>
              <w:autoSpaceDN w:val="0"/>
              <w:adjustRightInd w:val="0"/>
              <w:jc w:val="left"/>
              <w:rPr>
                <w:rFonts w:eastAsiaTheme="minorEastAsia"/>
                <w:color w:val="000000"/>
                <w:szCs w:val="22"/>
                <w:lang w:val="fr-FR" w:eastAsia="zh-CN"/>
              </w:rPr>
            </w:pPr>
            <w:r w:rsidRPr="00AB2BEB">
              <w:rPr>
                <w:rFonts w:eastAsia="MS Mincho"/>
                <w:szCs w:val="22"/>
                <w:lang w:val="fr-FR"/>
              </w:rPr>
              <w:lastRenderedPageBreak/>
              <w:t>f) Pourcentage de Parties entretenant des r</w:t>
            </w:r>
            <w:r w:rsidR="00274B14">
              <w:rPr>
                <w:rFonts w:eastAsia="MS Mincho"/>
                <w:szCs w:val="22"/>
                <w:lang w:val="fr-FR"/>
              </w:rPr>
              <w:t>elations établies avec des établissements</w:t>
            </w:r>
            <w:r w:rsidRPr="00AB2BEB">
              <w:rPr>
                <w:rFonts w:eastAsia="MS Mincho"/>
                <w:szCs w:val="22"/>
                <w:lang w:val="fr-FR"/>
              </w:rPr>
              <w:t xml:space="preserve"> universitaire</w:t>
            </w:r>
            <w:r w:rsidR="00274B14">
              <w:rPr>
                <w:rFonts w:eastAsia="MS Mincho"/>
                <w:szCs w:val="22"/>
                <w:lang w:val="fr-FR"/>
              </w:rPr>
              <w:t>s</w:t>
            </w:r>
            <w:r w:rsidRPr="00AB2BEB">
              <w:rPr>
                <w:rFonts w:eastAsia="MS Mincho"/>
                <w:szCs w:val="22"/>
                <w:lang w:val="fr-FR"/>
              </w:rPr>
              <w:t xml:space="preserve"> et/ou des institutions de recherche particulières pour l</w:t>
            </w:r>
            <w:r w:rsidR="004645B4" w:rsidRPr="00AB2BEB">
              <w:rPr>
                <w:rFonts w:eastAsia="MS Mincho"/>
                <w:szCs w:val="22"/>
                <w:lang w:val="fr-FR"/>
              </w:rPr>
              <w:t>’</w:t>
            </w:r>
            <w:r w:rsidRPr="00AB2BEB">
              <w:rPr>
                <w:rFonts w:eastAsia="MS Mincho"/>
                <w:szCs w:val="22"/>
                <w:lang w:val="fr-FR"/>
              </w:rPr>
              <w:t>élaboration de programmes éducatifs particuliers sur l</w:t>
            </w:r>
            <w:r w:rsidR="004645B4" w:rsidRPr="00AB2BEB">
              <w:rPr>
                <w:rFonts w:eastAsia="MS Mincho"/>
                <w:szCs w:val="22"/>
                <w:lang w:val="fr-FR"/>
              </w:rPr>
              <w:t>’</w:t>
            </w:r>
            <w:r w:rsidRPr="00AB2BEB">
              <w:rPr>
                <w:rFonts w:eastAsia="MS Mincho"/>
                <w:szCs w:val="22"/>
                <w:lang w:val="fr-FR"/>
              </w:rPr>
              <w:t xml:space="preserve">évaluation des risques et la gestion des </w:t>
            </w:r>
            <w:r w:rsidR="00A94572" w:rsidRPr="00AB2BEB">
              <w:rPr>
                <w:rFonts w:eastAsia="MS Mincho"/>
                <w:szCs w:val="22"/>
                <w:lang w:val="fr-FR"/>
              </w:rPr>
              <w:t>risques.</w:t>
            </w:r>
          </w:p>
        </w:tc>
        <w:tc>
          <w:tcPr>
            <w:tcW w:w="2835" w:type="dxa"/>
          </w:tcPr>
          <w:p w14:paraId="131FA8A7" w14:textId="423AE683" w:rsidR="00FE173E" w:rsidRPr="00AB2BEB" w:rsidRDefault="00876CDA" w:rsidP="00274B14">
            <w:pPr>
              <w:suppressLineNumbers/>
              <w:suppressAutoHyphens/>
              <w:spacing w:before="60" w:after="60"/>
              <w:jc w:val="left"/>
              <w:rPr>
                <w:rFonts w:eastAsia="MS Mincho"/>
                <w:kern w:val="22"/>
                <w:szCs w:val="22"/>
                <w:lang w:val="fr-FR"/>
              </w:rPr>
            </w:pPr>
            <w:r w:rsidRPr="00AB2BEB">
              <w:rPr>
                <w:kern w:val="22"/>
                <w:szCs w:val="22"/>
                <w:lang w:val="fr-FR"/>
              </w:rPr>
              <w:lastRenderedPageBreak/>
              <w:t xml:space="preserve">Les Parties identifient, évaluent, gèrent et contrôlent de manière appropriée les risques que représentent les OVM pour la biodiversité, en tenant </w:t>
            </w:r>
            <w:r w:rsidR="00274B14">
              <w:rPr>
                <w:kern w:val="22"/>
                <w:szCs w:val="22"/>
                <w:lang w:val="fr-FR"/>
              </w:rPr>
              <w:t>compte également</w:t>
            </w:r>
            <w:r w:rsidRPr="00AB2BEB">
              <w:rPr>
                <w:kern w:val="22"/>
                <w:szCs w:val="22"/>
                <w:lang w:val="fr-FR"/>
              </w:rPr>
              <w:t xml:space="preserve"> des risques pour la santé humaine.</w:t>
            </w:r>
          </w:p>
          <w:p w14:paraId="131FA8A8" w14:textId="77777777" w:rsidR="00FE173E" w:rsidRPr="00AB2BEB" w:rsidRDefault="00FE173E" w:rsidP="00274B14">
            <w:pPr>
              <w:suppressLineNumbers/>
              <w:suppressAutoHyphens/>
              <w:spacing w:before="60" w:after="60"/>
              <w:jc w:val="left"/>
              <w:rPr>
                <w:rFonts w:eastAsia="MS Mincho"/>
                <w:kern w:val="22"/>
                <w:szCs w:val="22"/>
                <w:lang w:val="fr-FR"/>
              </w:rPr>
            </w:pPr>
          </w:p>
        </w:tc>
      </w:tr>
      <w:tr w:rsidR="00A0039C" w:rsidRPr="00597279" w14:paraId="131FA8B8" w14:textId="77777777" w:rsidTr="00274B14">
        <w:trPr>
          <w:jc w:val="center"/>
        </w:trPr>
        <w:tc>
          <w:tcPr>
            <w:tcW w:w="1705" w:type="dxa"/>
            <w:tcBorders>
              <w:top w:val="single" w:sz="4" w:space="0" w:color="auto"/>
              <w:left w:val="single" w:sz="4" w:space="0" w:color="auto"/>
              <w:bottom w:val="single" w:sz="4" w:space="0" w:color="auto"/>
              <w:right w:val="single" w:sz="4" w:space="0" w:color="auto"/>
            </w:tcBorders>
          </w:tcPr>
          <w:p w14:paraId="131FA8AA" w14:textId="2FB27631" w:rsidR="00A0039C" w:rsidRPr="00AB2BEB" w:rsidRDefault="00A0039C" w:rsidP="00274B14">
            <w:pPr>
              <w:suppressLineNumbers/>
              <w:suppressAutoHyphens/>
              <w:spacing w:before="60" w:after="60"/>
              <w:jc w:val="left"/>
              <w:rPr>
                <w:kern w:val="22"/>
                <w:szCs w:val="22"/>
                <w:lang w:val="fr-FR"/>
              </w:rPr>
            </w:pPr>
            <w:r w:rsidRPr="00AB2BEB">
              <w:rPr>
                <w:b/>
                <w:bCs/>
                <w:kern w:val="22"/>
                <w:szCs w:val="22"/>
                <w:lang w:val="fr-FR"/>
              </w:rPr>
              <w:t>A.6. Les Parties préviennent et réduisent les mouvements transfrontières illicites et non intentionnels d</w:t>
            </w:r>
            <w:r w:rsidR="004645B4" w:rsidRPr="00AB2BEB">
              <w:rPr>
                <w:b/>
                <w:bCs/>
                <w:kern w:val="22"/>
                <w:szCs w:val="22"/>
                <w:lang w:val="fr-FR"/>
              </w:rPr>
              <w:t>’</w:t>
            </w:r>
            <w:r w:rsidR="00261555">
              <w:rPr>
                <w:b/>
                <w:bCs/>
                <w:kern w:val="22"/>
                <w:szCs w:val="22"/>
                <w:lang w:val="fr-FR"/>
              </w:rPr>
              <w:t>OVM</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131FA8AB" w14:textId="799B67B9" w:rsidR="00A0039C" w:rsidRPr="00AB2BEB" w:rsidRDefault="00A0039C" w:rsidP="00274B14">
            <w:pPr>
              <w:spacing w:before="60" w:after="60"/>
              <w:jc w:val="left"/>
              <w:rPr>
                <w:rFonts w:eastAsia="MS Mincho"/>
                <w:kern w:val="22"/>
                <w:szCs w:val="22"/>
                <w:lang w:val="fr-FR"/>
              </w:rPr>
            </w:pPr>
            <w:r w:rsidRPr="00AB2BEB">
              <w:rPr>
                <w:kern w:val="22"/>
                <w:szCs w:val="22"/>
                <w:lang w:val="fr-FR"/>
              </w:rPr>
              <w:t xml:space="preserve">1) Mise en place de systèmes nationaux fonctionnels </w:t>
            </w:r>
            <w:r w:rsidR="00274B14">
              <w:rPr>
                <w:kern w:val="22"/>
                <w:szCs w:val="22"/>
                <w:lang w:val="fr-FR"/>
              </w:rPr>
              <w:t xml:space="preserve">en matière </w:t>
            </w:r>
            <w:r w:rsidRPr="00AB2BEB">
              <w:rPr>
                <w:kern w:val="22"/>
                <w:szCs w:val="22"/>
                <w:lang w:val="fr-FR"/>
              </w:rPr>
              <w:t>de détection, de notification et de réponses appropriées aux mouvements transfrontières non intentionnels, conformément à l</w:t>
            </w:r>
            <w:r w:rsidR="004645B4" w:rsidRPr="00AB2BEB">
              <w:rPr>
                <w:kern w:val="22"/>
                <w:szCs w:val="22"/>
                <w:lang w:val="fr-FR"/>
              </w:rPr>
              <w:t>’</w:t>
            </w:r>
            <w:r w:rsidRPr="00AB2BEB">
              <w:rPr>
                <w:kern w:val="22"/>
                <w:szCs w:val="22"/>
                <w:lang w:val="fr-FR"/>
              </w:rPr>
              <w:t xml:space="preserve">article 17 du </w:t>
            </w:r>
            <w:r w:rsidR="00A94572" w:rsidRPr="00AB2BEB">
              <w:rPr>
                <w:kern w:val="22"/>
                <w:szCs w:val="22"/>
                <w:lang w:val="fr-FR"/>
              </w:rPr>
              <w:t>Protocole</w:t>
            </w:r>
            <w:r w:rsidR="00C96D21">
              <w:rPr>
                <w:kern w:val="22"/>
                <w:szCs w:val="22"/>
                <w:lang w:val="fr-FR"/>
              </w:rPr>
              <w:t>;</w:t>
            </w:r>
          </w:p>
          <w:p w14:paraId="131FA8AC" w14:textId="6CB345DE" w:rsidR="00A0039C" w:rsidRPr="00AB2BEB" w:rsidRDefault="00A0039C" w:rsidP="00274B14">
            <w:pPr>
              <w:jc w:val="left"/>
              <w:rPr>
                <w:rFonts w:eastAsia="MS Mincho"/>
                <w:kern w:val="22"/>
                <w:szCs w:val="22"/>
                <w:lang w:val="fr-FR"/>
              </w:rPr>
            </w:pPr>
            <w:r w:rsidRPr="00AB2BEB">
              <w:rPr>
                <w:kern w:val="22"/>
                <w:szCs w:val="22"/>
                <w:lang w:val="fr-FR"/>
              </w:rPr>
              <w:t>2) Mise en place de mesures nationales fonctionnelles pour prévenir et réduire les mouvements transfrontières illicites</w:t>
            </w:r>
            <w:r w:rsidR="00274B14">
              <w:rPr>
                <w:kern w:val="22"/>
                <w:szCs w:val="22"/>
                <w:lang w:val="fr-FR"/>
              </w:rPr>
              <w:t>,</w:t>
            </w:r>
            <w:r w:rsidRPr="00AB2BEB">
              <w:rPr>
                <w:kern w:val="22"/>
                <w:szCs w:val="22"/>
                <w:lang w:val="fr-FR"/>
              </w:rPr>
              <w:t xml:space="preserve"> conformément </w:t>
            </w:r>
            <w:r w:rsidR="00EE22BE" w:rsidRPr="00AB2BEB">
              <w:rPr>
                <w:kern w:val="22"/>
                <w:szCs w:val="22"/>
                <w:lang w:val="fr-FR"/>
              </w:rPr>
              <w:t>à l</w:t>
            </w:r>
            <w:r w:rsidR="004645B4" w:rsidRPr="00AB2BEB">
              <w:rPr>
                <w:kern w:val="22"/>
                <w:szCs w:val="22"/>
                <w:lang w:val="fr-FR"/>
              </w:rPr>
              <w:t>’</w:t>
            </w:r>
            <w:r w:rsidR="00EE22BE" w:rsidRPr="00AB2BEB">
              <w:rPr>
                <w:kern w:val="22"/>
                <w:szCs w:val="22"/>
                <w:lang w:val="fr-FR"/>
              </w:rPr>
              <w:t>article 25 du Protocole</w:t>
            </w:r>
            <w:r w:rsidRPr="00AB2BEB">
              <w:rPr>
                <w:kern w:val="22"/>
                <w:szCs w:val="22"/>
                <w:lang w:val="fr-FR"/>
              </w:rPr>
              <w:t>.</w:t>
            </w:r>
          </w:p>
          <w:p w14:paraId="131FA8AD" w14:textId="77777777" w:rsidR="00A0039C" w:rsidRPr="00AB2BEB" w:rsidRDefault="00A0039C" w:rsidP="00274B14">
            <w:pPr>
              <w:suppressLineNumbers/>
              <w:suppressAutoHyphens/>
              <w:spacing w:before="60" w:after="60"/>
              <w:jc w:val="left"/>
              <w:rPr>
                <w:rFonts w:eastAsia="MS Mincho"/>
                <w:strike/>
                <w:kern w:val="22"/>
                <w:szCs w:val="22"/>
                <w:lang w:val="fr-FR"/>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31FA8AE" w14:textId="01E11655" w:rsidR="00A0039C" w:rsidRPr="00AB2BEB" w:rsidRDefault="00274B14" w:rsidP="00274B14">
            <w:pPr>
              <w:spacing w:before="60" w:after="60"/>
              <w:jc w:val="left"/>
              <w:rPr>
                <w:rFonts w:eastAsia="MS Mincho"/>
                <w:kern w:val="22"/>
                <w:szCs w:val="22"/>
                <w:lang w:val="fr-FR"/>
              </w:rPr>
            </w:pPr>
            <w:r>
              <w:rPr>
                <w:kern w:val="22"/>
                <w:szCs w:val="22"/>
                <w:lang w:val="fr-FR"/>
              </w:rPr>
              <w:t>i</w:t>
            </w:r>
            <w:r w:rsidR="00A0039C" w:rsidRPr="00AB2BEB">
              <w:rPr>
                <w:kern w:val="22"/>
                <w:szCs w:val="22"/>
                <w:lang w:val="fr-FR"/>
              </w:rPr>
              <w:t>) Dispenser une formation sur la documentation, l</w:t>
            </w:r>
            <w:r w:rsidR="004645B4" w:rsidRPr="00AB2BEB">
              <w:rPr>
                <w:kern w:val="22"/>
                <w:szCs w:val="22"/>
                <w:lang w:val="fr-FR"/>
              </w:rPr>
              <w:t>’</w:t>
            </w:r>
            <w:r w:rsidR="00A0039C" w:rsidRPr="00AB2BEB">
              <w:rPr>
                <w:kern w:val="22"/>
                <w:szCs w:val="22"/>
                <w:lang w:val="fr-FR"/>
              </w:rPr>
              <w:t>échantillonnage, la détection et l</w:t>
            </w:r>
            <w:r w:rsidR="004645B4" w:rsidRPr="00AB2BEB">
              <w:rPr>
                <w:kern w:val="22"/>
                <w:szCs w:val="22"/>
                <w:lang w:val="fr-FR"/>
              </w:rPr>
              <w:t>’</w:t>
            </w:r>
            <w:r w:rsidR="00A0039C" w:rsidRPr="00AB2BEB">
              <w:rPr>
                <w:kern w:val="22"/>
                <w:szCs w:val="22"/>
                <w:lang w:val="fr-FR"/>
              </w:rPr>
              <w:t xml:space="preserve">identification des OVM aux parties prenantes </w:t>
            </w:r>
            <w:r w:rsidR="00A94572" w:rsidRPr="00AB2BEB">
              <w:rPr>
                <w:kern w:val="22"/>
                <w:szCs w:val="22"/>
                <w:lang w:val="fr-FR"/>
              </w:rPr>
              <w:t>concernées</w:t>
            </w:r>
            <w:r w:rsidR="00C96D21">
              <w:rPr>
                <w:kern w:val="22"/>
                <w:szCs w:val="22"/>
                <w:lang w:val="fr-FR"/>
              </w:rPr>
              <w:t>;</w:t>
            </w:r>
          </w:p>
          <w:p w14:paraId="131FA8AF" w14:textId="6938C4AE" w:rsidR="00A0039C" w:rsidRPr="00AB2BEB" w:rsidRDefault="00A0039C" w:rsidP="00184E31">
            <w:pPr>
              <w:spacing w:after="60"/>
              <w:jc w:val="left"/>
              <w:rPr>
                <w:kern w:val="22"/>
                <w:szCs w:val="22"/>
                <w:lang w:val="fr-FR"/>
              </w:rPr>
            </w:pPr>
            <w:r w:rsidRPr="00AB2BEB">
              <w:rPr>
                <w:kern w:val="22"/>
                <w:szCs w:val="22"/>
                <w:lang w:val="fr-FR"/>
              </w:rPr>
              <w:t>ii) Dispenser une formation sur les mesures nationales pour prévenir et réduire les mouvements transfrontières illicites, conformément à l</w:t>
            </w:r>
            <w:r w:rsidR="004645B4" w:rsidRPr="00AB2BEB">
              <w:rPr>
                <w:kern w:val="22"/>
                <w:szCs w:val="22"/>
                <w:lang w:val="fr-FR"/>
              </w:rPr>
              <w:t>’</w:t>
            </w:r>
            <w:r w:rsidRPr="00AB2BEB">
              <w:rPr>
                <w:kern w:val="22"/>
                <w:szCs w:val="22"/>
                <w:lang w:val="fr-FR"/>
              </w:rPr>
              <w:t xml:space="preserve">article 25 du </w:t>
            </w:r>
            <w:r w:rsidR="00A94572" w:rsidRPr="00AB2BEB">
              <w:rPr>
                <w:kern w:val="22"/>
                <w:szCs w:val="22"/>
                <w:lang w:val="fr-FR"/>
              </w:rPr>
              <w:t>Protocole</w:t>
            </w:r>
            <w:r w:rsidR="00C96D21">
              <w:rPr>
                <w:kern w:val="22"/>
                <w:szCs w:val="22"/>
                <w:lang w:val="fr-FR"/>
              </w:rPr>
              <w:t>;</w:t>
            </w:r>
          </w:p>
          <w:p w14:paraId="131FA8B0" w14:textId="77777777" w:rsidR="00A0039C" w:rsidRPr="00AB2BEB" w:rsidRDefault="00A0039C" w:rsidP="00274B14">
            <w:pPr>
              <w:jc w:val="left"/>
              <w:rPr>
                <w:kern w:val="22"/>
                <w:szCs w:val="22"/>
                <w:lang w:val="fr-FR"/>
              </w:rPr>
            </w:pPr>
            <w:r w:rsidRPr="00AB2BEB">
              <w:rPr>
                <w:kern w:val="22"/>
                <w:szCs w:val="22"/>
                <w:lang w:val="fr-FR"/>
              </w:rPr>
              <w:t>iii) Dispenser une formation sur les mouvements transfrontières illicites d</w:t>
            </w:r>
            <w:r w:rsidR="004645B4" w:rsidRPr="00AB2BEB">
              <w:rPr>
                <w:kern w:val="22"/>
                <w:szCs w:val="22"/>
                <w:lang w:val="fr-FR"/>
              </w:rPr>
              <w:t>’</w:t>
            </w:r>
            <w:r w:rsidRPr="00AB2BEB">
              <w:rPr>
                <w:kern w:val="22"/>
                <w:szCs w:val="22"/>
                <w:lang w:val="fr-FR"/>
              </w:rPr>
              <w:t>OVM.</w:t>
            </w:r>
          </w:p>
          <w:p w14:paraId="131FA8B1" w14:textId="77777777" w:rsidR="00A0039C" w:rsidRPr="00AB2BEB" w:rsidRDefault="00A0039C" w:rsidP="00274B14">
            <w:pPr>
              <w:jc w:val="left"/>
              <w:rPr>
                <w:kern w:val="22"/>
                <w:szCs w:val="22"/>
                <w:lang w:val="fr-FR"/>
              </w:rPr>
            </w:pPr>
          </w:p>
          <w:p w14:paraId="131FA8B2" w14:textId="77777777" w:rsidR="00A0039C" w:rsidRPr="00AB2BEB" w:rsidRDefault="00A0039C" w:rsidP="00274B14">
            <w:pPr>
              <w:suppressLineNumbers/>
              <w:suppressAutoHyphens/>
              <w:spacing w:before="60" w:after="60"/>
              <w:jc w:val="left"/>
              <w:rPr>
                <w:rFonts w:eastAsia="MS Mincho"/>
                <w:kern w:val="22"/>
                <w:szCs w:val="22"/>
                <w:lang w:val="fr-FR"/>
              </w:rPr>
            </w:pPr>
          </w:p>
        </w:tc>
        <w:tc>
          <w:tcPr>
            <w:tcW w:w="3261" w:type="dxa"/>
            <w:tcBorders>
              <w:top w:val="single" w:sz="4" w:space="0" w:color="auto"/>
              <w:left w:val="single" w:sz="4" w:space="0" w:color="auto"/>
              <w:bottom w:val="single" w:sz="4" w:space="0" w:color="auto"/>
              <w:right w:val="single" w:sz="4" w:space="0" w:color="auto"/>
            </w:tcBorders>
          </w:tcPr>
          <w:p w14:paraId="131FA8B3" w14:textId="07104310" w:rsidR="00A0039C" w:rsidRPr="00AB2BEB" w:rsidRDefault="00A0039C" w:rsidP="00274B14">
            <w:pPr>
              <w:suppressLineNumbers/>
              <w:suppressAutoHyphens/>
              <w:spacing w:before="60" w:after="60"/>
              <w:jc w:val="left"/>
              <w:rPr>
                <w:rFonts w:eastAsia="MS Mincho"/>
                <w:szCs w:val="22"/>
                <w:lang w:val="fr-FR"/>
              </w:rPr>
            </w:pPr>
            <w:r w:rsidRPr="00AB2BEB">
              <w:rPr>
                <w:rFonts w:eastAsia="MS Mincho"/>
                <w:szCs w:val="22"/>
                <w:lang w:val="fr-FR"/>
              </w:rPr>
              <w:t>a) Pourcentage de Parties dispensant une formation sur la documentation, l</w:t>
            </w:r>
            <w:r w:rsidR="004645B4" w:rsidRPr="00AB2BEB">
              <w:rPr>
                <w:rFonts w:eastAsia="MS Mincho"/>
                <w:szCs w:val="22"/>
                <w:lang w:val="fr-FR"/>
              </w:rPr>
              <w:t>’</w:t>
            </w:r>
            <w:r w:rsidRPr="00AB2BEB">
              <w:rPr>
                <w:rFonts w:eastAsia="MS Mincho"/>
                <w:szCs w:val="22"/>
                <w:lang w:val="fr-FR"/>
              </w:rPr>
              <w:t>échantillonnage, la détection et l</w:t>
            </w:r>
            <w:r w:rsidR="004645B4" w:rsidRPr="00AB2BEB">
              <w:rPr>
                <w:rFonts w:eastAsia="MS Mincho"/>
                <w:szCs w:val="22"/>
                <w:lang w:val="fr-FR"/>
              </w:rPr>
              <w:t>’</w:t>
            </w:r>
            <w:r w:rsidRPr="00AB2BEB">
              <w:rPr>
                <w:rFonts w:eastAsia="MS Mincho"/>
                <w:szCs w:val="22"/>
                <w:lang w:val="fr-FR"/>
              </w:rPr>
              <w:t xml:space="preserve">identification des OVM auprès des parties prenantes </w:t>
            </w:r>
            <w:r w:rsidR="00A94572" w:rsidRPr="00AB2BEB">
              <w:rPr>
                <w:rFonts w:eastAsia="MS Mincho"/>
                <w:szCs w:val="22"/>
                <w:lang w:val="fr-FR"/>
              </w:rPr>
              <w:t>concernées</w:t>
            </w:r>
            <w:r w:rsidR="00C96D21">
              <w:rPr>
                <w:rFonts w:eastAsia="MS Mincho"/>
                <w:szCs w:val="22"/>
                <w:lang w:val="fr-FR"/>
              </w:rPr>
              <w:t>;</w:t>
            </w:r>
          </w:p>
          <w:p w14:paraId="131FA8B4" w14:textId="38BC0A97" w:rsidR="00A0039C" w:rsidRPr="00AB2BEB" w:rsidRDefault="00A0039C"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 xml:space="preserve">b) Nombre de cas signalés de mouvements transfrontières non intentionnels ou illicites </w:t>
            </w:r>
            <w:r w:rsidR="00A94572" w:rsidRPr="00AB2BEB">
              <w:rPr>
                <w:rFonts w:eastAsia="MS Mincho"/>
                <w:kern w:val="22"/>
                <w:szCs w:val="22"/>
                <w:lang w:val="fr-FR"/>
              </w:rPr>
              <w:t>d’OVM</w:t>
            </w:r>
            <w:r w:rsidR="00C96D21">
              <w:rPr>
                <w:rFonts w:eastAsia="MS Mincho"/>
                <w:kern w:val="22"/>
                <w:szCs w:val="22"/>
                <w:lang w:val="fr-FR"/>
              </w:rPr>
              <w:t>;</w:t>
            </w:r>
          </w:p>
          <w:p w14:paraId="131FA8B5" w14:textId="4AF90A58" w:rsidR="00A0039C" w:rsidRPr="00AB2BEB" w:rsidRDefault="00A0039C" w:rsidP="00274B14">
            <w:pPr>
              <w:suppressLineNumbers/>
              <w:suppressAutoHyphens/>
              <w:spacing w:before="60" w:after="60"/>
              <w:jc w:val="left"/>
              <w:rPr>
                <w:rFonts w:eastAsia="MS Mincho"/>
                <w:szCs w:val="22"/>
                <w:lang w:val="fr-FR"/>
              </w:rPr>
            </w:pPr>
            <w:r w:rsidRPr="00AB2BEB">
              <w:rPr>
                <w:rFonts w:eastAsia="MS Mincho"/>
                <w:szCs w:val="22"/>
                <w:lang w:val="fr-FR"/>
              </w:rPr>
              <w:t>c) Pourcentage de Par</w:t>
            </w:r>
            <w:r w:rsidR="00274B14">
              <w:rPr>
                <w:rFonts w:eastAsia="MS Mincho"/>
                <w:szCs w:val="22"/>
                <w:lang w:val="fr-FR"/>
              </w:rPr>
              <w:t>ties dispensant une formation sur les</w:t>
            </w:r>
            <w:r w:rsidRPr="00AB2BEB">
              <w:rPr>
                <w:rFonts w:eastAsia="MS Mincho"/>
                <w:szCs w:val="22"/>
                <w:lang w:val="fr-FR"/>
              </w:rPr>
              <w:t xml:space="preserve"> mesures nationales fonctionnelles pour prévenir et gérer les mouvements transfrontières non intentionnels ou illicites </w:t>
            </w:r>
            <w:r w:rsidR="00A94572" w:rsidRPr="00AB2BEB">
              <w:rPr>
                <w:rFonts w:eastAsia="MS Mincho"/>
                <w:szCs w:val="22"/>
                <w:lang w:val="fr-FR"/>
              </w:rPr>
              <w:t>d’OVM</w:t>
            </w:r>
            <w:r w:rsidR="00C96D21">
              <w:rPr>
                <w:rFonts w:eastAsia="MS Mincho"/>
                <w:szCs w:val="22"/>
                <w:lang w:val="fr-FR"/>
              </w:rPr>
              <w:t>;</w:t>
            </w:r>
          </w:p>
          <w:p w14:paraId="131FA8B6" w14:textId="77777777" w:rsidR="00A0039C" w:rsidRPr="00AB2BEB" w:rsidRDefault="00A0039C" w:rsidP="00274B14">
            <w:pPr>
              <w:suppressLineNumbers/>
              <w:suppressAutoHyphens/>
              <w:spacing w:before="60" w:after="60"/>
              <w:jc w:val="left"/>
              <w:rPr>
                <w:rFonts w:eastAsia="MS Mincho"/>
                <w:kern w:val="22"/>
                <w:szCs w:val="22"/>
                <w:lang w:val="fr-FR"/>
              </w:rPr>
            </w:pPr>
            <w:r w:rsidRPr="00AB2BEB">
              <w:rPr>
                <w:rFonts w:eastAsia="MS Mincho"/>
                <w:szCs w:val="22"/>
                <w:lang w:val="fr-FR"/>
              </w:rPr>
              <w:t>d) Pourcentage de Parties dispensant une formation sur la surveillance des mouvements transfrontières illicites d</w:t>
            </w:r>
            <w:r w:rsidR="004645B4" w:rsidRPr="00AB2BEB">
              <w:rPr>
                <w:rFonts w:eastAsia="MS Mincho"/>
                <w:szCs w:val="22"/>
                <w:lang w:val="fr-FR"/>
              </w:rPr>
              <w:t>’</w:t>
            </w:r>
            <w:r w:rsidRPr="00AB2BEB">
              <w:rPr>
                <w:rFonts w:eastAsia="MS Mincho"/>
                <w:szCs w:val="22"/>
                <w:lang w:val="fr-FR"/>
              </w:rPr>
              <w:t>OVM.</w:t>
            </w:r>
          </w:p>
        </w:tc>
        <w:tc>
          <w:tcPr>
            <w:tcW w:w="2835" w:type="dxa"/>
            <w:tcBorders>
              <w:top w:val="single" w:sz="4" w:space="0" w:color="auto"/>
              <w:left w:val="single" w:sz="4" w:space="0" w:color="auto"/>
              <w:bottom w:val="single" w:sz="4" w:space="0" w:color="auto"/>
              <w:right w:val="single" w:sz="4" w:space="0" w:color="auto"/>
            </w:tcBorders>
          </w:tcPr>
          <w:p w14:paraId="131FA8B7" w14:textId="0268E449" w:rsidR="00A0039C" w:rsidRPr="00AB2BEB" w:rsidRDefault="00A0039C" w:rsidP="00274B14">
            <w:pPr>
              <w:suppressLineNumbers/>
              <w:suppressAutoHyphens/>
              <w:spacing w:before="60" w:after="60"/>
              <w:jc w:val="left"/>
              <w:rPr>
                <w:rFonts w:eastAsia="MS Mincho"/>
                <w:kern w:val="22"/>
                <w:szCs w:val="22"/>
                <w:lang w:val="fr-FR"/>
              </w:rPr>
            </w:pPr>
            <w:r w:rsidRPr="00AB2BEB">
              <w:rPr>
                <w:kern w:val="22"/>
                <w:szCs w:val="22"/>
                <w:lang w:val="fr-FR"/>
              </w:rPr>
              <w:t>Les mouvements transfrontières illicites et non intentionnels d</w:t>
            </w:r>
            <w:r w:rsidR="004645B4" w:rsidRPr="00AB2BEB">
              <w:rPr>
                <w:kern w:val="22"/>
                <w:szCs w:val="22"/>
                <w:lang w:val="fr-FR"/>
              </w:rPr>
              <w:t>’</w:t>
            </w:r>
            <w:r w:rsidR="00274B14">
              <w:rPr>
                <w:kern w:val="22"/>
                <w:szCs w:val="22"/>
                <w:lang w:val="fr-FR"/>
              </w:rPr>
              <w:t>OVM sont empêchés ou réduits à un</w:t>
            </w:r>
            <w:r w:rsidRPr="00AB2BEB">
              <w:rPr>
                <w:kern w:val="22"/>
                <w:szCs w:val="22"/>
                <w:lang w:val="fr-FR"/>
              </w:rPr>
              <w:t xml:space="preserve"> minimum.</w:t>
            </w:r>
          </w:p>
        </w:tc>
      </w:tr>
      <w:tr w:rsidR="00A0039C" w:rsidRPr="00597279" w14:paraId="131FA8C1" w14:textId="77777777" w:rsidTr="00274B14">
        <w:trPr>
          <w:jc w:val="center"/>
        </w:trPr>
        <w:tc>
          <w:tcPr>
            <w:tcW w:w="1705" w:type="dxa"/>
            <w:tcBorders>
              <w:top w:val="single" w:sz="4" w:space="0" w:color="auto"/>
              <w:left w:val="single" w:sz="4" w:space="0" w:color="auto"/>
              <w:bottom w:val="single" w:sz="4" w:space="0" w:color="auto"/>
              <w:right w:val="single" w:sz="4" w:space="0" w:color="auto"/>
            </w:tcBorders>
          </w:tcPr>
          <w:p w14:paraId="131FA8B9" w14:textId="2394AF34" w:rsidR="00A0039C" w:rsidRPr="00AB2BEB" w:rsidRDefault="00A0039C" w:rsidP="00274B14">
            <w:pPr>
              <w:suppressLineNumbers/>
              <w:suppressAutoHyphens/>
              <w:spacing w:before="60" w:after="60"/>
              <w:jc w:val="left"/>
              <w:rPr>
                <w:rFonts w:eastAsia="MS Mincho"/>
                <w:kern w:val="22"/>
                <w:szCs w:val="22"/>
                <w:highlight w:val="yellow"/>
                <w:lang w:val="fr-FR"/>
              </w:rPr>
            </w:pPr>
            <w:r w:rsidRPr="00AB2BEB">
              <w:rPr>
                <w:b/>
                <w:bCs/>
                <w:kern w:val="22"/>
                <w:szCs w:val="22"/>
                <w:lang w:val="fr-FR"/>
              </w:rPr>
              <w:t xml:space="preserve">A.7. Les Parties ont mis en </w:t>
            </w:r>
            <w:r w:rsidRPr="00AB2BEB">
              <w:rPr>
                <w:b/>
                <w:bCs/>
                <w:kern w:val="22"/>
                <w:szCs w:val="22"/>
                <w:lang w:val="fr-FR"/>
              </w:rPr>
              <w:lastRenderedPageBreak/>
              <w:t xml:space="preserve">place des mesures pour satisfaire aux exigences </w:t>
            </w:r>
            <w:r w:rsidR="00274B14">
              <w:rPr>
                <w:b/>
                <w:bCs/>
                <w:kern w:val="22"/>
                <w:szCs w:val="22"/>
                <w:lang w:val="fr-FR"/>
              </w:rPr>
              <w:t xml:space="preserve">en matière </w:t>
            </w:r>
            <w:r w:rsidRPr="00AB2BEB">
              <w:rPr>
                <w:b/>
                <w:bCs/>
                <w:kern w:val="22"/>
                <w:szCs w:val="22"/>
                <w:lang w:val="fr-FR"/>
              </w:rPr>
              <w:t>de manipulation, de transport, d</w:t>
            </w:r>
            <w:r w:rsidR="004645B4" w:rsidRPr="00AB2BEB">
              <w:rPr>
                <w:b/>
                <w:bCs/>
                <w:kern w:val="22"/>
                <w:szCs w:val="22"/>
                <w:lang w:val="fr-FR"/>
              </w:rPr>
              <w:t>’</w:t>
            </w:r>
            <w:r w:rsidRPr="00AB2BEB">
              <w:rPr>
                <w:b/>
                <w:bCs/>
                <w:kern w:val="22"/>
                <w:szCs w:val="22"/>
                <w:lang w:val="fr-FR"/>
              </w:rPr>
              <w:t>emballage et d</w:t>
            </w:r>
            <w:r w:rsidR="004645B4" w:rsidRPr="00AB2BEB">
              <w:rPr>
                <w:b/>
                <w:bCs/>
                <w:kern w:val="22"/>
                <w:szCs w:val="22"/>
                <w:lang w:val="fr-FR"/>
              </w:rPr>
              <w:t>’</w:t>
            </w:r>
            <w:r w:rsidRPr="00AB2BEB">
              <w:rPr>
                <w:b/>
                <w:bCs/>
                <w:kern w:val="22"/>
                <w:szCs w:val="22"/>
                <w:lang w:val="fr-FR"/>
              </w:rPr>
              <w:t>identification des OVM au titre de l</w:t>
            </w:r>
            <w:r w:rsidR="004645B4" w:rsidRPr="00AB2BEB">
              <w:rPr>
                <w:b/>
                <w:bCs/>
                <w:kern w:val="22"/>
                <w:szCs w:val="22"/>
                <w:lang w:val="fr-FR"/>
              </w:rPr>
              <w:t>’</w:t>
            </w:r>
            <w:r w:rsidR="00274B14">
              <w:rPr>
                <w:b/>
                <w:bCs/>
                <w:kern w:val="22"/>
                <w:szCs w:val="22"/>
                <w:lang w:val="fr-FR"/>
              </w:rPr>
              <w:t>article   </w:t>
            </w:r>
            <w:r w:rsidR="00261555">
              <w:rPr>
                <w:b/>
                <w:bCs/>
                <w:kern w:val="22"/>
                <w:szCs w:val="22"/>
                <w:lang w:val="fr-FR"/>
              </w:rPr>
              <w:t>18 du Protocole</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131FA8BA" w14:textId="46BD4071" w:rsidR="00A0039C" w:rsidRPr="00AB2BEB" w:rsidRDefault="00A0039C" w:rsidP="00274B14">
            <w:pPr>
              <w:suppressLineNumbers/>
              <w:suppressAutoHyphens/>
              <w:spacing w:before="60" w:after="60"/>
              <w:jc w:val="left"/>
              <w:rPr>
                <w:rFonts w:eastAsia="MS Mincho"/>
                <w:kern w:val="22"/>
                <w:szCs w:val="22"/>
                <w:lang w:val="fr-FR"/>
              </w:rPr>
            </w:pPr>
            <w:r w:rsidRPr="00AB2BEB">
              <w:rPr>
                <w:rFonts w:eastAsia="MS Mincho"/>
                <w:szCs w:val="22"/>
                <w:lang w:val="fr-FR"/>
              </w:rPr>
              <w:lastRenderedPageBreak/>
              <w:t>1</w:t>
            </w:r>
            <w:r w:rsidRPr="00AB2BEB">
              <w:rPr>
                <w:rFonts w:eastAsia="MS Mincho"/>
                <w:kern w:val="22"/>
                <w:szCs w:val="22"/>
                <w:lang w:val="fr-FR"/>
              </w:rPr>
              <w:t xml:space="preserve">) </w:t>
            </w:r>
            <w:r w:rsidRPr="00AB2BEB">
              <w:rPr>
                <w:kern w:val="22"/>
                <w:szCs w:val="22"/>
                <w:lang w:val="fr-FR"/>
              </w:rPr>
              <w:t xml:space="preserve">Mise en place de systèmes nationaux </w:t>
            </w:r>
            <w:r w:rsidRPr="00AB2BEB">
              <w:rPr>
                <w:kern w:val="22"/>
                <w:szCs w:val="22"/>
                <w:lang w:val="fr-FR"/>
              </w:rPr>
              <w:lastRenderedPageBreak/>
              <w:t>fonctionnels pour la manipulation, le transport, l</w:t>
            </w:r>
            <w:r w:rsidR="004645B4" w:rsidRPr="00AB2BEB">
              <w:rPr>
                <w:kern w:val="22"/>
                <w:szCs w:val="22"/>
                <w:lang w:val="fr-FR"/>
              </w:rPr>
              <w:t>’</w:t>
            </w:r>
            <w:r w:rsidRPr="00AB2BEB">
              <w:rPr>
                <w:kern w:val="22"/>
                <w:szCs w:val="22"/>
                <w:lang w:val="fr-FR"/>
              </w:rPr>
              <w:t>emballage et l</w:t>
            </w:r>
            <w:r w:rsidR="004645B4" w:rsidRPr="00AB2BEB">
              <w:rPr>
                <w:kern w:val="22"/>
                <w:szCs w:val="22"/>
                <w:lang w:val="fr-FR"/>
              </w:rPr>
              <w:t>’</w:t>
            </w:r>
            <w:r w:rsidRPr="00AB2BEB">
              <w:rPr>
                <w:kern w:val="22"/>
                <w:szCs w:val="22"/>
                <w:lang w:val="fr-FR"/>
              </w:rPr>
              <w:t>identification, y compris en ce qui concerne la documentation</w:t>
            </w:r>
            <w:r w:rsidR="00274B14">
              <w:rPr>
                <w:kern w:val="22"/>
                <w:szCs w:val="22"/>
                <w:lang w:val="fr-FR"/>
              </w:rPr>
              <w:t xml:space="preserve"> des OVM</w:t>
            </w:r>
            <w:r w:rsidRPr="00AB2BEB">
              <w:rPr>
                <w:rFonts w:eastAsia="MS Mincho"/>
                <w:kern w:val="22"/>
                <w:szCs w:val="22"/>
                <w:lang w:val="fr-FR"/>
              </w:rPr>
              <w:t>.</w:t>
            </w:r>
          </w:p>
          <w:p w14:paraId="131FA8BB" w14:textId="77777777" w:rsidR="00A0039C" w:rsidRPr="00AB2BEB" w:rsidRDefault="00A0039C" w:rsidP="00274B14">
            <w:pPr>
              <w:suppressLineNumbers/>
              <w:suppressAutoHyphens/>
              <w:spacing w:before="60" w:after="60"/>
              <w:jc w:val="left"/>
              <w:rPr>
                <w:rFonts w:eastAsia="MS Mincho"/>
                <w:kern w:val="22"/>
                <w:szCs w:val="22"/>
                <w:lang w:val="fr-FR"/>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31FA8BC" w14:textId="77777777" w:rsidR="00A0039C" w:rsidRPr="00AB2BEB" w:rsidRDefault="00A0039C"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lastRenderedPageBreak/>
              <w:t xml:space="preserve">i) Dispenser une formation aux autorités nationales compétentes </w:t>
            </w:r>
            <w:r w:rsidRPr="00AB2BEB">
              <w:rPr>
                <w:rFonts w:eastAsia="MS Mincho"/>
                <w:kern w:val="22"/>
                <w:szCs w:val="22"/>
                <w:lang w:val="fr-FR"/>
              </w:rPr>
              <w:lastRenderedPageBreak/>
              <w:t>concernées en matière de manipulation, transport, emballage et identification des OVM.</w:t>
            </w:r>
          </w:p>
          <w:p w14:paraId="131FA8BD" w14:textId="77777777" w:rsidR="00A0039C" w:rsidRPr="00AB2BEB" w:rsidRDefault="00A0039C" w:rsidP="00274B14">
            <w:pPr>
              <w:suppressLineNumbers/>
              <w:suppressAutoHyphens/>
              <w:spacing w:before="60" w:after="60"/>
              <w:jc w:val="left"/>
              <w:rPr>
                <w:rFonts w:eastAsia="MS Mincho"/>
                <w:kern w:val="22"/>
                <w:szCs w:val="22"/>
                <w:lang w:val="fr-FR"/>
              </w:rPr>
            </w:pPr>
          </w:p>
        </w:tc>
        <w:tc>
          <w:tcPr>
            <w:tcW w:w="3261" w:type="dxa"/>
            <w:tcBorders>
              <w:top w:val="single" w:sz="4" w:space="0" w:color="auto"/>
              <w:left w:val="single" w:sz="4" w:space="0" w:color="auto"/>
              <w:bottom w:val="single" w:sz="4" w:space="0" w:color="auto"/>
              <w:right w:val="single" w:sz="4" w:space="0" w:color="auto"/>
            </w:tcBorders>
          </w:tcPr>
          <w:p w14:paraId="131FA8BE" w14:textId="3C5F7B69" w:rsidR="00A0039C" w:rsidRPr="00AB2BEB" w:rsidRDefault="00A0039C" w:rsidP="00274B14">
            <w:pPr>
              <w:suppressLineNumbers/>
              <w:suppressAutoHyphens/>
              <w:spacing w:before="60" w:after="60"/>
              <w:jc w:val="left"/>
              <w:rPr>
                <w:rFonts w:eastAsia="MS Mincho"/>
                <w:kern w:val="22"/>
                <w:szCs w:val="22"/>
                <w:lang w:val="fr-FR"/>
              </w:rPr>
            </w:pPr>
            <w:r w:rsidRPr="00AB2BEB">
              <w:rPr>
                <w:rFonts w:eastAsia="MS Mincho"/>
                <w:szCs w:val="22"/>
                <w:lang w:val="fr-FR"/>
              </w:rPr>
              <w:lastRenderedPageBreak/>
              <w:t xml:space="preserve">a) Pourcentage de Parties ayant le personnel habilité en matière de </w:t>
            </w:r>
            <w:r w:rsidRPr="00AB2BEB">
              <w:rPr>
                <w:rFonts w:eastAsia="MS Mincho"/>
                <w:szCs w:val="22"/>
                <w:lang w:val="fr-FR"/>
              </w:rPr>
              <w:lastRenderedPageBreak/>
              <w:t xml:space="preserve">vérification de la documentation accompagnant les envois </w:t>
            </w:r>
            <w:r w:rsidR="00A94572" w:rsidRPr="00AB2BEB">
              <w:rPr>
                <w:rFonts w:eastAsia="MS Mincho"/>
                <w:szCs w:val="22"/>
                <w:lang w:val="fr-FR"/>
              </w:rPr>
              <w:t>d’OVM</w:t>
            </w:r>
            <w:r w:rsidR="00C96D21">
              <w:rPr>
                <w:rFonts w:eastAsia="MS Mincho"/>
                <w:szCs w:val="22"/>
                <w:lang w:val="fr-FR"/>
              </w:rPr>
              <w:t>;</w:t>
            </w:r>
          </w:p>
          <w:p w14:paraId="131FA8BF" w14:textId="77777777" w:rsidR="00A0039C" w:rsidRPr="00AB2BEB" w:rsidRDefault="00A0039C" w:rsidP="00A1656C">
            <w:pPr>
              <w:suppressLineNumbers/>
              <w:suppressAutoHyphens/>
              <w:spacing w:before="60" w:after="60"/>
              <w:jc w:val="left"/>
              <w:rPr>
                <w:rFonts w:eastAsia="MS Mincho"/>
                <w:kern w:val="22"/>
                <w:szCs w:val="22"/>
                <w:highlight w:val="yellow"/>
                <w:lang w:val="fr-FR"/>
              </w:rPr>
            </w:pPr>
            <w:r w:rsidRPr="00AB2BEB">
              <w:rPr>
                <w:rFonts w:eastAsia="MS Mincho"/>
                <w:szCs w:val="22"/>
                <w:lang w:val="fr-FR"/>
              </w:rPr>
              <w:t>b</w:t>
            </w:r>
            <w:r w:rsidR="00A1656C" w:rsidRPr="00AB2BEB">
              <w:rPr>
                <w:rFonts w:eastAsia="MS Mincho"/>
                <w:szCs w:val="22"/>
                <w:lang w:val="fr-FR"/>
              </w:rPr>
              <w:t xml:space="preserve">) Pourcentage de Parties ayant </w:t>
            </w:r>
            <w:r w:rsidRPr="00AB2BEB">
              <w:rPr>
                <w:rFonts w:eastAsia="MS Mincho"/>
                <w:szCs w:val="22"/>
                <w:lang w:val="fr-FR"/>
              </w:rPr>
              <w:t>été formées</w:t>
            </w:r>
            <w:r w:rsidR="00A1656C" w:rsidRPr="00AB2BEB">
              <w:rPr>
                <w:rFonts w:eastAsia="MS Mincho"/>
                <w:szCs w:val="22"/>
                <w:lang w:val="fr-FR"/>
              </w:rPr>
              <w:t xml:space="preserve"> </w:t>
            </w:r>
            <w:r w:rsidRPr="00AB2BEB">
              <w:rPr>
                <w:rFonts w:eastAsia="MS Mincho"/>
                <w:szCs w:val="22"/>
                <w:lang w:val="fr-FR"/>
              </w:rPr>
              <w:t xml:space="preserve">en matière de manipulation, transport, </w:t>
            </w:r>
            <w:r w:rsidR="00A1656C" w:rsidRPr="00AB2BEB">
              <w:rPr>
                <w:rFonts w:eastAsia="MS Mincho"/>
                <w:szCs w:val="22"/>
                <w:lang w:val="fr-FR"/>
              </w:rPr>
              <w:t xml:space="preserve">emballage et </w:t>
            </w:r>
            <w:r w:rsidRPr="00AB2BEB">
              <w:rPr>
                <w:rFonts w:eastAsia="MS Mincho"/>
                <w:szCs w:val="22"/>
                <w:lang w:val="fr-FR"/>
              </w:rPr>
              <w:t>identification des OVM.</w:t>
            </w:r>
          </w:p>
        </w:tc>
        <w:tc>
          <w:tcPr>
            <w:tcW w:w="2835" w:type="dxa"/>
            <w:tcBorders>
              <w:top w:val="single" w:sz="4" w:space="0" w:color="auto"/>
              <w:left w:val="single" w:sz="4" w:space="0" w:color="auto"/>
              <w:bottom w:val="single" w:sz="4" w:space="0" w:color="auto"/>
              <w:right w:val="single" w:sz="4" w:space="0" w:color="auto"/>
            </w:tcBorders>
          </w:tcPr>
          <w:p w14:paraId="131FA8C0" w14:textId="77777777" w:rsidR="00A0039C" w:rsidRPr="00AB2BEB" w:rsidRDefault="00A0039C" w:rsidP="00274B14">
            <w:pPr>
              <w:suppressLineNumbers/>
              <w:suppressAutoHyphens/>
              <w:spacing w:before="60" w:after="60"/>
              <w:jc w:val="left"/>
              <w:rPr>
                <w:rFonts w:eastAsia="MS Mincho"/>
                <w:kern w:val="22"/>
                <w:szCs w:val="22"/>
                <w:lang w:val="fr-FR"/>
              </w:rPr>
            </w:pPr>
            <w:r w:rsidRPr="00AB2BEB">
              <w:rPr>
                <w:kern w:val="22"/>
                <w:szCs w:val="22"/>
                <w:lang w:val="fr-FR"/>
              </w:rPr>
              <w:lastRenderedPageBreak/>
              <w:t xml:space="preserve">Grâce à une manipulation, un transport, un emballage et </w:t>
            </w:r>
            <w:r w:rsidRPr="00AB2BEB">
              <w:rPr>
                <w:kern w:val="22"/>
                <w:szCs w:val="22"/>
                <w:lang w:val="fr-FR"/>
              </w:rPr>
              <w:lastRenderedPageBreak/>
              <w:t>une identification appropriés des OVM, les Parties sont en mesure de gérer en toute sécurité les mouvements transfrontières intentionnels d</w:t>
            </w:r>
            <w:r w:rsidR="004645B4" w:rsidRPr="00AB2BEB">
              <w:rPr>
                <w:kern w:val="22"/>
                <w:szCs w:val="22"/>
                <w:lang w:val="fr-FR"/>
              </w:rPr>
              <w:t>’</w:t>
            </w:r>
            <w:r w:rsidRPr="00AB2BEB">
              <w:rPr>
                <w:kern w:val="22"/>
                <w:szCs w:val="22"/>
                <w:lang w:val="fr-FR"/>
              </w:rPr>
              <w:t>OVM.</w:t>
            </w:r>
          </w:p>
        </w:tc>
      </w:tr>
      <w:tr w:rsidR="00B22630" w:rsidRPr="00597279" w14:paraId="131FA8D0" w14:textId="77777777" w:rsidTr="00274B14">
        <w:trPr>
          <w:jc w:val="center"/>
        </w:trPr>
        <w:tc>
          <w:tcPr>
            <w:tcW w:w="1705" w:type="dxa"/>
            <w:tcBorders>
              <w:top w:val="single" w:sz="4" w:space="0" w:color="auto"/>
              <w:left w:val="single" w:sz="4" w:space="0" w:color="auto"/>
              <w:bottom w:val="single" w:sz="4" w:space="0" w:color="auto"/>
              <w:right w:val="single" w:sz="4" w:space="0" w:color="auto"/>
            </w:tcBorders>
          </w:tcPr>
          <w:p w14:paraId="131FA8C2" w14:textId="61F65931" w:rsidR="00B22630" w:rsidRPr="00AB2BEB" w:rsidRDefault="00B22630" w:rsidP="00274B14">
            <w:pPr>
              <w:suppressLineNumbers/>
              <w:suppressAutoHyphens/>
              <w:spacing w:before="60" w:after="60"/>
              <w:jc w:val="left"/>
              <w:rPr>
                <w:rFonts w:eastAsia="MS Mincho"/>
                <w:kern w:val="22"/>
                <w:szCs w:val="22"/>
                <w:lang w:val="fr-FR"/>
              </w:rPr>
            </w:pPr>
            <w:r w:rsidRPr="00AB2BEB">
              <w:rPr>
                <w:b/>
                <w:bCs/>
                <w:kern w:val="22"/>
                <w:szCs w:val="22"/>
                <w:lang w:val="fr-FR"/>
              </w:rPr>
              <w:lastRenderedPageBreak/>
              <w:t>A.8. Les Parties sont en mesure de détecter et d</w:t>
            </w:r>
            <w:r w:rsidR="004645B4" w:rsidRPr="00AB2BEB">
              <w:rPr>
                <w:b/>
                <w:bCs/>
                <w:kern w:val="22"/>
                <w:szCs w:val="22"/>
                <w:lang w:val="fr-FR"/>
              </w:rPr>
              <w:t>’</w:t>
            </w:r>
            <w:r w:rsidR="00261555">
              <w:rPr>
                <w:b/>
                <w:bCs/>
                <w:kern w:val="22"/>
                <w:szCs w:val="22"/>
                <w:lang w:val="fr-FR"/>
              </w:rPr>
              <w:t>identifier les OVM</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131FA8C3" w14:textId="595A2D2C" w:rsidR="00B22630" w:rsidRPr="00AB2BEB" w:rsidRDefault="00B22630" w:rsidP="00274B14">
            <w:pPr>
              <w:jc w:val="left"/>
              <w:rPr>
                <w:rFonts w:eastAsia="MS Mincho"/>
                <w:kern w:val="22"/>
                <w:szCs w:val="22"/>
                <w:lang w:val="fr-FR"/>
              </w:rPr>
            </w:pPr>
            <w:r w:rsidRPr="00AB2BEB">
              <w:rPr>
                <w:kern w:val="22"/>
                <w:szCs w:val="22"/>
                <w:lang w:val="fr-FR"/>
              </w:rPr>
              <w:t>1) Élaboration, si besoin, et accès au matériel ressource, aux procédures et aux informations sur l</w:t>
            </w:r>
            <w:r w:rsidR="004645B4" w:rsidRPr="00AB2BEB">
              <w:rPr>
                <w:kern w:val="22"/>
                <w:szCs w:val="22"/>
                <w:lang w:val="fr-FR"/>
              </w:rPr>
              <w:t>’</w:t>
            </w:r>
            <w:r w:rsidRPr="00AB2BEB">
              <w:rPr>
                <w:kern w:val="22"/>
                <w:szCs w:val="22"/>
                <w:lang w:val="fr-FR"/>
              </w:rPr>
              <w:t>échantillonnage, la détection et l</w:t>
            </w:r>
            <w:r w:rsidR="004645B4" w:rsidRPr="00AB2BEB">
              <w:rPr>
                <w:kern w:val="22"/>
                <w:szCs w:val="22"/>
                <w:lang w:val="fr-FR"/>
              </w:rPr>
              <w:t>’</w:t>
            </w:r>
            <w:r w:rsidRPr="00AB2BEB">
              <w:rPr>
                <w:kern w:val="22"/>
                <w:szCs w:val="22"/>
                <w:lang w:val="fr-FR"/>
              </w:rPr>
              <w:t xml:space="preserve">identification des </w:t>
            </w:r>
            <w:r w:rsidR="00A94572" w:rsidRPr="00AB2BEB">
              <w:rPr>
                <w:kern w:val="22"/>
                <w:szCs w:val="22"/>
                <w:lang w:val="fr-FR"/>
              </w:rPr>
              <w:t>OVM</w:t>
            </w:r>
            <w:r w:rsidR="00C96D21">
              <w:rPr>
                <w:kern w:val="22"/>
                <w:szCs w:val="22"/>
                <w:lang w:val="fr-FR"/>
              </w:rPr>
              <w:t>;</w:t>
            </w:r>
            <w:r w:rsidRPr="00AB2BEB">
              <w:rPr>
                <w:kern w:val="22"/>
                <w:szCs w:val="22"/>
                <w:lang w:val="fr-FR"/>
              </w:rPr>
              <w:t xml:space="preserve"> </w:t>
            </w:r>
          </w:p>
          <w:p w14:paraId="131FA8C4" w14:textId="212E5C28" w:rsidR="00B22630" w:rsidRPr="00AB2BEB" w:rsidRDefault="00B22630" w:rsidP="00184E31">
            <w:pPr>
              <w:spacing w:before="60"/>
              <w:jc w:val="left"/>
              <w:rPr>
                <w:rFonts w:eastAsia="MS Mincho"/>
                <w:kern w:val="22"/>
                <w:szCs w:val="22"/>
                <w:lang w:val="fr-FR"/>
              </w:rPr>
            </w:pPr>
            <w:r w:rsidRPr="00AB2BEB">
              <w:rPr>
                <w:kern w:val="22"/>
                <w:szCs w:val="22"/>
                <w:lang w:val="fr-FR"/>
              </w:rPr>
              <w:t>2) Renforcement des capacités des fonctionnaires et du personnel de laboratoire en matière d</w:t>
            </w:r>
            <w:r w:rsidR="004645B4" w:rsidRPr="00AB2BEB">
              <w:rPr>
                <w:kern w:val="22"/>
                <w:szCs w:val="22"/>
                <w:lang w:val="fr-FR"/>
              </w:rPr>
              <w:t>’</w:t>
            </w:r>
            <w:r w:rsidRPr="00AB2BEB">
              <w:rPr>
                <w:kern w:val="22"/>
                <w:szCs w:val="22"/>
                <w:lang w:val="fr-FR"/>
              </w:rPr>
              <w:t>échantillonnage, de détection et d</w:t>
            </w:r>
            <w:r w:rsidR="004645B4" w:rsidRPr="00AB2BEB">
              <w:rPr>
                <w:kern w:val="22"/>
                <w:szCs w:val="22"/>
                <w:lang w:val="fr-FR"/>
              </w:rPr>
              <w:t>’</w:t>
            </w:r>
            <w:r w:rsidRPr="00AB2BEB">
              <w:rPr>
                <w:kern w:val="22"/>
                <w:szCs w:val="22"/>
                <w:lang w:val="fr-FR"/>
              </w:rPr>
              <w:t xml:space="preserve">identification des </w:t>
            </w:r>
            <w:r w:rsidR="00A94572" w:rsidRPr="00AB2BEB">
              <w:rPr>
                <w:kern w:val="22"/>
                <w:szCs w:val="22"/>
                <w:lang w:val="fr-FR"/>
              </w:rPr>
              <w:t>OVM</w:t>
            </w:r>
            <w:r w:rsidR="00C96D21">
              <w:rPr>
                <w:kern w:val="22"/>
                <w:szCs w:val="22"/>
                <w:lang w:val="fr-FR"/>
              </w:rPr>
              <w:t>;</w:t>
            </w:r>
          </w:p>
          <w:p w14:paraId="131FA8C5" w14:textId="554606E2" w:rsidR="00B22630" w:rsidRPr="00AB2BEB" w:rsidRDefault="00274B14" w:rsidP="00184E31">
            <w:pPr>
              <w:spacing w:before="60"/>
              <w:jc w:val="left"/>
              <w:rPr>
                <w:rFonts w:eastAsia="MS Mincho"/>
                <w:kern w:val="22"/>
                <w:szCs w:val="22"/>
                <w:lang w:val="fr-FR"/>
              </w:rPr>
            </w:pPr>
            <w:r>
              <w:rPr>
                <w:kern w:val="22"/>
                <w:szCs w:val="22"/>
                <w:lang w:val="fr-FR"/>
              </w:rPr>
              <w:t xml:space="preserve">3) Accès à une </w:t>
            </w:r>
            <w:r w:rsidR="00B22630" w:rsidRPr="00AB2BEB">
              <w:rPr>
                <w:kern w:val="22"/>
                <w:szCs w:val="22"/>
                <w:lang w:val="fr-FR"/>
              </w:rPr>
              <w:t xml:space="preserve">infrastructure technique </w:t>
            </w:r>
            <w:r w:rsidR="00B22630" w:rsidRPr="00AB2BEB">
              <w:rPr>
                <w:kern w:val="22"/>
                <w:szCs w:val="22"/>
                <w:lang w:val="fr-FR"/>
              </w:rPr>
              <w:lastRenderedPageBreak/>
              <w:t>pour la détection et l</w:t>
            </w:r>
            <w:r w:rsidR="004645B4" w:rsidRPr="00AB2BEB">
              <w:rPr>
                <w:kern w:val="22"/>
                <w:szCs w:val="22"/>
                <w:lang w:val="fr-FR"/>
              </w:rPr>
              <w:t>’</w:t>
            </w:r>
            <w:r w:rsidR="00B22630" w:rsidRPr="00AB2BEB">
              <w:rPr>
                <w:kern w:val="22"/>
                <w:szCs w:val="22"/>
                <w:lang w:val="fr-FR"/>
              </w:rPr>
              <w:t xml:space="preserve">identification, incluant des matériels de référence </w:t>
            </w:r>
            <w:r w:rsidR="00A94572" w:rsidRPr="00AB2BEB">
              <w:rPr>
                <w:kern w:val="22"/>
                <w:szCs w:val="22"/>
                <w:lang w:val="fr-FR"/>
              </w:rPr>
              <w:t>certifiés</w:t>
            </w:r>
            <w:r w:rsidR="00C96D21">
              <w:rPr>
                <w:kern w:val="22"/>
                <w:szCs w:val="22"/>
                <w:lang w:val="fr-FR"/>
              </w:rPr>
              <w:t>;</w:t>
            </w:r>
          </w:p>
          <w:p w14:paraId="131FA8C6" w14:textId="6E11EFE5" w:rsidR="00B22630" w:rsidRPr="00AB2BEB" w:rsidRDefault="00B22630" w:rsidP="00274B14">
            <w:pPr>
              <w:suppressLineNumbers/>
              <w:suppressAutoHyphens/>
              <w:spacing w:before="60" w:after="60"/>
              <w:jc w:val="left"/>
              <w:rPr>
                <w:rFonts w:eastAsia="MS Mincho"/>
                <w:kern w:val="22"/>
                <w:szCs w:val="22"/>
                <w:lang w:val="fr-FR"/>
              </w:rPr>
            </w:pPr>
            <w:r w:rsidRPr="00AB2BEB">
              <w:rPr>
                <w:kern w:val="22"/>
                <w:szCs w:val="22"/>
                <w:lang w:val="fr-FR"/>
              </w:rPr>
              <w:t>4) Renforcement de la collaboration, notamment par l</w:t>
            </w:r>
            <w:r w:rsidR="004645B4" w:rsidRPr="00AB2BEB">
              <w:rPr>
                <w:kern w:val="22"/>
                <w:szCs w:val="22"/>
                <w:lang w:val="fr-FR"/>
              </w:rPr>
              <w:t>’</w:t>
            </w:r>
            <w:r w:rsidRPr="00AB2BEB">
              <w:rPr>
                <w:kern w:val="22"/>
                <w:szCs w:val="22"/>
                <w:lang w:val="fr-FR"/>
              </w:rPr>
              <w:t>intermédiaire de réseaux de laboratoires</w:t>
            </w:r>
            <w:r w:rsidR="00274B14">
              <w:rPr>
                <w:kern w:val="22"/>
                <w:szCs w:val="22"/>
                <w:lang w:val="fr-FR"/>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31FA8C7" w14:textId="0DF871DD" w:rsidR="00B22630" w:rsidRPr="00AB2BEB" w:rsidRDefault="00B22630" w:rsidP="00274B14">
            <w:pPr>
              <w:jc w:val="left"/>
              <w:rPr>
                <w:rFonts w:eastAsia="MS Mincho"/>
                <w:kern w:val="22"/>
                <w:szCs w:val="22"/>
                <w:lang w:val="fr-FR"/>
              </w:rPr>
            </w:pPr>
            <w:r w:rsidRPr="00AB2BEB">
              <w:rPr>
                <w:kern w:val="22"/>
                <w:szCs w:val="22"/>
                <w:lang w:val="fr-FR"/>
              </w:rPr>
              <w:lastRenderedPageBreak/>
              <w:t>i) Assurer une formation sur les méthodologies et les protocoles d</w:t>
            </w:r>
            <w:r w:rsidR="004645B4" w:rsidRPr="00AB2BEB">
              <w:rPr>
                <w:kern w:val="22"/>
                <w:szCs w:val="22"/>
                <w:lang w:val="fr-FR"/>
              </w:rPr>
              <w:t>’</w:t>
            </w:r>
            <w:r w:rsidRPr="00AB2BEB">
              <w:rPr>
                <w:kern w:val="22"/>
                <w:szCs w:val="22"/>
                <w:lang w:val="fr-FR"/>
              </w:rPr>
              <w:t>échantillonnage, de détection et d</w:t>
            </w:r>
            <w:r w:rsidR="004645B4" w:rsidRPr="00AB2BEB">
              <w:rPr>
                <w:kern w:val="22"/>
                <w:szCs w:val="22"/>
                <w:lang w:val="fr-FR"/>
              </w:rPr>
              <w:t>’</w:t>
            </w:r>
            <w:r w:rsidRPr="00AB2BEB">
              <w:rPr>
                <w:kern w:val="22"/>
                <w:szCs w:val="22"/>
                <w:lang w:val="fr-FR"/>
              </w:rPr>
              <w:t xml:space="preserve">identification des </w:t>
            </w:r>
            <w:r w:rsidR="00A94572" w:rsidRPr="00AB2BEB">
              <w:rPr>
                <w:kern w:val="22"/>
                <w:szCs w:val="22"/>
                <w:lang w:val="fr-FR"/>
              </w:rPr>
              <w:t>OVM</w:t>
            </w:r>
            <w:r w:rsidR="00C96D21">
              <w:rPr>
                <w:kern w:val="22"/>
                <w:szCs w:val="22"/>
                <w:lang w:val="fr-FR"/>
              </w:rPr>
              <w:t>;</w:t>
            </w:r>
          </w:p>
          <w:p w14:paraId="131FA8C8" w14:textId="7BFC1D5E" w:rsidR="00B22630" w:rsidRPr="00AB2BEB" w:rsidRDefault="00B22630" w:rsidP="00184E31">
            <w:pPr>
              <w:spacing w:before="60"/>
              <w:jc w:val="left"/>
              <w:rPr>
                <w:rFonts w:eastAsia="MS Mincho"/>
                <w:kern w:val="22"/>
                <w:szCs w:val="22"/>
                <w:lang w:val="fr-FR"/>
              </w:rPr>
            </w:pPr>
            <w:r w:rsidRPr="00AB2BEB">
              <w:rPr>
                <w:kern w:val="22"/>
                <w:szCs w:val="22"/>
                <w:lang w:val="fr-FR"/>
              </w:rPr>
              <w:t>ii) Faciliter l</w:t>
            </w:r>
            <w:r w:rsidR="004645B4" w:rsidRPr="00AB2BEB">
              <w:rPr>
                <w:kern w:val="22"/>
                <w:szCs w:val="22"/>
                <w:lang w:val="fr-FR"/>
              </w:rPr>
              <w:t>’</w:t>
            </w:r>
            <w:r w:rsidRPr="00AB2BEB">
              <w:rPr>
                <w:kern w:val="22"/>
                <w:szCs w:val="22"/>
                <w:lang w:val="fr-FR"/>
              </w:rPr>
              <w:t>accès et mettre en place des infrastructures de détection et d</w:t>
            </w:r>
            <w:r w:rsidR="004645B4" w:rsidRPr="00AB2BEB">
              <w:rPr>
                <w:kern w:val="22"/>
                <w:szCs w:val="22"/>
                <w:lang w:val="fr-FR"/>
              </w:rPr>
              <w:t>’</w:t>
            </w:r>
            <w:r w:rsidRPr="00AB2BEB">
              <w:rPr>
                <w:kern w:val="22"/>
                <w:szCs w:val="22"/>
                <w:lang w:val="fr-FR"/>
              </w:rPr>
              <w:t xml:space="preserve">identification des OVM, y compris des laboratoires accrédités, des produits et matériels de référence </w:t>
            </w:r>
            <w:r w:rsidR="00A94572" w:rsidRPr="00AB2BEB">
              <w:rPr>
                <w:kern w:val="22"/>
                <w:szCs w:val="22"/>
                <w:lang w:val="fr-FR"/>
              </w:rPr>
              <w:t>certifiés</w:t>
            </w:r>
            <w:r w:rsidR="00C96D21">
              <w:rPr>
                <w:kern w:val="22"/>
                <w:szCs w:val="22"/>
                <w:lang w:val="fr-FR"/>
              </w:rPr>
              <w:t>;</w:t>
            </w:r>
          </w:p>
          <w:p w14:paraId="131FA8C9" w14:textId="77777777" w:rsidR="00B22630" w:rsidRPr="00AB2BEB" w:rsidRDefault="00B22630" w:rsidP="00274B14">
            <w:pPr>
              <w:suppressLineNumbers/>
              <w:suppressAutoHyphens/>
              <w:spacing w:before="60" w:after="60"/>
              <w:jc w:val="left"/>
              <w:rPr>
                <w:rFonts w:eastAsia="MS Mincho"/>
                <w:kern w:val="22"/>
                <w:szCs w:val="22"/>
                <w:lang w:val="fr-FR"/>
              </w:rPr>
            </w:pPr>
            <w:r w:rsidRPr="00AB2BEB">
              <w:rPr>
                <w:kern w:val="22"/>
                <w:szCs w:val="22"/>
                <w:lang w:val="fr-FR"/>
              </w:rPr>
              <w:t>iii) Créer, renforcer et maintenir des réseaux de laboratoires pour la détection et l</w:t>
            </w:r>
            <w:r w:rsidR="004645B4" w:rsidRPr="00AB2BEB">
              <w:rPr>
                <w:kern w:val="22"/>
                <w:szCs w:val="22"/>
                <w:lang w:val="fr-FR"/>
              </w:rPr>
              <w:t>’</w:t>
            </w:r>
            <w:r w:rsidRPr="00AB2BEB">
              <w:rPr>
                <w:kern w:val="22"/>
                <w:szCs w:val="22"/>
                <w:lang w:val="fr-FR"/>
              </w:rPr>
              <w:t>identification des OVM.</w:t>
            </w:r>
          </w:p>
        </w:tc>
        <w:tc>
          <w:tcPr>
            <w:tcW w:w="3261" w:type="dxa"/>
            <w:tcBorders>
              <w:top w:val="single" w:sz="4" w:space="0" w:color="auto"/>
              <w:left w:val="single" w:sz="4" w:space="0" w:color="auto"/>
              <w:bottom w:val="single" w:sz="4" w:space="0" w:color="auto"/>
              <w:right w:val="single" w:sz="4" w:space="0" w:color="auto"/>
            </w:tcBorders>
          </w:tcPr>
          <w:p w14:paraId="131FA8CA" w14:textId="17154B7F"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szCs w:val="22"/>
                <w:lang w:val="fr-FR"/>
              </w:rPr>
              <w:t>a) Pourcentage de Parties formées aux méthodes et protocoles d</w:t>
            </w:r>
            <w:r w:rsidR="004645B4" w:rsidRPr="00AB2BEB">
              <w:rPr>
                <w:rFonts w:eastAsia="MS Mincho"/>
                <w:szCs w:val="22"/>
                <w:lang w:val="fr-FR"/>
              </w:rPr>
              <w:t>’</w:t>
            </w:r>
            <w:r w:rsidRPr="00AB2BEB">
              <w:rPr>
                <w:rFonts w:eastAsia="MS Mincho"/>
                <w:szCs w:val="22"/>
                <w:lang w:val="fr-FR"/>
              </w:rPr>
              <w:t>échantillonnage, de détection et d</w:t>
            </w:r>
            <w:r w:rsidR="004645B4" w:rsidRPr="00AB2BEB">
              <w:rPr>
                <w:rFonts w:eastAsia="MS Mincho"/>
                <w:szCs w:val="22"/>
                <w:lang w:val="fr-FR"/>
              </w:rPr>
              <w:t>’</w:t>
            </w:r>
            <w:r w:rsidRPr="00AB2BEB">
              <w:rPr>
                <w:rFonts w:eastAsia="MS Mincho"/>
                <w:szCs w:val="22"/>
                <w:lang w:val="fr-FR"/>
              </w:rPr>
              <w:t xml:space="preserve">identification des </w:t>
            </w:r>
            <w:r w:rsidR="00A94572" w:rsidRPr="00AB2BEB">
              <w:rPr>
                <w:rFonts w:eastAsia="MS Mincho"/>
                <w:szCs w:val="22"/>
                <w:lang w:val="fr-FR"/>
              </w:rPr>
              <w:t>OVM</w:t>
            </w:r>
            <w:r w:rsidR="00C96D21">
              <w:rPr>
                <w:rFonts w:eastAsia="MS Mincho"/>
                <w:szCs w:val="22"/>
                <w:lang w:val="fr-FR"/>
              </w:rPr>
              <w:t>;</w:t>
            </w:r>
          </w:p>
          <w:p w14:paraId="131FA8CB" w14:textId="79D47B93"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b) Pourcentage de Parties ayant accès à des infrastructures d</w:t>
            </w:r>
            <w:r w:rsidR="004645B4" w:rsidRPr="00AB2BEB">
              <w:rPr>
                <w:rFonts w:eastAsia="MS Mincho"/>
                <w:kern w:val="22"/>
                <w:szCs w:val="22"/>
                <w:lang w:val="fr-FR"/>
              </w:rPr>
              <w:t>’</w:t>
            </w:r>
            <w:r w:rsidRPr="00AB2BEB">
              <w:rPr>
                <w:rFonts w:eastAsia="MS Mincho"/>
                <w:kern w:val="22"/>
                <w:szCs w:val="22"/>
                <w:lang w:val="fr-FR"/>
              </w:rPr>
              <w:t>échantillonnage, de détection et d</w:t>
            </w:r>
            <w:r w:rsidR="004645B4" w:rsidRPr="00AB2BEB">
              <w:rPr>
                <w:rFonts w:eastAsia="MS Mincho"/>
                <w:kern w:val="22"/>
                <w:szCs w:val="22"/>
                <w:lang w:val="fr-FR"/>
              </w:rPr>
              <w:t>’</w:t>
            </w:r>
            <w:r w:rsidRPr="00AB2BEB">
              <w:rPr>
                <w:rFonts w:eastAsia="MS Mincho"/>
                <w:kern w:val="22"/>
                <w:szCs w:val="22"/>
                <w:lang w:val="fr-FR"/>
              </w:rPr>
              <w:t xml:space="preserve">identification des </w:t>
            </w:r>
            <w:r w:rsidR="00A94572" w:rsidRPr="00AB2BEB">
              <w:rPr>
                <w:rFonts w:eastAsia="MS Mincho"/>
                <w:kern w:val="22"/>
                <w:szCs w:val="22"/>
                <w:lang w:val="fr-FR"/>
              </w:rPr>
              <w:t>OVM</w:t>
            </w:r>
            <w:r w:rsidR="00C96D21">
              <w:rPr>
                <w:rFonts w:eastAsia="MS Mincho"/>
                <w:kern w:val="22"/>
                <w:szCs w:val="22"/>
                <w:lang w:val="fr-FR"/>
              </w:rPr>
              <w:t>;</w:t>
            </w:r>
          </w:p>
          <w:p w14:paraId="131FA8CC" w14:textId="7235708A"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 xml:space="preserve">c) Pourcentage de Parties ayant mis en place des laboratoires </w:t>
            </w:r>
            <w:r w:rsidR="00A94572" w:rsidRPr="00AB2BEB">
              <w:rPr>
                <w:rFonts w:eastAsia="MS Mincho"/>
                <w:kern w:val="22"/>
                <w:szCs w:val="22"/>
                <w:lang w:val="fr-FR"/>
              </w:rPr>
              <w:t>accrédités</w:t>
            </w:r>
            <w:r w:rsidR="00C96D21">
              <w:rPr>
                <w:rFonts w:eastAsia="MS Mincho"/>
                <w:kern w:val="22"/>
                <w:szCs w:val="22"/>
                <w:lang w:val="fr-FR"/>
              </w:rPr>
              <w:t>;</w:t>
            </w:r>
          </w:p>
          <w:p w14:paraId="131FA8CD" w14:textId="77777777"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szCs w:val="22"/>
                <w:lang w:val="fr-FR"/>
              </w:rPr>
              <w:t>d) Pourcentage de Parties étant membres de réseaux de laboratoires de détection et d</w:t>
            </w:r>
            <w:r w:rsidR="004645B4" w:rsidRPr="00AB2BEB">
              <w:rPr>
                <w:rFonts w:eastAsia="MS Mincho"/>
                <w:szCs w:val="22"/>
                <w:lang w:val="fr-FR"/>
              </w:rPr>
              <w:t>’</w:t>
            </w:r>
            <w:r w:rsidRPr="00AB2BEB">
              <w:rPr>
                <w:rFonts w:eastAsia="MS Mincho"/>
                <w:szCs w:val="22"/>
                <w:lang w:val="fr-FR"/>
              </w:rPr>
              <w:t>identification des OVM.</w:t>
            </w:r>
          </w:p>
        </w:tc>
        <w:tc>
          <w:tcPr>
            <w:tcW w:w="2835" w:type="dxa"/>
            <w:tcBorders>
              <w:top w:val="single" w:sz="4" w:space="0" w:color="auto"/>
              <w:left w:val="single" w:sz="4" w:space="0" w:color="auto"/>
              <w:bottom w:val="single" w:sz="4" w:space="0" w:color="auto"/>
              <w:right w:val="single" w:sz="4" w:space="0" w:color="auto"/>
            </w:tcBorders>
          </w:tcPr>
          <w:p w14:paraId="131FA8CE" w14:textId="2187AC57" w:rsidR="00B22630" w:rsidRPr="00AB2BEB" w:rsidRDefault="00B22630" w:rsidP="00274B14">
            <w:pPr>
              <w:suppressLineNumbers/>
              <w:suppressAutoHyphens/>
              <w:spacing w:before="60" w:after="60"/>
              <w:jc w:val="left"/>
              <w:rPr>
                <w:kern w:val="22"/>
                <w:szCs w:val="22"/>
                <w:lang w:val="fr-FR"/>
              </w:rPr>
            </w:pPr>
            <w:r w:rsidRPr="00AB2BEB">
              <w:rPr>
                <w:kern w:val="22"/>
                <w:szCs w:val="22"/>
                <w:lang w:val="fr-FR"/>
              </w:rPr>
              <w:t>En détectant les OVM et en les identifiant, les Parties sont en mesure de faire face aux mouvements transfrontières non intentionnels et illicites et de respecter les exigences en matière de manipulation, de transport, d</w:t>
            </w:r>
            <w:r w:rsidR="004645B4" w:rsidRPr="00AB2BEB">
              <w:rPr>
                <w:kern w:val="22"/>
                <w:szCs w:val="22"/>
                <w:lang w:val="fr-FR"/>
              </w:rPr>
              <w:t>’</w:t>
            </w:r>
            <w:r w:rsidRPr="00AB2BEB">
              <w:rPr>
                <w:kern w:val="22"/>
                <w:szCs w:val="22"/>
                <w:lang w:val="fr-FR"/>
              </w:rPr>
              <w:t>emballage et d</w:t>
            </w:r>
            <w:r w:rsidR="004645B4" w:rsidRPr="00AB2BEB">
              <w:rPr>
                <w:kern w:val="22"/>
                <w:szCs w:val="22"/>
                <w:lang w:val="fr-FR"/>
              </w:rPr>
              <w:t>’</w:t>
            </w:r>
            <w:r w:rsidRPr="00AB2BEB">
              <w:rPr>
                <w:kern w:val="22"/>
                <w:szCs w:val="22"/>
                <w:lang w:val="fr-FR"/>
              </w:rPr>
              <w:t xml:space="preserve">identification des OVM, conformément au </w:t>
            </w:r>
            <w:r w:rsidR="00A94572" w:rsidRPr="00AB2BEB">
              <w:rPr>
                <w:kern w:val="22"/>
                <w:szCs w:val="22"/>
                <w:lang w:val="fr-FR"/>
              </w:rPr>
              <w:t>Protocole</w:t>
            </w:r>
            <w:r w:rsidR="00C96D21">
              <w:rPr>
                <w:kern w:val="22"/>
                <w:szCs w:val="22"/>
                <w:lang w:val="fr-FR"/>
              </w:rPr>
              <w:t>;</w:t>
            </w:r>
          </w:p>
          <w:p w14:paraId="131FA8CF" w14:textId="77777777" w:rsidR="00B22630" w:rsidRPr="00AB2BEB" w:rsidRDefault="00B22630" w:rsidP="00274B14">
            <w:pPr>
              <w:suppressLineNumbers/>
              <w:suppressAutoHyphens/>
              <w:spacing w:before="60" w:after="60"/>
              <w:jc w:val="left"/>
              <w:rPr>
                <w:rFonts w:eastAsia="MS Mincho"/>
                <w:kern w:val="22"/>
                <w:szCs w:val="22"/>
                <w:lang w:val="fr-FR"/>
              </w:rPr>
            </w:pPr>
            <w:r w:rsidRPr="00AB2BEB">
              <w:rPr>
                <w:kern w:val="22"/>
                <w:szCs w:val="22"/>
                <w:lang w:val="fr-FR"/>
              </w:rPr>
              <w:t>Le partage d</w:t>
            </w:r>
            <w:r w:rsidR="004645B4" w:rsidRPr="00AB2BEB">
              <w:rPr>
                <w:kern w:val="22"/>
                <w:szCs w:val="22"/>
                <w:lang w:val="fr-FR"/>
              </w:rPr>
              <w:t>’</w:t>
            </w:r>
            <w:r w:rsidRPr="00AB2BEB">
              <w:rPr>
                <w:kern w:val="22"/>
                <w:szCs w:val="22"/>
                <w:lang w:val="fr-FR"/>
              </w:rPr>
              <w:t>informations et de programmes d</w:t>
            </w:r>
            <w:r w:rsidR="004645B4" w:rsidRPr="00AB2BEB">
              <w:rPr>
                <w:kern w:val="22"/>
                <w:szCs w:val="22"/>
                <w:lang w:val="fr-FR"/>
              </w:rPr>
              <w:t>’</w:t>
            </w:r>
            <w:r w:rsidRPr="00AB2BEB">
              <w:rPr>
                <w:kern w:val="22"/>
                <w:szCs w:val="22"/>
                <w:lang w:val="fr-FR"/>
              </w:rPr>
              <w:t>assurance de la qualité dans les réseaux de laboratoires favorise des résultats d</w:t>
            </w:r>
            <w:r w:rsidR="004645B4" w:rsidRPr="00AB2BEB">
              <w:rPr>
                <w:kern w:val="22"/>
                <w:szCs w:val="22"/>
                <w:lang w:val="fr-FR"/>
              </w:rPr>
              <w:t>’</w:t>
            </w:r>
            <w:r w:rsidRPr="00AB2BEB">
              <w:rPr>
                <w:kern w:val="22"/>
                <w:szCs w:val="22"/>
                <w:lang w:val="fr-FR"/>
              </w:rPr>
              <w:t>analyse précis, robustes et fiables et des procédures efficaces.</w:t>
            </w:r>
          </w:p>
        </w:tc>
      </w:tr>
      <w:tr w:rsidR="00B22630" w:rsidRPr="00597279" w14:paraId="131FA8DD" w14:textId="77777777" w:rsidTr="00BB18BE">
        <w:trPr>
          <w:trHeight w:val="752"/>
          <w:jc w:val="center"/>
        </w:trPr>
        <w:tc>
          <w:tcPr>
            <w:tcW w:w="1705" w:type="dxa"/>
            <w:tcBorders>
              <w:bottom w:val="single" w:sz="4" w:space="0" w:color="auto"/>
            </w:tcBorders>
          </w:tcPr>
          <w:p w14:paraId="131FA8D1" w14:textId="25E48790" w:rsidR="00B22630" w:rsidRPr="00AB2BEB" w:rsidRDefault="00B22630" w:rsidP="00274B14">
            <w:pPr>
              <w:suppressLineNumbers/>
              <w:suppressAutoHyphens/>
              <w:spacing w:before="60" w:after="60"/>
              <w:jc w:val="left"/>
              <w:rPr>
                <w:rFonts w:eastAsia="MS Mincho"/>
                <w:kern w:val="22"/>
                <w:szCs w:val="22"/>
                <w:lang w:val="fr-FR"/>
              </w:rPr>
            </w:pPr>
            <w:r w:rsidRPr="00AB2BEB">
              <w:rPr>
                <w:b/>
                <w:bCs/>
                <w:kern w:val="22"/>
                <w:szCs w:val="22"/>
                <w:lang w:val="fr-FR"/>
              </w:rPr>
              <w:t>A.9. Les Parties qui choisissent de le faire tiennent compte des considérations socioéconomi</w:t>
            </w:r>
            <w:r w:rsidR="00184E31">
              <w:rPr>
                <w:b/>
                <w:bCs/>
                <w:kern w:val="22"/>
                <w:szCs w:val="22"/>
                <w:lang w:val="fr-FR"/>
              </w:rPr>
              <w:t>-</w:t>
            </w:r>
            <w:r w:rsidRPr="00AB2BEB">
              <w:rPr>
                <w:b/>
                <w:bCs/>
                <w:kern w:val="22"/>
                <w:szCs w:val="22"/>
                <w:lang w:val="fr-FR"/>
              </w:rPr>
              <w:t>ques lorsqu</w:t>
            </w:r>
            <w:r w:rsidR="004645B4" w:rsidRPr="00AB2BEB">
              <w:rPr>
                <w:b/>
                <w:bCs/>
                <w:kern w:val="22"/>
                <w:szCs w:val="22"/>
                <w:lang w:val="fr-FR"/>
              </w:rPr>
              <w:t>’</w:t>
            </w:r>
            <w:r w:rsidRPr="00AB2BEB">
              <w:rPr>
                <w:b/>
                <w:bCs/>
                <w:kern w:val="22"/>
                <w:szCs w:val="22"/>
                <w:lang w:val="fr-FR"/>
              </w:rPr>
              <w:t>elles prennent des décisions sur l</w:t>
            </w:r>
            <w:r w:rsidR="004645B4" w:rsidRPr="00AB2BEB">
              <w:rPr>
                <w:b/>
                <w:bCs/>
                <w:kern w:val="22"/>
                <w:szCs w:val="22"/>
                <w:lang w:val="fr-FR"/>
              </w:rPr>
              <w:t>’</w:t>
            </w:r>
            <w:r w:rsidRPr="00AB2BEB">
              <w:rPr>
                <w:b/>
                <w:bCs/>
                <w:kern w:val="22"/>
                <w:szCs w:val="22"/>
                <w:lang w:val="fr-FR"/>
              </w:rPr>
              <w:t>importation d</w:t>
            </w:r>
            <w:r w:rsidR="004645B4" w:rsidRPr="00AB2BEB">
              <w:rPr>
                <w:b/>
                <w:bCs/>
                <w:kern w:val="22"/>
                <w:szCs w:val="22"/>
                <w:lang w:val="fr-FR"/>
              </w:rPr>
              <w:t>’</w:t>
            </w:r>
            <w:r w:rsidRPr="00AB2BEB">
              <w:rPr>
                <w:b/>
                <w:bCs/>
                <w:kern w:val="22"/>
                <w:szCs w:val="22"/>
                <w:lang w:val="fr-FR"/>
              </w:rPr>
              <w:t>OVM et coopèrent en matière de recherche et d</w:t>
            </w:r>
            <w:r w:rsidR="004645B4" w:rsidRPr="00AB2BEB">
              <w:rPr>
                <w:b/>
                <w:bCs/>
                <w:kern w:val="22"/>
                <w:szCs w:val="22"/>
                <w:lang w:val="fr-FR"/>
              </w:rPr>
              <w:t>’</w:t>
            </w:r>
            <w:r w:rsidRPr="00AB2BEB">
              <w:rPr>
                <w:b/>
                <w:bCs/>
                <w:kern w:val="22"/>
                <w:szCs w:val="22"/>
                <w:lang w:val="fr-FR"/>
              </w:rPr>
              <w:t>échange d</w:t>
            </w:r>
            <w:r w:rsidR="004645B4" w:rsidRPr="00AB2BEB">
              <w:rPr>
                <w:b/>
                <w:bCs/>
                <w:kern w:val="22"/>
                <w:szCs w:val="22"/>
                <w:lang w:val="fr-FR"/>
              </w:rPr>
              <w:t>’</w:t>
            </w:r>
            <w:r w:rsidRPr="00AB2BEB">
              <w:rPr>
                <w:b/>
                <w:bCs/>
                <w:kern w:val="22"/>
                <w:szCs w:val="22"/>
                <w:lang w:val="fr-FR"/>
              </w:rPr>
              <w:t>informations</w:t>
            </w:r>
            <w:r w:rsidR="005C56A4">
              <w:rPr>
                <w:b/>
                <w:bCs/>
                <w:kern w:val="22"/>
                <w:szCs w:val="22"/>
                <w:lang w:val="fr-FR"/>
              </w:rPr>
              <w:t>,</w:t>
            </w:r>
            <w:r w:rsidRPr="00AB2BEB">
              <w:rPr>
                <w:b/>
                <w:bCs/>
                <w:kern w:val="22"/>
                <w:szCs w:val="22"/>
                <w:lang w:val="fr-FR"/>
              </w:rPr>
              <w:t xml:space="preserve"> conformément à l</w:t>
            </w:r>
            <w:r w:rsidR="004645B4" w:rsidRPr="00AB2BEB">
              <w:rPr>
                <w:b/>
                <w:bCs/>
                <w:kern w:val="22"/>
                <w:szCs w:val="22"/>
                <w:lang w:val="fr-FR"/>
              </w:rPr>
              <w:t>’</w:t>
            </w:r>
            <w:r w:rsidR="00261555">
              <w:rPr>
                <w:b/>
                <w:bCs/>
                <w:kern w:val="22"/>
                <w:szCs w:val="22"/>
                <w:lang w:val="fr-FR"/>
              </w:rPr>
              <w:t>article 26 du Protocole</w:t>
            </w:r>
          </w:p>
        </w:tc>
        <w:tc>
          <w:tcPr>
            <w:tcW w:w="2543" w:type="dxa"/>
            <w:tcBorders>
              <w:bottom w:val="single" w:sz="4" w:space="0" w:color="auto"/>
            </w:tcBorders>
            <w:shd w:val="clear" w:color="auto" w:fill="auto"/>
          </w:tcPr>
          <w:p w14:paraId="131FA8D2" w14:textId="4B317568" w:rsidR="00B22630" w:rsidRPr="00AB2BEB" w:rsidRDefault="00B22630" w:rsidP="00274B14">
            <w:pPr>
              <w:spacing w:before="60" w:after="60"/>
              <w:jc w:val="left"/>
              <w:rPr>
                <w:rFonts w:eastAsia="MS Mincho"/>
                <w:kern w:val="22"/>
                <w:szCs w:val="22"/>
                <w:lang w:val="fr-FR"/>
              </w:rPr>
            </w:pPr>
            <w:r w:rsidRPr="00AB2BEB">
              <w:rPr>
                <w:kern w:val="22"/>
                <w:szCs w:val="22"/>
                <w:lang w:val="fr-FR"/>
              </w:rPr>
              <w:t>1) Renforcement des capacités de prise en compte des considérations socio</w:t>
            </w:r>
            <w:r w:rsidR="004645B4" w:rsidRPr="00AB2BEB">
              <w:rPr>
                <w:kern w:val="22"/>
                <w:szCs w:val="22"/>
                <w:lang w:val="fr-FR"/>
              </w:rPr>
              <w:noBreakHyphen/>
            </w:r>
            <w:r w:rsidRPr="00AB2BEB">
              <w:rPr>
                <w:kern w:val="22"/>
                <w:szCs w:val="22"/>
                <w:lang w:val="fr-FR"/>
              </w:rPr>
              <w:t>économiques</w:t>
            </w:r>
            <w:r w:rsidR="005C56A4">
              <w:rPr>
                <w:kern w:val="22"/>
                <w:szCs w:val="22"/>
                <w:lang w:val="fr-FR"/>
              </w:rPr>
              <w:t>,</w:t>
            </w:r>
            <w:r w:rsidRPr="00AB2BEB">
              <w:rPr>
                <w:kern w:val="22"/>
                <w:szCs w:val="22"/>
                <w:lang w:val="fr-FR"/>
              </w:rPr>
              <w:t xml:space="preserve"> conformément à l</w:t>
            </w:r>
            <w:r w:rsidR="004645B4" w:rsidRPr="00AB2BEB">
              <w:rPr>
                <w:kern w:val="22"/>
                <w:szCs w:val="22"/>
                <w:lang w:val="fr-FR"/>
              </w:rPr>
              <w:t>’</w:t>
            </w:r>
            <w:r w:rsidRPr="00AB2BEB">
              <w:rPr>
                <w:kern w:val="22"/>
                <w:szCs w:val="22"/>
                <w:lang w:val="fr-FR"/>
              </w:rPr>
              <w:t>article </w:t>
            </w:r>
            <w:r w:rsidR="00A33776" w:rsidRPr="00AB2BEB">
              <w:rPr>
                <w:kern w:val="22"/>
                <w:szCs w:val="22"/>
                <w:lang w:val="fr-FR"/>
              </w:rPr>
              <w:t>26</w:t>
            </w:r>
            <w:r w:rsidR="00C96D21">
              <w:rPr>
                <w:kern w:val="22"/>
                <w:szCs w:val="22"/>
                <w:lang w:val="fr-FR"/>
              </w:rPr>
              <w:t>;</w:t>
            </w:r>
          </w:p>
          <w:p w14:paraId="131FA8D3" w14:textId="77777777" w:rsidR="00B22630" w:rsidRPr="00AB2BEB" w:rsidRDefault="00B22630" w:rsidP="00274B14">
            <w:pPr>
              <w:suppressLineNumbers/>
              <w:suppressAutoHyphens/>
              <w:spacing w:before="60" w:after="60"/>
              <w:jc w:val="left"/>
              <w:rPr>
                <w:rFonts w:eastAsia="MS Mincho"/>
                <w:kern w:val="22"/>
                <w:szCs w:val="22"/>
                <w:lang w:val="fr-FR"/>
              </w:rPr>
            </w:pPr>
            <w:r w:rsidRPr="00AB2BEB">
              <w:rPr>
                <w:kern w:val="22"/>
                <w:szCs w:val="22"/>
                <w:lang w:val="fr-FR"/>
              </w:rPr>
              <w:t>2) Développement de matériel ressource sur les considérations socio</w:t>
            </w:r>
            <w:r w:rsidR="004645B4" w:rsidRPr="00AB2BEB">
              <w:rPr>
                <w:kern w:val="22"/>
                <w:szCs w:val="22"/>
                <w:lang w:val="fr-FR"/>
              </w:rPr>
              <w:noBreakHyphen/>
            </w:r>
            <w:r w:rsidRPr="00AB2BEB">
              <w:rPr>
                <w:kern w:val="22"/>
                <w:szCs w:val="22"/>
                <w:lang w:val="fr-FR"/>
              </w:rPr>
              <w:t>économiques.</w:t>
            </w:r>
          </w:p>
        </w:tc>
        <w:tc>
          <w:tcPr>
            <w:tcW w:w="3118" w:type="dxa"/>
            <w:tcBorders>
              <w:bottom w:val="single" w:sz="4" w:space="0" w:color="auto"/>
            </w:tcBorders>
            <w:shd w:val="clear" w:color="auto" w:fill="auto"/>
          </w:tcPr>
          <w:p w14:paraId="131FA8D4" w14:textId="1B506DE1" w:rsidR="00B22630" w:rsidRPr="00AB2BEB" w:rsidRDefault="00B22630" w:rsidP="00274B14">
            <w:pPr>
              <w:spacing w:before="60" w:after="60"/>
              <w:jc w:val="left"/>
              <w:rPr>
                <w:rFonts w:eastAsia="MS Mincho"/>
                <w:kern w:val="22"/>
                <w:szCs w:val="22"/>
                <w:lang w:val="fr-FR"/>
              </w:rPr>
            </w:pPr>
            <w:r w:rsidRPr="00AB2BEB">
              <w:rPr>
                <w:kern w:val="22"/>
                <w:szCs w:val="22"/>
                <w:lang w:val="fr-FR"/>
              </w:rPr>
              <w:t>i) Dispenser une formation aux autorités nationales compétentes sur la prise en compte des considérations socio</w:t>
            </w:r>
            <w:r w:rsidR="004645B4" w:rsidRPr="00AB2BEB">
              <w:rPr>
                <w:kern w:val="22"/>
                <w:szCs w:val="22"/>
                <w:lang w:val="fr-FR"/>
              </w:rPr>
              <w:noBreakHyphen/>
            </w:r>
            <w:r w:rsidRPr="00AB2BEB">
              <w:rPr>
                <w:kern w:val="22"/>
                <w:szCs w:val="22"/>
                <w:lang w:val="fr-FR"/>
              </w:rPr>
              <w:t>économiques, conformément à l</w:t>
            </w:r>
            <w:r w:rsidR="004645B4" w:rsidRPr="00AB2BEB">
              <w:rPr>
                <w:kern w:val="22"/>
                <w:szCs w:val="22"/>
                <w:lang w:val="fr-FR"/>
              </w:rPr>
              <w:t>’</w:t>
            </w:r>
            <w:r w:rsidRPr="00AB2BEB">
              <w:rPr>
                <w:kern w:val="22"/>
                <w:szCs w:val="22"/>
                <w:lang w:val="fr-FR"/>
              </w:rPr>
              <w:t>article </w:t>
            </w:r>
            <w:r w:rsidR="00A94572" w:rsidRPr="00AB2BEB">
              <w:rPr>
                <w:kern w:val="22"/>
                <w:szCs w:val="22"/>
                <w:lang w:val="fr-FR"/>
              </w:rPr>
              <w:t>26</w:t>
            </w:r>
            <w:r w:rsidR="00C96D21">
              <w:rPr>
                <w:kern w:val="22"/>
                <w:szCs w:val="22"/>
                <w:lang w:val="fr-FR"/>
              </w:rPr>
              <w:t>;</w:t>
            </w:r>
          </w:p>
          <w:p w14:paraId="131FA8D5" w14:textId="4371E54E" w:rsidR="00B22630" w:rsidRPr="00AB2BEB" w:rsidRDefault="00B22630" w:rsidP="00274B14">
            <w:pPr>
              <w:jc w:val="left"/>
              <w:rPr>
                <w:rFonts w:eastAsia="MS Mincho"/>
                <w:kern w:val="22"/>
                <w:szCs w:val="22"/>
                <w:lang w:val="fr-FR"/>
              </w:rPr>
            </w:pPr>
            <w:r w:rsidRPr="00AB2BEB">
              <w:rPr>
                <w:kern w:val="22"/>
                <w:szCs w:val="22"/>
                <w:lang w:val="fr-FR"/>
              </w:rPr>
              <w:t xml:space="preserve">ii) Élaborer, si besoin, </w:t>
            </w:r>
            <w:r w:rsidR="005C56A4">
              <w:rPr>
                <w:kern w:val="22"/>
                <w:szCs w:val="22"/>
                <w:lang w:val="fr-FR"/>
              </w:rPr>
              <w:t xml:space="preserve">et </w:t>
            </w:r>
            <w:r w:rsidRPr="00AB2BEB">
              <w:rPr>
                <w:kern w:val="22"/>
                <w:szCs w:val="22"/>
                <w:lang w:val="fr-FR"/>
              </w:rPr>
              <w:t>mettre à jour et diffuser du matériel de formation sur les considérations socio</w:t>
            </w:r>
            <w:r w:rsidR="004645B4" w:rsidRPr="00AB2BEB">
              <w:rPr>
                <w:kern w:val="22"/>
                <w:szCs w:val="22"/>
                <w:lang w:val="fr-FR"/>
              </w:rPr>
              <w:noBreakHyphen/>
            </w:r>
            <w:r w:rsidR="00A94572" w:rsidRPr="00AB2BEB">
              <w:rPr>
                <w:kern w:val="22"/>
                <w:szCs w:val="22"/>
                <w:lang w:val="fr-FR"/>
              </w:rPr>
              <w:t>économiques</w:t>
            </w:r>
            <w:r w:rsidR="00C96D21">
              <w:rPr>
                <w:kern w:val="22"/>
                <w:szCs w:val="22"/>
                <w:lang w:val="fr-FR"/>
              </w:rPr>
              <w:t>;</w:t>
            </w:r>
          </w:p>
          <w:p w14:paraId="131FA8D6" w14:textId="6AAAB0DC" w:rsidR="00B22630" w:rsidRPr="00AB2BEB" w:rsidRDefault="005C56A4" w:rsidP="00274B14">
            <w:pPr>
              <w:suppressLineNumbers/>
              <w:suppressAutoHyphens/>
              <w:spacing w:before="60" w:after="60"/>
              <w:jc w:val="left"/>
              <w:rPr>
                <w:kern w:val="22"/>
                <w:szCs w:val="22"/>
                <w:lang w:val="fr-FR"/>
              </w:rPr>
            </w:pPr>
            <w:r>
              <w:rPr>
                <w:kern w:val="22"/>
                <w:szCs w:val="22"/>
                <w:lang w:val="fr-FR"/>
              </w:rPr>
              <w:t>iii) Partager des expériences et d</w:t>
            </w:r>
            <w:r w:rsidR="00B22630" w:rsidRPr="00AB2BEB">
              <w:rPr>
                <w:kern w:val="22"/>
                <w:szCs w:val="22"/>
                <w:lang w:val="fr-FR"/>
              </w:rPr>
              <w:t>es approches pour la prise en compte des considérations socio</w:t>
            </w:r>
            <w:r w:rsidR="004645B4" w:rsidRPr="00AB2BEB">
              <w:rPr>
                <w:kern w:val="22"/>
                <w:szCs w:val="22"/>
                <w:lang w:val="fr-FR"/>
              </w:rPr>
              <w:noBreakHyphen/>
            </w:r>
            <w:r w:rsidR="00A94572" w:rsidRPr="00AB2BEB">
              <w:rPr>
                <w:kern w:val="22"/>
                <w:szCs w:val="22"/>
                <w:lang w:val="fr-FR"/>
              </w:rPr>
              <w:t>économiques</w:t>
            </w:r>
            <w:r w:rsidR="00C96D21">
              <w:rPr>
                <w:kern w:val="22"/>
                <w:szCs w:val="22"/>
                <w:lang w:val="fr-FR"/>
              </w:rPr>
              <w:t>;</w:t>
            </w:r>
          </w:p>
          <w:p w14:paraId="131FA8D7" w14:textId="60B0C85D" w:rsidR="00B57CE3" w:rsidRPr="00AB2BEB" w:rsidRDefault="00B57CE3" w:rsidP="00B57CE3">
            <w:pPr>
              <w:suppressLineNumbers/>
              <w:suppressAutoHyphens/>
              <w:spacing w:before="60" w:after="60"/>
              <w:jc w:val="left"/>
              <w:rPr>
                <w:kern w:val="22"/>
                <w:szCs w:val="22"/>
                <w:lang w:val="fr-FR"/>
              </w:rPr>
            </w:pPr>
            <w:r w:rsidRPr="00AB2BEB">
              <w:rPr>
                <w:kern w:val="22"/>
                <w:szCs w:val="22"/>
                <w:lang w:val="fr-FR"/>
              </w:rPr>
              <w:t>iv) Établir des collaborations en matière de recherche et d</w:t>
            </w:r>
            <w:r w:rsidR="004645B4" w:rsidRPr="00AB2BEB">
              <w:rPr>
                <w:kern w:val="22"/>
                <w:szCs w:val="22"/>
                <w:lang w:val="fr-FR"/>
              </w:rPr>
              <w:t>’</w:t>
            </w:r>
            <w:r w:rsidRPr="00AB2BEB">
              <w:rPr>
                <w:kern w:val="22"/>
                <w:szCs w:val="22"/>
                <w:lang w:val="fr-FR"/>
              </w:rPr>
              <w:t>échange d</w:t>
            </w:r>
            <w:r w:rsidR="004645B4" w:rsidRPr="00AB2BEB">
              <w:rPr>
                <w:kern w:val="22"/>
                <w:szCs w:val="22"/>
                <w:lang w:val="fr-FR"/>
              </w:rPr>
              <w:t>’</w:t>
            </w:r>
            <w:r w:rsidRPr="00AB2BEB">
              <w:rPr>
                <w:kern w:val="22"/>
                <w:szCs w:val="22"/>
                <w:lang w:val="fr-FR"/>
              </w:rPr>
              <w:t xml:space="preserve">informations sur toutes </w:t>
            </w:r>
            <w:r w:rsidR="00A94572" w:rsidRPr="00AB2BEB">
              <w:rPr>
                <w:kern w:val="22"/>
                <w:szCs w:val="22"/>
                <w:lang w:val="fr-FR"/>
              </w:rPr>
              <w:t>les considérations socio-économiques</w:t>
            </w:r>
            <w:r w:rsidR="005C56A4">
              <w:rPr>
                <w:kern w:val="22"/>
                <w:szCs w:val="22"/>
                <w:lang w:val="fr-FR"/>
              </w:rPr>
              <w:t xml:space="preserve"> découlant de l’impact</w:t>
            </w:r>
            <w:r w:rsidRPr="00AB2BEB">
              <w:rPr>
                <w:kern w:val="22"/>
                <w:szCs w:val="22"/>
                <w:lang w:val="fr-FR"/>
              </w:rPr>
              <w:t xml:space="preserve"> d</w:t>
            </w:r>
            <w:r w:rsidR="005C56A4">
              <w:rPr>
                <w:kern w:val="22"/>
                <w:szCs w:val="22"/>
                <w:lang w:val="fr-FR"/>
              </w:rPr>
              <w:t xml:space="preserve">es </w:t>
            </w:r>
            <w:r w:rsidRPr="00AB2BEB">
              <w:rPr>
                <w:kern w:val="22"/>
                <w:szCs w:val="22"/>
                <w:lang w:val="fr-FR"/>
              </w:rPr>
              <w:t>OVM sur la conservation et l</w:t>
            </w:r>
            <w:r w:rsidR="004645B4" w:rsidRPr="00AB2BEB">
              <w:rPr>
                <w:kern w:val="22"/>
                <w:szCs w:val="22"/>
                <w:lang w:val="fr-FR"/>
              </w:rPr>
              <w:t>’</w:t>
            </w:r>
            <w:r w:rsidRPr="00AB2BEB">
              <w:rPr>
                <w:kern w:val="22"/>
                <w:szCs w:val="22"/>
                <w:lang w:val="fr-FR"/>
              </w:rPr>
              <w:t>utilisation dur</w:t>
            </w:r>
            <w:r w:rsidR="00261555">
              <w:rPr>
                <w:kern w:val="22"/>
                <w:szCs w:val="22"/>
                <w:lang w:val="fr-FR"/>
              </w:rPr>
              <w:t xml:space="preserve">able de la biodiversité, en </w:t>
            </w:r>
            <w:r w:rsidR="00261555">
              <w:rPr>
                <w:kern w:val="22"/>
                <w:szCs w:val="22"/>
                <w:lang w:val="fr-FR"/>
              </w:rPr>
              <w:lastRenderedPageBreak/>
              <w:t>particulier</w:t>
            </w:r>
            <w:r w:rsidRPr="00AB2BEB">
              <w:rPr>
                <w:kern w:val="22"/>
                <w:szCs w:val="22"/>
                <w:lang w:val="fr-FR"/>
              </w:rPr>
              <w:t xml:space="preserve"> sur les peuples autochtones et les communautés locales, avec le milieu universitaire, d</w:t>
            </w:r>
            <w:r w:rsidR="004645B4" w:rsidRPr="00AB2BEB">
              <w:rPr>
                <w:kern w:val="22"/>
                <w:szCs w:val="22"/>
                <w:lang w:val="fr-FR"/>
              </w:rPr>
              <w:t>’</w:t>
            </w:r>
            <w:r w:rsidRPr="00AB2BEB">
              <w:rPr>
                <w:kern w:val="22"/>
                <w:szCs w:val="22"/>
                <w:lang w:val="fr-FR"/>
              </w:rPr>
              <w:t>autres parties prenantes</w:t>
            </w:r>
            <w:r w:rsidR="00261555">
              <w:rPr>
                <w:kern w:val="22"/>
                <w:szCs w:val="22"/>
                <w:lang w:val="fr-FR"/>
              </w:rPr>
              <w:t>, et les peuples autochtones et l</w:t>
            </w:r>
            <w:r w:rsidRPr="00AB2BEB">
              <w:rPr>
                <w:kern w:val="22"/>
                <w:szCs w:val="22"/>
                <w:lang w:val="fr-FR"/>
              </w:rPr>
              <w:t>es communautés locales.</w:t>
            </w:r>
          </w:p>
        </w:tc>
        <w:tc>
          <w:tcPr>
            <w:tcW w:w="3261" w:type="dxa"/>
            <w:tcBorders>
              <w:bottom w:val="single" w:sz="4" w:space="0" w:color="auto"/>
            </w:tcBorders>
          </w:tcPr>
          <w:p w14:paraId="131FA8D8" w14:textId="1C7C2B3A"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szCs w:val="22"/>
                <w:lang w:val="fr-FR"/>
              </w:rPr>
              <w:lastRenderedPageBreak/>
              <w:t>a) Pourcentage d</w:t>
            </w:r>
            <w:r w:rsidR="004645B4" w:rsidRPr="00AB2BEB">
              <w:rPr>
                <w:rFonts w:eastAsia="MS Mincho"/>
                <w:szCs w:val="22"/>
                <w:lang w:val="fr-FR"/>
              </w:rPr>
              <w:t>’</w:t>
            </w:r>
            <w:r w:rsidRPr="00AB2BEB">
              <w:rPr>
                <w:rFonts w:eastAsia="MS Mincho"/>
                <w:szCs w:val="22"/>
                <w:lang w:val="fr-FR"/>
              </w:rPr>
              <w:t>autorités nationales compétentes au sein des Parties ayant accès à une formation adéquate en matière de prise en compt</w:t>
            </w:r>
            <w:r w:rsidR="00261555">
              <w:rPr>
                <w:rFonts w:eastAsia="MS Mincho"/>
                <w:szCs w:val="22"/>
                <w:lang w:val="fr-FR"/>
              </w:rPr>
              <w:t>e des facteurs socioéconomiques</w:t>
            </w:r>
            <w:r w:rsidR="001F69B0" w:rsidRPr="00AB2BEB">
              <w:rPr>
                <w:rFonts w:eastAsia="MS Mincho"/>
                <w:szCs w:val="22"/>
                <w:lang w:val="fr-FR"/>
              </w:rPr>
              <w:t>,</w:t>
            </w:r>
            <w:r w:rsidR="00261555">
              <w:rPr>
                <w:rFonts w:eastAsia="MS Mincho"/>
                <w:szCs w:val="22"/>
                <w:lang w:val="fr-FR"/>
              </w:rPr>
              <w:t xml:space="preserve"> </w:t>
            </w:r>
            <w:r w:rsidRPr="00AB2BEB">
              <w:rPr>
                <w:rFonts w:eastAsia="MS Mincho"/>
                <w:szCs w:val="22"/>
                <w:lang w:val="fr-FR"/>
              </w:rPr>
              <w:t>notamment en ce qui concerne la valeur de la biodiversité pour les peuples autochtones et les communautés locales</w:t>
            </w:r>
            <w:r w:rsidR="00EE22BE" w:rsidRPr="00AB2BEB">
              <w:rPr>
                <w:rFonts w:eastAsia="MS Mincho"/>
                <w:szCs w:val="22"/>
                <w:lang w:val="fr-FR"/>
              </w:rPr>
              <w:t>;</w:t>
            </w:r>
          </w:p>
          <w:p w14:paraId="131FA8D9" w14:textId="50F43151"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 xml:space="preserve">b) Nombre de matériels de formation sur la prise en considération de facteurs socioéconomiques qui ont été élaborés, mis à jour et </w:t>
            </w:r>
            <w:r w:rsidR="00A33776" w:rsidRPr="00AB2BEB">
              <w:rPr>
                <w:rFonts w:eastAsia="MS Mincho"/>
                <w:kern w:val="22"/>
                <w:szCs w:val="22"/>
                <w:lang w:val="fr-FR"/>
              </w:rPr>
              <w:t>diffusés</w:t>
            </w:r>
            <w:r w:rsidR="00C96D21">
              <w:rPr>
                <w:rFonts w:eastAsia="MS Mincho"/>
                <w:kern w:val="22"/>
                <w:szCs w:val="22"/>
                <w:lang w:val="fr-FR"/>
              </w:rPr>
              <w:t>;</w:t>
            </w:r>
          </w:p>
          <w:p w14:paraId="131FA8DA" w14:textId="10723AF0"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c) Pourcentage de Parties qui communiquent leurs expériences et approches pour prendre en compt</w:t>
            </w:r>
            <w:r w:rsidR="001F69B0" w:rsidRPr="00AB2BEB">
              <w:rPr>
                <w:rFonts w:eastAsia="MS Mincho"/>
                <w:kern w:val="22"/>
                <w:szCs w:val="22"/>
                <w:lang w:val="fr-FR"/>
              </w:rPr>
              <w:t xml:space="preserve">e les facteurs </w:t>
            </w:r>
            <w:r w:rsidR="00A33776" w:rsidRPr="00AB2BEB">
              <w:rPr>
                <w:rFonts w:eastAsia="MS Mincho"/>
                <w:kern w:val="22"/>
                <w:szCs w:val="22"/>
                <w:lang w:val="fr-FR"/>
              </w:rPr>
              <w:t>socio-économiques</w:t>
            </w:r>
            <w:r w:rsidR="00C96D21">
              <w:rPr>
                <w:rFonts w:eastAsia="MS Mincho"/>
                <w:kern w:val="22"/>
                <w:szCs w:val="22"/>
                <w:lang w:val="fr-FR"/>
              </w:rPr>
              <w:t>;</w:t>
            </w:r>
          </w:p>
          <w:p w14:paraId="131FA8DB" w14:textId="1BA6282D"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szCs w:val="22"/>
                <w:lang w:val="fr-FR"/>
              </w:rPr>
              <w:t xml:space="preserve">d) Pourcentage de Parties ayant établi des collaborations avec des </w:t>
            </w:r>
            <w:r w:rsidRPr="00AB2BEB">
              <w:rPr>
                <w:rFonts w:eastAsia="MS Mincho"/>
                <w:szCs w:val="22"/>
                <w:lang w:val="fr-FR"/>
              </w:rPr>
              <w:lastRenderedPageBreak/>
              <w:t>universitaires qui ont l</w:t>
            </w:r>
            <w:r w:rsidR="004645B4" w:rsidRPr="00AB2BEB">
              <w:rPr>
                <w:rFonts w:eastAsia="MS Mincho"/>
                <w:szCs w:val="22"/>
                <w:lang w:val="fr-FR"/>
              </w:rPr>
              <w:t>’</w:t>
            </w:r>
            <w:r w:rsidRPr="00AB2BEB">
              <w:rPr>
                <w:rFonts w:eastAsia="MS Mincho"/>
                <w:szCs w:val="22"/>
                <w:lang w:val="fr-FR"/>
              </w:rPr>
              <w:t>expérience requise en matière d</w:t>
            </w:r>
            <w:r w:rsidR="004645B4" w:rsidRPr="00AB2BEB">
              <w:rPr>
                <w:rFonts w:eastAsia="MS Mincho"/>
                <w:szCs w:val="22"/>
                <w:lang w:val="fr-FR"/>
              </w:rPr>
              <w:t>’</w:t>
            </w:r>
            <w:r w:rsidRPr="00AB2BEB">
              <w:rPr>
                <w:rFonts w:eastAsia="MS Mincho"/>
                <w:szCs w:val="22"/>
                <w:lang w:val="fr-FR"/>
              </w:rPr>
              <w:t>évaluations socioéconomiques et auprès des peuples autochto</w:t>
            </w:r>
            <w:r w:rsidR="00261555">
              <w:rPr>
                <w:rFonts w:eastAsia="MS Mincho"/>
                <w:szCs w:val="22"/>
                <w:lang w:val="fr-FR"/>
              </w:rPr>
              <w:t>nes et des communautés locales.</w:t>
            </w:r>
          </w:p>
        </w:tc>
        <w:tc>
          <w:tcPr>
            <w:tcW w:w="2835" w:type="dxa"/>
            <w:tcBorders>
              <w:bottom w:val="single" w:sz="4" w:space="0" w:color="auto"/>
            </w:tcBorders>
          </w:tcPr>
          <w:p w14:paraId="131FA8DC" w14:textId="77777777" w:rsidR="00B22630" w:rsidRPr="00AB2BEB" w:rsidRDefault="00B22630" w:rsidP="00274B14">
            <w:pPr>
              <w:suppressLineNumbers/>
              <w:suppressAutoHyphens/>
              <w:spacing w:before="60" w:after="60"/>
              <w:jc w:val="left"/>
              <w:rPr>
                <w:rFonts w:eastAsia="MS Mincho"/>
                <w:kern w:val="22"/>
                <w:szCs w:val="22"/>
                <w:lang w:val="fr-FR"/>
              </w:rPr>
            </w:pPr>
            <w:r w:rsidRPr="00AB2BEB">
              <w:rPr>
                <w:kern w:val="22"/>
                <w:szCs w:val="22"/>
                <w:lang w:val="fr-FR"/>
              </w:rPr>
              <w:lastRenderedPageBreak/>
              <w:t>Les Parties qui choisissent de le faire tiennent compte des facteurs socio</w:t>
            </w:r>
            <w:r w:rsidR="004645B4" w:rsidRPr="00AB2BEB">
              <w:rPr>
                <w:kern w:val="22"/>
                <w:szCs w:val="22"/>
                <w:lang w:val="fr-FR"/>
              </w:rPr>
              <w:noBreakHyphen/>
            </w:r>
            <w:r w:rsidRPr="00AB2BEB">
              <w:rPr>
                <w:kern w:val="22"/>
                <w:szCs w:val="22"/>
                <w:lang w:val="fr-FR"/>
              </w:rPr>
              <w:t>économiques, conformément à l</w:t>
            </w:r>
            <w:r w:rsidR="004645B4" w:rsidRPr="00AB2BEB">
              <w:rPr>
                <w:kern w:val="22"/>
                <w:szCs w:val="22"/>
                <w:lang w:val="fr-FR"/>
              </w:rPr>
              <w:t>’</w:t>
            </w:r>
            <w:r w:rsidRPr="00AB2BEB">
              <w:rPr>
                <w:kern w:val="22"/>
                <w:szCs w:val="22"/>
                <w:lang w:val="fr-FR"/>
              </w:rPr>
              <w:t>article 26, lors de la prise de décisions sur les importations d</w:t>
            </w:r>
            <w:r w:rsidR="004645B4" w:rsidRPr="00AB2BEB">
              <w:rPr>
                <w:kern w:val="22"/>
                <w:szCs w:val="22"/>
                <w:lang w:val="fr-FR"/>
              </w:rPr>
              <w:t>’</w:t>
            </w:r>
            <w:r w:rsidRPr="00AB2BEB">
              <w:rPr>
                <w:kern w:val="22"/>
                <w:szCs w:val="22"/>
                <w:lang w:val="fr-FR"/>
              </w:rPr>
              <w:t>OVM.</w:t>
            </w:r>
          </w:p>
        </w:tc>
      </w:tr>
      <w:tr w:rsidR="00B22630" w:rsidRPr="00597279" w14:paraId="131FA8F6" w14:textId="77777777" w:rsidTr="00BB18BE">
        <w:trPr>
          <w:jc w:val="center"/>
        </w:trPr>
        <w:tc>
          <w:tcPr>
            <w:tcW w:w="1705" w:type="dxa"/>
            <w:tcBorders>
              <w:bottom w:val="single" w:sz="4" w:space="0" w:color="auto"/>
            </w:tcBorders>
          </w:tcPr>
          <w:p w14:paraId="131FA8DE" w14:textId="585FB0CE" w:rsidR="00B22630" w:rsidRPr="00AB2BEB" w:rsidRDefault="00DB03E6" w:rsidP="00274B14">
            <w:pPr>
              <w:suppressLineNumbers/>
              <w:suppressAutoHyphens/>
              <w:spacing w:before="60" w:after="60"/>
              <w:jc w:val="left"/>
              <w:rPr>
                <w:rFonts w:eastAsia="MS Mincho"/>
                <w:kern w:val="22"/>
                <w:szCs w:val="22"/>
                <w:lang w:val="fr-FR"/>
              </w:rPr>
            </w:pPr>
            <w:r w:rsidRPr="00AB2BEB">
              <w:rPr>
                <w:b/>
                <w:bCs/>
                <w:kern w:val="22"/>
                <w:szCs w:val="22"/>
                <w:lang w:val="fr-FR"/>
              </w:rPr>
              <w:t>A.10.</w:t>
            </w:r>
            <w:r w:rsidR="00B22630" w:rsidRPr="00AB2BEB">
              <w:rPr>
                <w:b/>
                <w:bCs/>
                <w:kern w:val="22"/>
                <w:szCs w:val="22"/>
                <w:lang w:val="fr-FR"/>
              </w:rPr>
              <w:t xml:space="preserve"> Parties au Protocole de Cartagena </w:t>
            </w:r>
            <w:r w:rsidR="0058253A" w:rsidRPr="00AB2BEB">
              <w:rPr>
                <w:b/>
                <w:bCs/>
                <w:kern w:val="22"/>
                <w:szCs w:val="22"/>
                <w:lang w:val="fr-FR"/>
              </w:rPr>
              <w:t xml:space="preserve">qui </w:t>
            </w:r>
            <w:r w:rsidR="00B22630" w:rsidRPr="00AB2BEB">
              <w:rPr>
                <w:b/>
                <w:bCs/>
                <w:kern w:val="22"/>
                <w:szCs w:val="22"/>
                <w:lang w:val="fr-FR"/>
              </w:rPr>
              <w:t xml:space="preserve">deviennent Parties au Protocole additionnel de Nagoya – Kuala Lumpur sur la responsabilité et la réparation, et </w:t>
            </w:r>
            <w:r w:rsidRPr="00AB2BEB">
              <w:rPr>
                <w:b/>
                <w:bCs/>
                <w:kern w:val="22"/>
                <w:szCs w:val="22"/>
                <w:lang w:val="fr-FR"/>
              </w:rPr>
              <w:t xml:space="preserve">qui </w:t>
            </w:r>
            <w:r w:rsidR="00B22630" w:rsidRPr="00AB2BEB">
              <w:rPr>
                <w:b/>
                <w:bCs/>
                <w:kern w:val="22"/>
                <w:szCs w:val="22"/>
                <w:lang w:val="fr-FR"/>
              </w:rPr>
              <w:t>ont mis en place des mesures pour s</w:t>
            </w:r>
            <w:r w:rsidR="004645B4" w:rsidRPr="00AB2BEB">
              <w:rPr>
                <w:b/>
                <w:bCs/>
                <w:kern w:val="22"/>
                <w:szCs w:val="22"/>
                <w:lang w:val="fr-FR"/>
              </w:rPr>
              <w:t>’</w:t>
            </w:r>
            <w:r w:rsidR="00B22630" w:rsidRPr="00AB2BEB">
              <w:rPr>
                <w:b/>
                <w:bCs/>
                <w:kern w:val="22"/>
                <w:szCs w:val="22"/>
                <w:lang w:val="fr-FR"/>
              </w:rPr>
              <w:t xml:space="preserve">acquitter de leurs obligations au titre du </w:t>
            </w:r>
            <w:r w:rsidR="00184E31">
              <w:rPr>
                <w:b/>
                <w:bCs/>
                <w:kern w:val="22"/>
                <w:szCs w:val="22"/>
                <w:lang w:val="fr-FR"/>
              </w:rPr>
              <w:t>Protocole additionnel</w:t>
            </w:r>
          </w:p>
        </w:tc>
        <w:tc>
          <w:tcPr>
            <w:tcW w:w="2543" w:type="dxa"/>
            <w:tcBorders>
              <w:bottom w:val="single" w:sz="4" w:space="0" w:color="auto"/>
            </w:tcBorders>
            <w:shd w:val="clear" w:color="auto" w:fill="auto"/>
          </w:tcPr>
          <w:p w14:paraId="131FA8DF" w14:textId="3A692DBB" w:rsidR="00B22630" w:rsidRPr="00AB2BEB" w:rsidRDefault="00B22630" w:rsidP="00274B14">
            <w:pPr>
              <w:spacing w:before="60" w:after="60"/>
              <w:jc w:val="left"/>
              <w:rPr>
                <w:kern w:val="22"/>
                <w:szCs w:val="22"/>
                <w:lang w:val="fr-FR"/>
              </w:rPr>
            </w:pPr>
            <w:r w:rsidRPr="00AB2BEB">
              <w:rPr>
                <w:kern w:val="22"/>
                <w:szCs w:val="22"/>
                <w:lang w:val="fr-FR"/>
              </w:rPr>
              <w:t xml:space="preserve">1) Soutien apporté aux Parties au Protocole de Cartagena pour favoriser la ratification du Protocole </w:t>
            </w:r>
            <w:r w:rsidR="00A33776" w:rsidRPr="00AB2BEB">
              <w:rPr>
                <w:kern w:val="22"/>
                <w:szCs w:val="22"/>
                <w:lang w:val="fr-FR"/>
              </w:rPr>
              <w:t>additionnel</w:t>
            </w:r>
            <w:r w:rsidR="00C96D21">
              <w:rPr>
                <w:kern w:val="22"/>
                <w:szCs w:val="22"/>
                <w:lang w:val="fr-FR"/>
              </w:rPr>
              <w:t>;</w:t>
            </w:r>
          </w:p>
          <w:p w14:paraId="131FA8E0" w14:textId="77777777" w:rsidR="00B22630" w:rsidRPr="00AB2BEB" w:rsidRDefault="00B22630" w:rsidP="00274B14">
            <w:pPr>
              <w:spacing w:before="60" w:after="60"/>
              <w:jc w:val="left"/>
              <w:rPr>
                <w:kern w:val="22"/>
                <w:szCs w:val="22"/>
                <w:lang w:val="fr-FR"/>
              </w:rPr>
            </w:pPr>
          </w:p>
          <w:p w14:paraId="131FA8E1" w14:textId="6D114BED" w:rsidR="00B22630" w:rsidRPr="00AB2BEB" w:rsidRDefault="00B22630" w:rsidP="00274B14">
            <w:pPr>
              <w:spacing w:before="60" w:after="60"/>
              <w:jc w:val="left"/>
              <w:rPr>
                <w:rFonts w:eastAsia="MS Mincho"/>
                <w:kern w:val="22"/>
                <w:szCs w:val="22"/>
                <w:lang w:val="fr-FR"/>
              </w:rPr>
            </w:pPr>
            <w:r w:rsidRPr="00AB2BEB">
              <w:rPr>
                <w:b/>
                <w:kern w:val="22"/>
                <w:szCs w:val="22"/>
                <w:lang w:val="fr-FR"/>
              </w:rPr>
              <w:t>Pour les Parties au</w:t>
            </w:r>
            <w:r w:rsidRPr="00AB2BEB">
              <w:rPr>
                <w:kern w:val="22"/>
                <w:szCs w:val="22"/>
                <w:lang w:val="fr-FR"/>
              </w:rPr>
              <w:t xml:space="preserve"> </w:t>
            </w:r>
            <w:r w:rsidR="00261555">
              <w:rPr>
                <w:b/>
                <w:bCs/>
                <w:kern w:val="22"/>
                <w:szCs w:val="22"/>
                <w:lang w:val="fr-FR"/>
              </w:rPr>
              <w:t xml:space="preserve">Protocole additionnel </w:t>
            </w:r>
            <w:r w:rsidRPr="00AB2BEB">
              <w:rPr>
                <w:b/>
                <w:bCs/>
                <w:kern w:val="22"/>
                <w:szCs w:val="22"/>
                <w:lang w:val="fr-FR"/>
              </w:rPr>
              <w:t>:</w:t>
            </w:r>
            <w:r w:rsidRPr="00AB2BEB">
              <w:rPr>
                <w:kern w:val="22"/>
                <w:szCs w:val="22"/>
                <w:lang w:val="fr-FR"/>
              </w:rPr>
              <w:t xml:space="preserve"> </w:t>
            </w:r>
          </w:p>
          <w:p w14:paraId="131FA8E2" w14:textId="3B2EB16D" w:rsidR="00B22630" w:rsidRPr="00AB2BEB" w:rsidRDefault="00B22630" w:rsidP="00274B14">
            <w:pPr>
              <w:spacing w:before="60" w:after="60"/>
              <w:jc w:val="left"/>
              <w:rPr>
                <w:rFonts w:eastAsia="MS Mincho"/>
                <w:kern w:val="22"/>
                <w:szCs w:val="22"/>
                <w:lang w:val="fr-FR"/>
              </w:rPr>
            </w:pPr>
            <w:r w:rsidRPr="00AB2BEB">
              <w:rPr>
                <w:kern w:val="22"/>
                <w:szCs w:val="22"/>
                <w:lang w:val="fr-FR"/>
              </w:rPr>
              <w:t>2) Élaboration de mesures nationales jur</w:t>
            </w:r>
            <w:r w:rsidR="005C56A4">
              <w:rPr>
                <w:kern w:val="22"/>
                <w:szCs w:val="22"/>
                <w:lang w:val="fr-FR"/>
              </w:rPr>
              <w:t>idiques, administratives et autres mesur</w:t>
            </w:r>
            <w:r w:rsidRPr="00AB2BEB">
              <w:rPr>
                <w:kern w:val="22"/>
                <w:szCs w:val="22"/>
                <w:lang w:val="fr-FR"/>
              </w:rPr>
              <w:t>es requises pour l</w:t>
            </w:r>
            <w:r w:rsidR="004645B4" w:rsidRPr="00AB2BEB">
              <w:rPr>
                <w:kern w:val="22"/>
                <w:szCs w:val="22"/>
                <w:lang w:val="fr-FR"/>
              </w:rPr>
              <w:t>’</w:t>
            </w:r>
            <w:r w:rsidRPr="00AB2BEB">
              <w:rPr>
                <w:kern w:val="22"/>
                <w:szCs w:val="22"/>
                <w:lang w:val="fr-FR"/>
              </w:rPr>
              <w:t xml:space="preserve">application du Protocole </w:t>
            </w:r>
            <w:r w:rsidR="007B2B61" w:rsidRPr="00AB2BEB">
              <w:rPr>
                <w:kern w:val="22"/>
                <w:szCs w:val="22"/>
                <w:lang w:val="fr-FR"/>
              </w:rPr>
              <w:t>additionnel</w:t>
            </w:r>
            <w:r w:rsidR="00C96D21">
              <w:rPr>
                <w:kern w:val="22"/>
                <w:szCs w:val="22"/>
                <w:lang w:val="fr-FR"/>
              </w:rPr>
              <w:t>;</w:t>
            </w:r>
          </w:p>
          <w:p w14:paraId="131FA8E3" w14:textId="328AF03E" w:rsidR="00B22630" w:rsidRPr="00AB2BEB" w:rsidRDefault="00B22630" w:rsidP="00274B14">
            <w:pPr>
              <w:spacing w:before="60" w:after="60"/>
              <w:jc w:val="left"/>
              <w:rPr>
                <w:rFonts w:eastAsia="MS Mincho"/>
                <w:kern w:val="22"/>
                <w:szCs w:val="22"/>
                <w:lang w:val="fr-FR"/>
              </w:rPr>
            </w:pPr>
            <w:r w:rsidRPr="00AB2BEB">
              <w:rPr>
                <w:kern w:val="22"/>
                <w:szCs w:val="22"/>
                <w:lang w:val="fr-FR"/>
              </w:rPr>
              <w:t>3) Élaboration et accès à du matériel ressource, aux expériences acquises et aux enseignements tirés de l</w:t>
            </w:r>
            <w:r w:rsidR="004645B4" w:rsidRPr="00AB2BEB">
              <w:rPr>
                <w:kern w:val="22"/>
                <w:szCs w:val="22"/>
                <w:lang w:val="fr-FR"/>
              </w:rPr>
              <w:t>’</w:t>
            </w:r>
            <w:r w:rsidRPr="00AB2BEB">
              <w:rPr>
                <w:kern w:val="22"/>
                <w:szCs w:val="22"/>
                <w:lang w:val="fr-FR"/>
              </w:rPr>
              <w:t xml:space="preserve">application du Protocole </w:t>
            </w:r>
            <w:r w:rsidR="007B2B61" w:rsidRPr="00AB2BEB">
              <w:rPr>
                <w:kern w:val="22"/>
                <w:szCs w:val="22"/>
                <w:lang w:val="fr-FR"/>
              </w:rPr>
              <w:t>additionnel</w:t>
            </w:r>
            <w:r w:rsidR="00C96D21">
              <w:rPr>
                <w:kern w:val="22"/>
                <w:szCs w:val="22"/>
                <w:lang w:val="fr-FR"/>
              </w:rPr>
              <w:t>;</w:t>
            </w:r>
          </w:p>
          <w:p w14:paraId="131FA8E4" w14:textId="0C48D688" w:rsidR="00B22630" w:rsidRPr="00AB2BEB" w:rsidRDefault="00B22630" w:rsidP="00274B14">
            <w:pPr>
              <w:spacing w:before="60" w:after="60"/>
              <w:jc w:val="left"/>
              <w:rPr>
                <w:rFonts w:eastAsia="MS Mincho"/>
                <w:kern w:val="22"/>
                <w:szCs w:val="22"/>
                <w:lang w:val="fr-FR"/>
              </w:rPr>
            </w:pPr>
            <w:r w:rsidRPr="00AB2BEB">
              <w:rPr>
                <w:kern w:val="22"/>
                <w:szCs w:val="22"/>
                <w:lang w:val="fr-FR"/>
              </w:rPr>
              <w:t xml:space="preserve">4) Renforcement des capacités des autorités compétentes des Parties </w:t>
            </w:r>
            <w:r w:rsidRPr="00AB2BEB">
              <w:rPr>
                <w:kern w:val="22"/>
                <w:szCs w:val="22"/>
                <w:lang w:val="fr-FR"/>
              </w:rPr>
              <w:lastRenderedPageBreak/>
              <w:t xml:space="preserve">au Protocole additionnel pour remplir leurs </w:t>
            </w:r>
            <w:r w:rsidR="007B2B61" w:rsidRPr="00AB2BEB">
              <w:rPr>
                <w:kern w:val="22"/>
                <w:szCs w:val="22"/>
                <w:lang w:val="fr-FR"/>
              </w:rPr>
              <w:t>fonctions</w:t>
            </w:r>
            <w:r w:rsidR="00C96D21">
              <w:rPr>
                <w:kern w:val="22"/>
                <w:szCs w:val="22"/>
                <w:lang w:val="fr-FR"/>
              </w:rPr>
              <w:t>;</w:t>
            </w:r>
          </w:p>
          <w:p w14:paraId="131FA8E5" w14:textId="77777777" w:rsidR="00B22630" w:rsidRPr="00AB2BEB" w:rsidRDefault="00B22630" w:rsidP="00274B14">
            <w:pPr>
              <w:suppressLineNumbers/>
              <w:suppressAutoHyphens/>
              <w:spacing w:before="60" w:after="60"/>
              <w:jc w:val="left"/>
              <w:rPr>
                <w:rFonts w:eastAsia="MS Mincho"/>
                <w:strike/>
                <w:kern w:val="22"/>
                <w:szCs w:val="22"/>
                <w:lang w:val="fr-FR"/>
              </w:rPr>
            </w:pPr>
            <w:r w:rsidRPr="00AB2BEB">
              <w:rPr>
                <w:kern w:val="22"/>
                <w:szCs w:val="22"/>
                <w:lang w:val="fr-FR"/>
              </w:rPr>
              <w:t>5) Élaboration ou identification de références relatives à l</w:t>
            </w:r>
            <w:r w:rsidR="004645B4" w:rsidRPr="00AB2BEB">
              <w:rPr>
                <w:kern w:val="22"/>
                <w:szCs w:val="22"/>
                <w:lang w:val="fr-FR"/>
              </w:rPr>
              <w:t>’</w:t>
            </w:r>
            <w:r w:rsidRPr="00AB2BEB">
              <w:rPr>
                <w:kern w:val="22"/>
                <w:szCs w:val="22"/>
                <w:lang w:val="fr-FR"/>
              </w:rPr>
              <w:t>état de la biodiversité.</w:t>
            </w:r>
          </w:p>
        </w:tc>
        <w:tc>
          <w:tcPr>
            <w:tcW w:w="3118" w:type="dxa"/>
            <w:tcBorders>
              <w:bottom w:val="single" w:sz="4" w:space="0" w:color="auto"/>
            </w:tcBorders>
            <w:shd w:val="clear" w:color="auto" w:fill="auto"/>
          </w:tcPr>
          <w:p w14:paraId="131FA8E6" w14:textId="75502EA6" w:rsidR="00B22630" w:rsidRPr="00AB2BEB" w:rsidRDefault="00B22630" w:rsidP="00274B14">
            <w:pPr>
              <w:spacing w:before="60" w:after="60"/>
              <w:jc w:val="left"/>
              <w:rPr>
                <w:kern w:val="22"/>
                <w:szCs w:val="22"/>
                <w:lang w:val="fr-FR"/>
              </w:rPr>
            </w:pPr>
            <w:r w:rsidRPr="00AB2BEB">
              <w:rPr>
                <w:kern w:val="22"/>
                <w:szCs w:val="22"/>
                <w:lang w:val="fr-FR"/>
              </w:rPr>
              <w:lastRenderedPageBreak/>
              <w:t xml:space="preserve">i) Dispenser une formation en matière de sensibilisation au Protocole additionnel pour soutenir la ratification et </w:t>
            </w:r>
            <w:r w:rsidR="00A33776" w:rsidRPr="00AB2BEB">
              <w:rPr>
                <w:kern w:val="22"/>
                <w:szCs w:val="22"/>
                <w:lang w:val="fr-FR"/>
              </w:rPr>
              <w:t>l’application</w:t>
            </w:r>
            <w:r w:rsidR="00C96D21">
              <w:rPr>
                <w:kern w:val="22"/>
                <w:szCs w:val="22"/>
                <w:lang w:val="fr-FR"/>
              </w:rPr>
              <w:t>;</w:t>
            </w:r>
          </w:p>
          <w:p w14:paraId="131FA8E7" w14:textId="77777777" w:rsidR="00B22630" w:rsidRPr="00AB2BEB" w:rsidRDefault="00B22630" w:rsidP="00274B14">
            <w:pPr>
              <w:spacing w:before="60" w:after="60"/>
              <w:jc w:val="left"/>
              <w:rPr>
                <w:b/>
                <w:kern w:val="22"/>
                <w:szCs w:val="22"/>
                <w:lang w:val="fr-FR"/>
              </w:rPr>
            </w:pPr>
          </w:p>
          <w:p w14:paraId="131FA8E8" w14:textId="4B9AAD7F" w:rsidR="00B22630" w:rsidRPr="00AB2BEB" w:rsidRDefault="00B22630" w:rsidP="00274B14">
            <w:pPr>
              <w:spacing w:before="60" w:after="60"/>
              <w:jc w:val="left"/>
              <w:rPr>
                <w:rFonts w:eastAsia="MS Mincho"/>
                <w:kern w:val="22"/>
                <w:szCs w:val="22"/>
                <w:lang w:val="fr-FR"/>
              </w:rPr>
            </w:pPr>
            <w:r w:rsidRPr="00AB2BEB">
              <w:rPr>
                <w:b/>
                <w:kern w:val="22"/>
                <w:szCs w:val="22"/>
                <w:lang w:val="fr-FR"/>
              </w:rPr>
              <w:t>Pour les Parties au</w:t>
            </w:r>
            <w:r w:rsidRPr="00AB2BEB">
              <w:rPr>
                <w:kern w:val="22"/>
                <w:szCs w:val="22"/>
                <w:lang w:val="fr-FR"/>
              </w:rPr>
              <w:t xml:space="preserve"> </w:t>
            </w:r>
            <w:r w:rsidRPr="00AB2BEB">
              <w:rPr>
                <w:b/>
                <w:bCs/>
                <w:kern w:val="22"/>
                <w:szCs w:val="22"/>
                <w:lang w:val="fr-FR"/>
              </w:rPr>
              <w:t>Protocole additionnel </w:t>
            </w:r>
            <w:r w:rsidRPr="00AB2BEB">
              <w:rPr>
                <w:rFonts w:eastAsia="MS Mincho"/>
                <w:kern w:val="22"/>
                <w:szCs w:val="22"/>
                <w:lang w:val="fr-FR"/>
              </w:rPr>
              <w:t>:</w:t>
            </w:r>
          </w:p>
          <w:p w14:paraId="131FA8E9" w14:textId="359CDB87" w:rsidR="00B22630" w:rsidRPr="00AB2BEB" w:rsidRDefault="00B22630" w:rsidP="00274B14">
            <w:pPr>
              <w:spacing w:before="60" w:after="60"/>
              <w:jc w:val="left"/>
              <w:rPr>
                <w:rFonts w:eastAsia="MS Mincho"/>
                <w:kern w:val="22"/>
                <w:szCs w:val="22"/>
                <w:lang w:val="fr-FR"/>
              </w:rPr>
            </w:pPr>
            <w:r w:rsidRPr="00AB2BEB">
              <w:rPr>
                <w:kern w:val="22"/>
                <w:szCs w:val="22"/>
                <w:lang w:val="fr-FR"/>
              </w:rPr>
              <w:t>ii) Dispenser une formation sur l</w:t>
            </w:r>
            <w:r w:rsidR="004645B4" w:rsidRPr="00AB2BEB">
              <w:rPr>
                <w:kern w:val="22"/>
                <w:szCs w:val="22"/>
                <w:lang w:val="fr-FR"/>
              </w:rPr>
              <w:t>’</w:t>
            </w:r>
            <w:r w:rsidRPr="00AB2BEB">
              <w:rPr>
                <w:kern w:val="22"/>
                <w:szCs w:val="22"/>
                <w:lang w:val="fr-FR"/>
              </w:rPr>
              <w:t xml:space="preserve">analyse des lois, des politiques générales et des cadres institutionnels afin de déterminer comment ils répondent aux exigences du Protocole </w:t>
            </w:r>
            <w:r w:rsidR="007B2B61" w:rsidRPr="00AB2BEB">
              <w:rPr>
                <w:kern w:val="22"/>
                <w:szCs w:val="22"/>
                <w:lang w:val="fr-FR"/>
              </w:rPr>
              <w:t>additionnel</w:t>
            </w:r>
            <w:r w:rsidR="00C96D21">
              <w:rPr>
                <w:kern w:val="22"/>
                <w:szCs w:val="22"/>
                <w:lang w:val="fr-FR"/>
              </w:rPr>
              <w:t>;</w:t>
            </w:r>
          </w:p>
          <w:p w14:paraId="131FA8EA" w14:textId="298C0C14" w:rsidR="00B22630" w:rsidRPr="00AB2BEB" w:rsidRDefault="00B22630" w:rsidP="00274B14">
            <w:pPr>
              <w:spacing w:before="60" w:after="60"/>
              <w:jc w:val="left"/>
              <w:rPr>
                <w:rFonts w:eastAsia="MS Mincho"/>
                <w:kern w:val="22"/>
                <w:szCs w:val="22"/>
                <w:lang w:val="fr-FR"/>
              </w:rPr>
            </w:pPr>
            <w:r w:rsidRPr="00AB2BEB">
              <w:rPr>
                <w:kern w:val="22"/>
                <w:szCs w:val="22"/>
                <w:lang w:val="fr-FR"/>
              </w:rPr>
              <w:t>iii) Dispenser une formation sur l</w:t>
            </w:r>
            <w:r w:rsidR="004645B4" w:rsidRPr="00AB2BEB">
              <w:rPr>
                <w:kern w:val="22"/>
                <w:szCs w:val="22"/>
                <w:lang w:val="fr-FR"/>
              </w:rPr>
              <w:t>’</w:t>
            </w:r>
            <w:r w:rsidRPr="00AB2BEB">
              <w:rPr>
                <w:kern w:val="22"/>
                <w:szCs w:val="22"/>
                <w:lang w:val="fr-FR"/>
              </w:rPr>
              <w:t xml:space="preserve">élaboration ou la révision des cadres juridiques et administratifs nationaux pour appliquer le Protocole </w:t>
            </w:r>
            <w:r w:rsidR="007B2B61" w:rsidRPr="00AB2BEB">
              <w:rPr>
                <w:kern w:val="22"/>
                <w:szCs w:val="22"/>
                <w:lang w:val="fr-FR"/>
              </w:rPr>
              <w:t>additionnel</w:t>
            </w:r>
            <w:r w:rsidR="00C96D21">
              <w:rPr>
                <w:kern w:val="22"/>
                <w:szCs w:val="22"/>
                <w:lang w:val="fr-FR"/>
              </w:rPr>
              <w:t>;</w:t>
            </w:r>
          </w:p>
          <w:p w14:paraId="131FA8EB" w14:textId="3E5C26B4" w:rsidR="00B22630" w:rsidRPr="00AB2BEB" w:rsidRDefault="00B22630" w:rsidP="00274B14">
            <w:pPr>
              <w:spacing w:before="60" w:after="60"/>
              <w:jc w:val="left"/>
              <w:rPr>
                <w:rFonts w:eastAsia="MS Mincho"/>
                <w:kern w:val="22"/>
                <w:szCs w:val="22"/>
                <w:lang w:val="fr-FR"/>
              </w:rPr>
            </w:pPr>
            <w:r w:rsidRPr="00AB2BEB">
              <w:rPr>
                <w:kern w:val="22"/>
                <w:szCs w:val="22"/>
                <w:lang w:val="fr-FR"/>
              </w:rPr>
              <w:t xml:space="preserve">iv) Élaborer du matériel ressource pour aider les autorités </w:t>
            </w:r>
            <w:r w:rsidRPr="00AB2BEB">
              <w:rPr>
                <w:kern w:val="22"/>
                <w:szCs w:val="22"/>
                <w:lang w:val="fr-FR"/>
              </w:rPr>
              <w:lastRenderedPageBreak/>
              <w:t>compétentes à s</w:t>
            </w:r>
            <w:r w:rsidR="004645B4" w:rsidRPr="00AB2BEB">
              <w:rPr>
                <w:kern w:val="22"/>
                <w:szCs w:val="22"/>
                <w:lang w:val="fr-FR"/>
              </w:rPr>
              <w:t>’</w:t>
            </w:r>
            <w:r w:rsidRPr="00AB2BEB">
              <w:rPr>
                <w:kern w:val="22"/>
                <w:szCs w:val="22"/>
                <w:lang w:val="fr-FR"/>
              </w:rPr>
              <w:t xml:space="preserve">acquitter de leurs responsabilités au titre du Protocole </w:t>
            </w:r>
            <w:r w:rsidR="007B2B61" w:rsidRPr="00AB2BEB">
              <w:rPr>
                <w:kern w:val="22"/>
                <w:szCs w:val="22"/>
                <w:lang w:val="fr-FR"/>
              </w:rPr>
              <w:t>additionnel</w:t>
            </w:r>
            <w:r w:rsidR="00C96D21">
              <w:rPr>
                <w:kern w:val="22"/>
                <w:szCs w:val="22"/>
                <w:lang w:val="fr-FR"/>
              </w:rPr>
              <w:t>;</w:t>
            </w:r>
          </w:p>
          <w:p w14:paraId="131FA8EC" w14:textId="60A7ACE9" w:rsidR="00B22630" w:rsidRPr="00AB2BEB" w:rsidRDefault="00B22630" w:rsidP="00274B14">
            <w:pPr>
              <w:spacing w:before="60" w:after="60"/>
              <w:jc w:val="left"/>
              <w:rPr>
                <w:rFonts w:eastAsia="MS Mincho"/>
                <w:kern w:val="22"/>
                <w:szCs w:val="22"/>
                <w:lang w:val="fr-FR"/>
              </w:rPr>
            </w:pPr>
            <w:r w:rsidRPr="00AB2BEB">
              <w:rPr>
                <w:kern w:val="22"/>
                <w:szCs w:val="22"/>
                <w:lang w:val="fr-FR"/>
              </w:rPr>
              <w:t xml:space="preserve">v) </w:t>
            </w:r>
            <w:r w:rsidR="005C56A4">
              <w:rPr>
                <w:kern w:val="22"/>
                <w:szCs w:val="22"/>
                <w:lang w:val="fr-FR"/>
              </w:rPr>
              <w:t>Assurer</w:t>
            </w:r>
            <w:r w:rsidR="00B57CE3" w:rsidRPr="00AB2BEB">
              <w:rPr>
                <w:kern w:val="22"/>
                <w:szCs w:val="22"/>
                <w:lang w:val="fr-FR"/>
              </w:rPr>
              <w:t xml:space="preserve"> une formation sur l</w:t>
            </w:r>
            <w:r w:rsidR="004645B4" w:rsidRPr="00AB2BEB">
              <w:rPr>
                <w:kern w:val="22"/>
                <w:szCs w:val="22"/>
                <w:lang w:val="fr-FR"/>
              </w:rPr>
              <w:t>’</w:t>
            </w:r>
            <w:r w:rsidR="00B57CE3" w:rsidRPr="00AB2BEB">
              <w:rPr>
                <w:kern w:val="22"/>
                <w:szCs w:val="22"/>
                <w:lang w:val="fr-FR"/>
              </w:rPr>
              <w:t>évaluation des dommages, l</w:t>
            </w:r>
            <w:r w:rsidR="004645B4" w:rsidRPr="00AB2BEB">
              <w:rPr>
                <w:kern w:val="22"/>
                <w:szCs w:val="22"/>
                <w:lang w:val="fr-FR"/>
              </w:rPr>
              <w:t>’</w:t>
            </w:r>
            <w:r w:rsidR="005C56A4">
              <w:rPr>
                <w:kern w:val="22"/>
                <w:szCs w:val="22"/>
                <w:lang w:val="fr-FR"/>
              </w:rPr>
              <w:t>établissement des liens</w:t>
            </w:r>
            <w:r w:rsidR="00B57CE3" w:rsidRPr="00AB2BEB">
              <w:rPr>
                <w:kern w:val="22"/>
                <w:szCs w:val="22"/>
                <w:lang w:val="fr-FR"/>
              </w:rPr>
              <w:t xml:space="preserve"> de causalité, et la détermination des mesures d</w:t>
            </w:r>
            <w:r w:rsidR="004645B4" w:rsidRPr="00AB2BEB">
              <w:rPr>
                <w:kern w:val="22"/>
                <w:szCs w:val="22"/>
                <w:lang w:val="fr-FR"/>
              </w:rPr>
              <w:t>’</w:t>
            </w:r>
            <w:r w:rsidR="00B57CE3" w:rsidRPr="00AB2BEB">
              <w:rPr>
                <w:kern w:val="22"/>
                <w:szCs w:val="22"/>
                <w:lang w:val="fr-FR"/>
              </w:rPr>
              <w:t>intervention appropriées aux autorités compétentes et à d</w:t>
            </w:r>
            <w:r w:rsidR="004645B4" w:rsidRPr="00AB2BEB">
              <w:rPr>
                <w:kern w:val="22"/>
                <w:szCs w:val="22"/>
                <w:lang w:val="fr-FR"/>
              </w:rPr>
              <w:t>’</w:t>
            </w:r>
            <w:r w:rsidR="00B57CE3" w:rsidRPr="00AB2BEB">
              <w:rPr>
                <w:kern w:val="22"/>
                <w:szCs w:val="22"/>
                <w:lang w:val="fr-FR"/>
              </w:rPr>
              <w:t xml:space="preserve">autres parties prenantes </w:t>
            </w:r>
            <w:r w:rsidR="007B2B61" w:rsidRPr="00AB2BEB">
              <w:rPr>
                <w:kern w:val="22"/>
                <w:szCs w:val="22"/>
                <w:lang w:val="fr-FR"/>
              </w:rPr>
              <w:t>concernées</w:t>
            </w:r>
            <w:r w:rsidR="00C96D21">
              <w:rPr>
                <w:kern w:val="22"/>
                <w:szCs w:val="22"/>
                <w:lang w:val="fr-FR"/>
              </w:rPr>
              <w:t>;</w:t>
            </w:r>
          </w:p>
          <w:p w14:paraId="131FA8ED" w14:textId="77777777" w:rsidR="00B22630" w:rsidRPr="00AB2BEB" w:rsidRDefault="00B22630" w:rsidP="00274B14">
            <w:pPr>
              <w:spacing w:before="60" w:after="60"/>
              <w:jc w:val="left"/>
              <w:rPr>
                <w:rFonts w:eastAsia="MS Mincho"/>
                <w:kern w:val="22"/>
                <w:szCs w:val="22"/>
                <w:lang w:val="fr-FR"/>
              </w:rPr>
            </w:pPr>
            <w:r w:rsidRPr="00AB2BEB">
              <w:rPr>
                <w:kern w:val="22"/>
                <w:szCs w:val="22"/>
                <w:lang w:val="fr-FR"/>
              </w:rPr>
              <w:t>vi) Consolider et partager des informations sur l</w:t>
            </w:r>
            <w:r w:rsidR="004645B4" w:rsidRPr="00AB2BEB">
              <w:rPr>
                <w:kern w:val="22"/>
                <w:szCs w:val="22"/>
                <w:lang w:val="fr-FR"/>
              </w:rPr>
              <w:t>’</w:t>
            </w:r>
            <w:r w:rsidRPr="00AB2BEB">
              <w:rPr>
                <w:kern w:val="22"/>
                <w:szCs w:val="22"/>
                <w:lang w:val="fr-FR"/>
              </w:rPr>
              <w:t>expérience acquise et les enseignements tirés de l</w:t>
            </w:r>
            <w:r w:rsidR="004645B4" w:rsidRPr="00AB2BEB">
              <w:rPr>
                <w:kern w:val="22"/>
                <w:szCs w:val="22"/>
                <w:lang w:val="fr-FR"/>
              </w:rPr>
              <w:t>’</w:t>
            </w:r>
            <w:r w:rsidRPr="00AB2BEB">
              <w:rPr>
                <w:kern w:val="22"/>
                <w:szCs w:val="22"/>
                <w:lang w:val="fr-FR"/>
              </w:rPr>
              <w:t>application du Protocole additionnel.</w:t>
            </w:r>
          </w:p>
        </w:tc>
        <w:tc>
          <w:tcPr>
            <w:tcW w:w="3261" w:type="dxa"/>
            <w:tcBorders>
              <w:bottom w:val="single" w:sz="4" w:space="0" w:color="auto"/>
            </w:tcBorders>
          </w:tcPr>
          <w:p w14:paraId="131FA8EE" w14:textId="07FEB848"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szCs w:val="22"/>
                <w:lang w:val="fr-FR"/>
              </w:rPr>
              <w:lastRenderedPageBreak/>
              <w:t>a) Pourcentage de Parties au Protocole de Cartagena ayant reçu une formation sur la ratification du Protocole additionnel</w:t>
            </w:r>
            <w:r w:rsidR="00C96D21">
              <w:rPr>
                <w:rFonts w:eastAsia="MS Mincho"/>
                <w:szCs w:val="22"/>
                <w:lang w:val="fr-FR"/>
              </w:rPr>
              <w:t>;</w:t>
            </w:r>
          </w:p>
          <w:p w14:paraId="131FA8EF" w14:textId="0A3197EC"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b) Pourcentage de Par</w:t>
            </w:r>
            <w:r w:rsidR="005C56A4">
              <w:rPr>
                <w:rFonts w:eastAsia="MS Mincho"/>
                <w:kern w:val="22"/>
                <w:szCs w:val="22"/>
                <w:lang w:val="fr-FR"/>
              </w:rPr>
              <w:t>ties ayant un personnel formé à l’</w:t>
            </w:r>
            <w:r w:rsidRPr="00AB2BEB">
              <w:rPr>
                <w:rFonts w:eastAsia="MS Mincho"/>
                <w:kern w:val="22"/>
                <w:szCs w:val="22"/>
                <w:lang w:val="fr-FR"/>
              </w:rPr>
              <w:t xml:space="preserve">analyse des lois, politiques générales et cadres institutionnels en lien avec les exigences du Protocole </w:t>
            </w:r>
            <w:r w:rsidR="007B2B61" w:rsidRPr="00AB2BEB">
              <w:rPr>
                <w:rFonts w:eastAsia="MS Mincho"/>
                <w:kern w:val="22"/>
                <w:szCs w:val="22"/>
                <w:lang w:val="fr-FR"/>
              </w:rPr>
              <w:t>additionnel</w:t>
            </w:r>
            <w:r w:rsidR="00C96D21">
              <w:rPr>
                <w:rFonts w:eastAsia="MS Mincho"/>
                <w:kern w:val="22"/>
                <w:szCs w:val="22"/>
                <w:lang w:val="fr-FR"/>
              </w:rPr>
              <w:t>;</w:t>
            </w:r>
          </w:p>
          <w:p w14:paraId="131FA8F0" w14:textId="5ED815D1"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c) Pourcentage de Parties ayant formé du personnel en matière d</w:t>
            </w:r>
            <w:r w:rsidR="004645B4" w:rsidRPr="00AB2BEB">
              <w:rPr>
                <w:rFonts w:eastAsia="MS Mincho"/>
                <w:kern w:val="22"/>
                <w:szCs w:val="22"/>
                <w:lang w:val="fr-FR"/>
              </w:rPr>
              <w:t>’</w:t>
            </w:r>
            <w:r w:rsidRPr="00AB2BEB">
              <w:rPr>
                <w:rFonts w:eastAsia="MS Mincho"/>
                <w:kern w:val="22"/>
                <w:szCs w:val="22"/>
                <w:lang w:val="fr-FR"/>
              </w:rPr>
              <w:t xml:space="preserve">élaboration et de révision des cadres juridiques ou administratifs nationaux pour appliquer le Protocole </w:t>
            </w:r>
            <w:r w:rsidR="007B2B61" w:rsidRPr="00AB2BEB">
              <w:rPr>
                <w:rFonts w:eastAsia="MS Mincho"/>
                <w:kern w:val="22"/>
                <w:szCs w:val="22"/>
                <w:lang w:val="fr-FR"/>
              </w:rPr>
              <w:t>additionnel</w:t>
            </w:r>
            <w:r w:rsidR="00C96D21">
              <w:rPr>
                <w:rFonts w:eastAsia="MS Mincho"/>
                <w:kern w:val="22"/>
                <w:szCs w:val="22"/>
                <w:lang w:val="fr-FR"/>
              </w:rPr>
              <w:t>;</w:t>
            </w:r>
            <w:r w:rsidRPr="00AB2BEB">
              <w:rPr>
                <w:rFonts w:eastAsia="MS Mincho"/>
                <w:kern w:val="22"/>
                <w:szCs w:val="22"/>
                <w:lang w:val="fr-FR"/>
              </w:rPr>
              <w:t xml:space="preserve"> </w:t>
            </w:r>
          </w:p>
          <w:p w14:paraId="131FA8F1" w14:textId="3498B7AB"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 xml:space="preserve">d) Pourcentage de Parties qui utilisent du matériel </w:t>
            </w:r>
            <w:r w:rsidRPr="00AB2BEB">
              <w:rPr>
                <w:kern w:val="22"/>
                <w:szCs w:val="22"/>
                <w:lang w:val="fr-FR"/>
              </w:rPr>
              <w:t>ressource</w:t>
            </w:r>
            <w:r w:rsidRPr="00AB2BEB">
              <w:rPr>
                <w:rFonts w:eastAsia="MS Mincho"/>
                <w:kern w:val="22"/>
                <w:szCs w:val="22"/>
                <w:lang w:val="fr-FR"/>
              </w:rPr>
              <w:t xml:space="preserve"> </w:t>
            </w:r>
            <w:r w:rsidR="0058253A" w:rsidRPr="00AB2BEB">
              <w:rPr>
                <w:rFonts w:eastAsia="MS Mincho"/>
                <w:kern w:val="22"/>
                <w:szCs w:val="22"/>
                <w:lang w:val="fr-FR"/>
              </w:rPr>
              <w:t>concernant l</w:t>
            </w:r>
            <w:r w:rsidR="004645B4" w:rsidRPr="00AB2BEB">
              <w:rPr>
                <w:rFonts w:eastAsia="MS Mincho"/>
                <w:kern w:val="22"/>
                <w:szCs w:val="22"/>
                <w:lang w:val="fr-FR"/>
              </w:rPr>
              <w:t>’</w:t>
            </w:r>
            <w:r w:rsidR="0058253A" w:rsidRPr="00AB2BEB">
              <w:rPr>
                <w:rFonts w:eastAsia="MS Mincho"/>
                <w:kern w:val="22"/>
                <w:szCs w:val="22"/>
                <w:lang w:val="fr-FR"/>
              </w:rPr>
              <w:t>application du</w:t>
            </w:r>
            <w:r w:rsidRPr="00AB2BEB">
              <w:rPr>
                <w:rFonts w:eastAsia="MS Mincho"/>
                <w:kern w:val="22"/>
                <w:szCs w:val="22"/>
                <w:lang w:val="fr-FR"/>
              </w:rPr>
              <w:t xml:space="preserve"> Protocole </w:t>
            </w:r>
            <w:r w:rsidR="007B2B61" w:rsidRPr="00AB2BEB">
              <w:rPr>
                <w:rFonts w:eastAsia="MS Mincho"/>
                <w:kern w:val="22"/>
                <w:szCs w:val="22"/>
                <w:lang w:val="fr-FR"/>
              </w:rPr>
              <w:t>additionnel</w:t>
            </w:r>
            <w:r w:rsidR="00C96D21">
              <w:rPr>
                <w:rFonts w:eastAsia="MS Mincho"/>
                <w:kern w:val="22"/>
                <w:szCs w:val="22"/>
                <w:lang w:val="fr-FR"/>
              </w:rPr>
              <w:t>;</w:t>
            </w:r>
            <w:r w:rsidRPr="00AB2BEB">
              <w:rPr>
                <w:rFonts w:eastAsia="MS Mincho"/>
                <w:kern w:val="22"/>
                <w:szCs w:val="22"/>
                <w:lang w:val="fr-FR"/>
              </w:rPr>
              <w:t xml:space="preserve"> </w:t>
            </w:r>
          </w:p>
          <w:p w14:paraId="131FA8F2" w14:textId="3E86BCAF"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e)</w:t>
            </w:r>
            <w:r w:rsidR="0058253A" w:rsidRPr="00AB2BEB">
              <w:rPr>
                <w:rFonts w:eastAsia="MS Mincho"/>
                <w:kern w:val="22"/>
                <w:szCs w:val="22"/>
                <w:lang w:val="fr-FR"/>
              </w:rPr>
              <w:t xml:space="preserve"> Pourcentage des Parties dont les autorités compétentes et autres parties prenantes concernées ont </w:t>
            </w:r>
            <w:r w:rsidR="0058253A" w:rsidRPr="00AB2BEB">
              <w:rPr>
                <w:rFonts w:eastAsia="MS Mincho"/>
                <w:kern w:val="22"/>
                <w:szCs w:val="22"/>
                <w:lang w:val="fr-FR"/>
              </w:rPr>
              <w:lastRenderedPageBreak/>
              <w:t>été formées pour</w:t>
            </w:r>
            <w:r w:rsidR="00B57CE3" w:rsidRPr="00AB2BEB">
              <w:rPr>
                <w:rFonts w:eastAsia="MS Mincho"/>
                <w:kern w:val="22"/>
                <w:szCs w:val="22"/>
                <w:lang w:val="fr-FR"/>
              </w:rPr>
              <w:t xml:space="preserve"> être en mesure</w:t>
            </w:r>
            <w:r w:rsidR="0058253A" w:rsidRPr="00AB2BEB">
              <w:rPr>
                <w:rFonts w:eastAsia="MS Mincho"/>
                <w:kern w:val="22"/>
                <w:szCs w:val="22"/>
                <w:lang w:val="fr-FR"/>
              </w:rPr>
              <w:t xml:space="preserve"> </w:t>
            </w:r>
            <w:r w:rsidR="00B57CE3" w:rsidRPr="00AB2BEB">
              <w:rPr>
                <w:rFonts w:eastAsia="MS Mincho"/>
                <w:kern w:val="22"/>
                <w:szCs w:val="22"/>
                <w:lang w:val="fr-FR"/>
              </w:rPr>
              <w:t>d</w:t>
            </w:r>
            <w:r w:rsidR="004645B4" w:rsidRPr="00AB2BEB">
              <w:rPr>
                <w:rFonts w:eastAsia="MS Mincho"/>
                <w:kern w:val="22"/>
                <w:szCs w:val="22"/>
                <w:lang w:val="fr-FR"/>
              </w:rPr>
              <w:t>’</w:t>
            </w:r>
            <w:r w:rsidR="0058253A" w:rsidRPr="00AB2BEB">
              <w:rPr>
                <w:rFonts w:eastAsia="MS Mincho"/>
                <w:kern w:val="22"/>
                <w:szCs w:val="22"/>
                <w:lang w:val="fr-FR"/>
              </w:rPr>
              <w:t xml:space="preserve">évaluer les dommages, </w:t>
            </w:r>
            <w:r w:rsidR="00B57CE3" w:rsidRPr="00AB2BEB">
              <w:rPr>
                <w:rFonts w:eastAsia="MS Mincho"/>
                <w:kern w:val="22"/>
                <w:szCs w:val="22"/>
                <w:lang w:val="fr-FR"/>
              </w:rPr>
              <w:t>d</w:t>
            </w:r>
            <w:r w:rsidR="004645B4" w:rsidRPr="00AB2BEB">
              <w:rPr>
                <w:rFonts w:eastAsia="MS Mincho"/>
                <w:kern w:val="22"/>
                <w:szCs w:val="22"/>
                <w:lang w:val="fr-FR"/>
              </w:rPr>
              <w:t>’</w:t>
            </w:r>
            <w:r w:rsidR="0058253A" w:rsidRPr="00AB2BEB">
              <w:rPr>
                <w:rFonts w:eastAsia="MS Mincho"/>
                <w:kern w:val="22"/>
                <w:szCs w:val="22"/>
                <w:lang w:val="fr-FR"/>
              </w:rPr>
              <w:t xml:space="preserve">établir des liens de causalité et </w:t>
            </w:r>
            <w:r w:rsidR="00B57CE3" w:rsidRPr="00AB2BEB">
              <w:rPr>
                <w:rFonts w:eastAsia="MS Mincho"/>
                <w:kern w:val="22"/>
                <w:szCs w:val="22"/>
                <w:lang w:val="fr-FR"/>
              </w:rPr>
              <w:t xml:space="preserve">de </w:t>
            </w:r>
            <w:r w:rsidR="0058253A" w:rsidRPr="00AB2BEB">
              <w:rPr>
                <w:rFonts w:eastAsia="MS Mincho"/>
                <w:kern w:val="22"/>
                <w:szCs w:val="22"/>
                <w:lang w:val="fr-FR"/>
              </w:rPr>
              <w:t>déterminer les mesures d</w:t>
            </w:r>
            <w:r w:rsidR="004645B4" w:rsidRPr="00AB2BEB">
              <w:rPr>
                <w:rFonts w:eastAsia="MS Mincho"/>
                <w:kern w:val="22"/>
                <w:szCs w:val="22"/>
                <w:lang w:val="fr-FR"/>
              </w:rPr>
              <w:t>’</w:t>
            </w:r>
            <w:r w:rsidR="0058253A" w:rsidRPr="00AB2BEB">
              <w:rPr>
                <w:rFonts w:eastAsia="MS Mincho"/>
                <w:kern w:val="22"/>
                <w:szCs w:val="22"/>
                <w:lang w:val="fr-FR"/>
              </w:rPr>
              <w:t xml:space="preserve">intervention appropriées à </w:t>
            </w:r>
            <w:r w:rsidR="007B2B61" w:rsidRPr="00AB2BEB">
              <w:rPr>
                <w:rFonts w:eastAsia="MS Mincho"/>
                <w:kern w:val="22"/>
                <w:szCs w:val="22"/>
                <w:lang w:val="fr-FR"/>
              </w:rPr>
              <w:t>prendre</w:t>
            </w:r>
            <w:r w:rsidR="00C96D21">
              <w:rPr>
                <w:rFonts w:eastAsia="MS Mincho"/>
                <w:kern w:val="22"/>
                <w:szCs w:val="22"/>
                <w:lang w:val="fr-FR"/>
              </w:rPr>
              <w:t>;</w:t>
            </w:r>
          </w:p>
          <w:p w14:paraId="131FA8F3" w14:textId="7B096EA0" w:rsidR="00B22630" w:rsidRPr="00AB2BEB" w:rsidRDefault="00B22630" w:rsidP="00274B14">
            <w:pPr>
              <w:suppressLineNumbers/>
              <w:suppressAutoHyphens/>
              <w:spacing w:before="60" w:after="60"/>
              <w:jc w:val="left"/>
              <w:rPr>
                <w:rFonts w:eastAsia="MS Mincho"/>
                <w:szCs w:val="22"/>
                <w:lang w:val="fr-FR"/>
              </w:rPr>
            </w:pPr>
            <w:r w:rsidRPr="00AB2BEB">
              <w:rPr>
                <w:rFonts w:eastAsia="MS Mincho"/>
                <w:szCs w:val="22"/>
                <w:lang w:val="fr-FR"/>
              </w:rPr>
              <w:t>f) Pourcent</w:t>
            </w:r>
            <w:r w:rsidR="007418E9">
              <w:rPr>
                <w:rFonts w:eastAsia="MS Mincho"/>
                <w:szCs w:val="22"/>
                <w:lang w:val="fr-FR"/>
              </w:rPr>
              <w:t>age de Parties qui consolident et partagent</w:t>
            </w:r>
            <w:r w:rsidRPr="00AB2BEB">
              <w:rPr>
                <w:rFonts w:eastAsia="MS Mincho"/>
                <w:szCs w:val="22"/>
                <w:lang w:val="fr-FR"/>
              </w:rPr>
              <w:t xml:space="preserve"> des informations sur l</w:t>
            </w:r>
            <w:r w:rsidR="004645B4" w:rsidRPr="00AB2BEB">
              <w:rPr>
                <w:rFonts w:eastAsia="MS Mincho"/>
                <w:szCs w:val="22"/>
                <w:lang w:val="fr-FR"/>
              </w:rPr>
              <w:t>’</w:t>
            </w:r>
            <w:r w:rsidRPr="00AB2BEB">
              <w:rPr>
                <w:rFonts w:eastAsia="MS Mincho"/>
                <w:szCs w:val="22"/>
                <w:lang w:val="fr-FR"/>
              </w:rPr>
              <w:t>expérience acquise et les enseignements tirés de l</w:t>
            </w:r>
            <w:r w:rsidR="004645B4" w:rsidRPr="00AB2BEB">
              <w:rPr>
                <w:rFonts w:eastAsia="MS Mincho"/>
                <w:szCs w:val="22"/>
                <w:lang w:val="fr-FR"/>
              </w:rPr>
              <w:t>’</w:t>
            </w:r>
            <w:r w:rsidRPr="00AB2BEB">
              <w:rPr>
                <w:rFonts w:eastAsia="MS Mincho"/>
                <w:szCs w:val="22"/>
                <w:lang w:val="fr-FR"/>
              </w:rPr>
              <w:t xml:space="preserve">application du Protocole </w:t>
            </w:r>
            <w:r w:rsidR="005E4BB8" w:rsidRPr="00AB2BEB">
              <w:rPr>
                <w:rFonts w:eastAsia="MS Mincho"/>
                <w:szCs w:val="22"/>
                <w:lang w:val="fr-FR"/>
              </w:rPr>
              <w:t>additionnel</w:t>
            </w:r>
            <w:r w:rsidR="007418E9">
              <w:rPr>
                <w:rFonts w:eastAsia="MS Mincho"/>
                <w:szCs w:val="22"/>
                <w:lang w:val="fr-FR"/>
              </w:rPr>
              <w:t>.</w:t>
            </w:r>
          </w:p>
        </w:tc>
        <w:tc>
          <w:tcPr>
            <w:tcW w:w="2835" w:type="dxa"/>
            <w:tcBorders>
              <w:bottom w:val="single" w:sz="4" w:space="0" w:color="auto"/>
            </w:tcBorders>
          </w:tcPr>
          <w:p w14:paraId="131FA8F4" w14:textId="74CD6F9B" w:rsidR="00B22630" w:rsidRPr="00AB2BEB" w:rsidRDefault="00B22630" w:rsidP="00274B14">
            <w:pPr>
              <w:spacing w:before="60" w:after="60"/>
              <w:jc w:val="left"/>
              <w:rPr>
                <w:rFonts w:eastAsia="MS Mincho"/>
                <w:kern w:val="22"/>
                <w:szCs w:val="22"/>
                <w:lang w:val="fr-FR"/>
              </w:rPr>
            </w:pPr>
            <w:r w:rsidRPr="00AB2BEB">
              <w:rPr>
                <w:kern w:val="22"/>
                <w:szCs w:val="22"/>
                <w:lang w:val="fr-FR"/>
              </w:rPr>
              <w:lastRenderedPageBreak/>
              <w:t>L</w:t>
            </w:r>
            <w:r w:rsidR="004645B4" w:rsidRPr="00AB2BEB">
              <w:rPr>
                <w:kern w:val="22"/>
                <w:szCs w:val="22"/>
                <w:lang w:val="fr-FR"/>
              </w:rPr>
              <w:t>’</w:t>
            </w:r>
            <w:r w:rsidRPr="00AB2BEB">
              <w:rPr>
                <w:kern w:val="22"/>
                <w:szCs w:val="22"/>
                <w:lang w:val="fr-FR"/>
              </w:rPr>
              <w:t>augmentation du nombre de ratifications du Protocole additionnel de Nagoya – Kuala Lumpur sur la responsabilité et la réparation fait progresser l</w:t>
            </w:r>
            <w:r w:rsidR="004645B4" w:rsidRPr="00AB2BEB">
              <w:rPr>
                <w:kern w:val="22"/>
                <w:szCs w:val="22"/>
                <w:lang w:val="fr-FR"/>
              </w:rPr>
              <w:t>’</w:t>
            </w:r>
            <w:r w:rsidRPr="00AB2BEB">
              <w:rPr>
                <w:kern w:val="22"/>
                <w:szCs w:val="22"/>
                <w:lang w:val="fr-FR"/>
              </w:rPr>
              <w:t>élaboration de règles et procédures nationales sur la responsabilité et la réparation pour les dommages résultant d</w:t>
            </w:r>
            <w:r w:rsidR="004645B4" w:rsidRPr="00AB2BEB">
              <w:rPr>
                <w:kern w:val="22"/>
                <w:szCs w:val="22"/>
                <w:lang w:val="fr-FR"/>
              </w:rPr>
              <w:t>’</w:t>
            </w:r>
            <w:r w:rsidR="005C56A4">
              <w:rPr>
                <w:kern w:val="22"/>
                <w:szCs w:val="22"/>
                <w:lang w:val="fr-FR"/>
              </w:rPr>
              <w:t xml:space="preserve">OVM ayant leur origine dans </w:t>
            </w:r>
            <w:r w:rsidRPr="00AB2BEB">
              <w:rPr>
                <w:kern w:val="22"/>
                <w:szCs w:val="22"/>
                <w:lang w:val="fr-FR"/>
              </w:rPr>
              <w:t>un mouvement transfrontière.</w:t>
            </w:r>
          </w:p>
          <w:p w14:paraId="131FA8F5" w14:textId="77777777" w:rsidR="00B22630" w:rsidRPr="00AB2BEB" w:rsidRDefault="00B22630" w:rsidP="00274B14">
            <w:pPr>
              <w:suppressLineNumbers/>
              <w:suppressAutoHyphens/>
              <w:spacing w:before="60" w:after="60"/>
              <w:jc w:val="left"/>
              <w:rPr>
                <w:rFonts w:eastAsia="MS Mincho"/>
                <w:kern w:val="22"/>
                <w:szCs w:val="22"/>
                <w:lang w:val="fr-FR"/>
              </w:rPr>
            </w:pPr>
          </w:p>
        </w:tc>
      </w:tr>
      <w:tr w:rsidR="00DD64E5" w:rsidRPr="00261555" w14:paraId="131FA8F9" w14:textId="77777777" w:rsidTr="00274B14">
        <w:trPr>
          <w:jc w:val="center"/>
        </w:trPr>
        <w:tc>
          <w:tcPr>
            <w:tcW w:w="1705" w:type="dxa"/>
            <w:tcBorders>
              <w:top w:val="single" w:sz="4" w:space="0" w:color="auto"/>
              <w:left w:val="single" w:sz="4" w:space="0" w:color="auto"/>
              <w:bottom w:val="single" w:sz="4" w:space="0" w:color="auto"/>
              <w:right w:val="single" w:sz="4" w:space="0" w:color="auto"/>
            </w:tcBorders>
          </w:tcPr>
          <w:p w14:paraId="131FA8F7" w14:textId="77777777" w:rsidR="00DD64E5" w:rsidRPr="00AB2BEB" w:rsidRDefault="00DD64E5" w:rsidP="00274B14">
            <w:pPr>
              <w:suppressLineNumbers/>
              <w:suppressAutoHyphens/>
              <w:spacing w:before="60" w:after="60"/>
              <w:ind w:left="714" w:hanging="357"/>
              <w:jc w:val="center"/>
              <w:rPr>
                <w:rFonts w:eastAsia="MS Mincho"/>
                <w:b/>
                <w:bCs/>
                <w:kern w:val="22"/>
                <w:szCs w:val="22"/>
                <w:lang w:val="fr-FR"/>
              </w:rPr>
            </w:pPr>
          </w:p>
        </w:tc>
        <w:tc>
          <w:tcPr>
            <w:tcW w:w="11757" w:type="dxa"/>
            <w:gridSpan w:val="4"/>
            <w:tcBorders>
              <w:top w:val="single" w:sz="4" w:space="0" w:color="auto"/>
              <w:left w:val="single" w:sz="4" w:space="0" w:color="auto"/>
              <w:bottom w:val="single" w:sz="4" w:space="0" w:color="auto"/>
              <w:right w:val="single" w:sz="4" w:space="0" w:color="auto"/>
            </w:tcBorders>
            <w:shd w:val="clear" w:color="auto" w:fill="auto"/>
          </w:tcPr>
          <w:p w14:paraId="131FA8F8" w14:textId="02274185" w:rsidR="00DD64E5" w:rsidRPr="00AB2BEB" w:rsidRDefault="00DD64E5" w:rsidP="00274B14">
            <w:pPr>
              <w:suppressLineNumbers/>
              <w:suppressAutoHyphens/>
              <w:spacing w:before="60" w:after="60"/>
              <w:ind w:left="714" w:hanging="357"/>
              <w:jc w:val="center"/>
              <w:rPr>
                <w:rFonts w:eastAsia="MS Mincho"/>
                <w:b/>
                <w:bCs/>
                <w:kern w:val="22"/>
                <w:szCs w:val="22"/>
                <w:lang w:val="fr-FR"/>
              </w:rPr>
            </w:pPr>
            <w:r w:rsidRPr="00AB2BEB">
              <w:rPr>
                <w:rFonts w:eastAsia="MS Mincho"/>
                <w:b/>
                <w:bCs/>
                <w:kern w:val="22"/>
                <w:szCs w:val="22"/>
                <w:lang w:val="fr-FR"/>
              </w:rPr>
              <w:t>B.</w:t>
            </w:r>
            <w:r w:rsidRPr="00AB2BEB">
              <w:rPr>
                <w:rFonts w:eastAsia="MS Mincho"/>
                <w:b/>
                <w:bCs/>
                <w:kern w:val="22"/>
                <w:szCs w:val="22"/>
                <w:lang w:val="fr-FR"/>
              </w:rPr>
              <w:tab/>
            </w:r>
            <w:r w:rsidR="00261555">
              <w:rPr>
                <w:b/>
                <w:bCs/>
                <w:kern w:val="22"/>
                <w:szCs w:val="22"/>
                <w:lang w:val="fr-FR"/>
              </w:rPr>
              <w:t>Conditions</w:t>
            </w:r>
            <w:r w:rsidR="00B22630" w:rsidRPr="00AB2BEB">
              <w:rPr>
                <w:b/>
                <w:bCs/>
                <w:kern w:val="22"/>
                <w:szCs w:val="22"/>
                <w:lang w:val="fr-FR"/>
              </w:rPr>
              <w:t xml:space="preserve"> favorable</w:t>
            </w:r>
            <w:r w:rsidR="00261555">
              <w:rPr>
                <w:b/>
                <w:bCs/>
                <w:kern w:val="22"/>
                <w:szCs w:val="22"/>
                <w:lang w:val="fr-FR"/>
              </w:rPr>
              <w:t>s</w:t>
            </w:r>
          </w:p>
        </w:tc>
      </w:tr>
      <w:tr w:rsidR="00B22630" w:rsidRPr="00597279" w14:paraId="131FA90C" w14:textId="77777777" w:rsidTr="00737E63">
        <w:trPr>
          <w:jc w:val="center"/>
        </w:trPr>
        <w:tc>
          <w:tcPr>
            <w:tcW w:w="1705" w:type="dxa"/>
            <w:tcBorders>
              <w:top w:val="single" w:sz="4" w:space="0" w:color="auto"/>
            </w:tcBorders>
          </w:tcPr>
          <w:p w14:paraId="131FA8FA" w14:textId="404D734D" w:rsidR="00B22630" w:rsidRPr="00AB2BEB" w:rsidRDefault="00B22630" w:rsidP="00261555">
            <w:pPr>
              <w:suppressLineNumbers/>
              <w:suppressAutoHyphens/>
              <w:spacing w:before="60" w:after="60"/>
              <w:jc w:val="left"/>
              <w:rPr>
                <w:rFonts w:eastAsia="MS Mincho"/>
                <w:kern w:val="22"/>
                <w:szCs w:val="22"/>
                <w:lang w:val="fr-FR"/>
              </w:rPr>
            </w:pPr>
            <w:r w:rsidRPr="00AB2BEB">
              <w:rPr>
                <w:b/>
                <w:bCs/>
                <w:kern w:val="22"/>
                <w:szCs w:val="22"/>
                <w:lang w:val="fr-FR"/>
              </w:rPr>
              <w:t xml:space="preserve">B.1. Les Parties </w:t>
            </w:r>
            <w:r w:rsidR="00261555">
              <w:rPr>
                <w:b/>
                <w:bCs/>
                <w:kern w:val="22"/>
                <w:szCs w:val="22"/>
                <w:lang w:val="fr-FR"/>
              </w:rPr>
              <w:t xml:space="preserve">entreprennent </w:t>
            </w:r>
            <w:r w:rsidRPr="00AB2BEB">
              <w:rPr>
                <w:b/>
                <w:bCs/>
                <w:kern w:val="22"/>
                <w:szCs w:val="22"/>
                <w:lang w:val="fr-FR"/>
              </w:rPr>
              <w:t>des activité</w:t>
            </w:r>
            <w:r w:rsidR="00261555">
              <w:rPr>
                <w:b/>
                <w:bCs/>
                <w:kern w:val="22"/>
                <w:szCs w:val="22"/>
                <w:lang w:val="fr-FR"/>
              </w:rPr>
              <w:t>s de renforcement des capacités</w:t>
            </w:r>
          </w:p>
        </w:tc>
        <w:tc>
          <w:tcPr>
            <w:tcW w:w="2543" w:type="dxa"/>
            <w:tcBorders>
              <w:top w:val="single" w:sz="4" w:space="0" w:color="auto"/>
            </w:tcBorders>
            <w:shd w:val="clear" w:color="auto" w:fill="auto"/>
          </w:tcPr>
          <w:p w14:paraId="131FA8FB" w14:textId="56B93CDF" w:rsidR="00B22630" w:rsidRPr="00AB2BEB" w:rsidRDefault="00B22630" w:rsidP="00274B14">
            <w:pPr>
              <w:spacing w:before="60" w:after="60"/>
              <w:jc w:val="left"/>
              <w:rPr>
                <w:rFonts w:eastAsia="MS Mincho"/>
                <w:kern w:val="22"/>
                <w:szCs w:val="22"/>
                <w:lang w:val="fr-FR"/>
              </w:rPr>
            </w:pPr>
            <w:r w:rsidRPr="00AB2BEB">
              <w:rPr>
                <w:kern w:val="22"/>
                <w:szCs w:val="22"/>
                <w:lang w:val="fr-FR"/>
              </w:rPr>
              <w:t xml:space="preserve">1) Autoévaluation des besoins et des priorités en matière de renforcement des </w:t>
            </w:r>
            <w:r w:rsidR="004A50D0" w:rsidRPr="00AB2BEB">
              <w:rPr>
                <w:kern w:val="22"/>
                <w:szCs w:val="22"/>
                <w:lang w:val="fr-FR"/>
              </w:rPr>
              <w:t>capacités</w:t>
            </w:r>
            <w:r w:rsidR="00C96D21">
              <w:rPr>
                <w:kern w:val="22"/>
                <w:szCs w:val="22"/>
                <w:lang w:val="fr-FR"/>
              </w:rPr>
              <w:t>;</w:t>
            </w:r>
          </w:p>
          <w:p w14:paraId="131FA8FC" w14:textId="7876AE58" w:rsidR="00B22630" w:rsidRPr="00AB2BEB" w:rsidRDefault="00B22630" w:rsidP="00274B14">
            <w:pPr>
              <w:spacing w:before="60" w:after="60"/>
              <w:jc w:val="left"/>
              <w:rPr>
                <w:rFonts w:eastAsia="MS Mincho"/>
                <w:kern w:val="22"/>
                <w:szCs w:val="22"/>
                <w:lang w:val="fr-FR"/>
              </w:rPr>
            </w:pPr>
            <w:r w:rsidRPr="00AB2BEB">
              <w:rPr>
                <w:kern w:val="22"/>
                <w:szCs w:val="22"/>
                <w:lang w:val="fr-FR"/>
              </w:rPr>
              <w:t>2) Fourniture d</w:t>
            </w:r>
            <w:r w:rsidR="004645B4" w:rsidRPr="00AB2BEB">
              <w:rPr>
                <w:kern w:val="22"/>
                <w:szCs w:val="22"/>
                <w:lang w:val="fr-FR"/>
              </w:rPr>
              <w:t>’</w:t>
            </w:r>
            <w:r w:rsidRPr="00AB2BEB">
              <w:rPr>
                <w:kern w:val="22"/>
                <w:szCs w:val="22"/>
                <w:lang w:val="fr-FR"/>
              </w:rPr>
              <w:t xml:space="preserve">un appui pour les activités de renforcement des </w:t>
            </w:r>
            <w:r w:rsidR="004A50D0" w:rsidRPr="00AB2BEB">
              <w:rPr>
                <w:kern w:val="22"/>
                <w:szCs w:val="22"/>
                <w:lang w:val="fr-FR"/>
              </w:rPr>
              <w:t>capacités</w:t>
            </w:r>
            <w:r w:rsidR="00C96D21">
              <w:rPr>
                <w:kern w:val="22"/>
                <w:szCs w:val="22"/>
                <w:lang w:val="fr-FR"/>
              </w:rPr>
              <w:t>;</w:t>
            </w:r>
          </w:p>
          <w:p w14:paraId="4EDFCCBA" w14:textId="77777777" w:rsidR="00184E31" w:rsidRDefault="00B22630" w:rsidP="00184E31">
            <w:pPr>
              <w:spacing w:before="60" w:after="60"/>
              <w:jc w:val="left"/>
              <w:rPr>
                <w:rFonts w:eastAsia="MS Mincho"/>
                <w:kern w:val="22"/>
                <w:szCs w:val="22"/>
                <w:lang w:val="fr-FR"/>
              </w:rPr>
            </w:pPr>
            <w:r w:rsidRPr="00AB2BEB">
              <w:rPr>
                <w:kern w:val="22"/>
                <w:szCs w:val="22"/>
                <w:lang w:val="fr-FR"/>
              </w:rPr>
              <w:t xml:space="preserve">3) Accès aux matériels de renforcement des </w:t>
            </w:r>
            <w:r w:rsidR="004A50D0" w:rsidRPr="00AB2BEB">
              <w:rPr>
                <w:kern w:val="22"/>
                <w:szCs w:val="22"/>
                <w:lang w:val="fr-FR"/>
              </w:rPr>
              <w:t>capacités</w:t>
            </w:r>
            <w:r w:rsidR="00C96D21">
              <w:rPr>
                <w:kern w:val="22"/>
                <w:szCs w:val="22"/>
                <w:lang w:val="fr-FR"/>
              </w:rPr>
              <w:t>;</w:t>
            </w:r>
          </w:p>
          <w:p w14:paraId="131FA8FE" w14:textId="34D0D851" w:rsidR="00B22630" w:rsidRPr="00AB2BEB" w:rsidRDefault="00B22630" w:rsidP="00184E31">
            <w:pPr>
              <w:spacing w:before="60" w:after="60"/>
              <w:jc w:val="left"/>
              <w:rPr>
                <w:rFonts w:eastAsia="MS Mincho"/>
                <w:kern w:val="22"/>
                <w:szCs w:val="22"/>
                <w:lang w:val="fr-FR"/>
              </w:rPr>
            </w:pPr>
            <w:r w:rsidRPr="00AB2BEB">
              <w:rPr>
                <w:kern w:val="22"/>
                <w:szCs w:val="22"/>
                <w:lang w:val="fr-FR"/>
              </w:rPr>
              <w:t>4) Coopération dans le</w:t>
            </w:r>
            <w:r w:rsidR="007069E5">
              <w:rPr>
                <w:kern w:val="22"/>
                <w:szCs w:val="22"/>
                <w:lang w:val="fr-FR"/>
              </w:rPr>
              <w:t xml:space="preserve"> cadre de</w:t>
            </w:r>
            <w:r w:rsidRPr="00AB2BEB">
              <w:rPr>
                <w:kern w:val="22"/>
                <w:szCs w:val="22"/>
                <w:lang w:val="fr-FR"/>
              </w:rPr>
              <w:t xml:space="preserve">s activités de </w:t>
            </w:r>
            <w:r w:rsidRPr="00AB2BEB">
              <w:rPr>
                <w:kern w:val="22"/>
                <w:szCs w:val="22"/>
                <w:lang w:val="fr-FR"/>
              </w:rPr>
              <w:lastRenderedPageBreak/>
              <w:t>renforcement des capacités.</w:t>
            </w:r>
          </w:p>
        </w:tc>
        <w:tc>
          <w:tcPr>
            <w:tcW w:w="3118" w:type="dxa"/>
            <w:tcBorders>
              <w:top w:val="single" w:sz="4" w:space="0" w:color="auto"/>
            </w:tcBorders>
            <w:shd w:val="clear" w:color="auto" w:fill="auto"/>
          </w:tcPr>
          <w:p w14:paraId="131FA8FF" w14:textId="79539E81" w:rsidR="00B22630" w:rsidRPr="00AB2BEB" w:rsidRDefault="00B22630" w:rsidP="00274B14">
            <w:pPr>
              <w:spacing w:before="60" w:after="60"/>
              <w:jc w:val="left"/>
              <w:rPr>
                <w:rFonts w:eastAsia="MS Mincho"/>
                <w:kern w:val="22"/>
                <w:szCs w:val="22"/>
                <w:lang w:val="fr-FR"/>
              </w:rPr>
            </w:pPr>
            <w:r w:rsidRPr="00AB2BEB">
              <w:rPr>
                <w:kern w:val="22"/>
                <w:szCs w:val="22"/>
                <w:lang w:val="fr-FR"/>
              </w:rPr>
              <w:lastRenderedPageBreak/>
              <w:t xml:space="preserve">i) Réaliser une autoévaluation des besoins et des priorités en matière de renforcement des </w:t>
            </w:r>
            <w:r w:rsidR="004A50D0" w:rsidRPr="00AB2BEB">
              <w:rPr>
                <w:kern w:val="22"/>
                <w:szCs w:val="22"/>
                <w:lang w:val="fr-FR"/>
              </w:rPr>
              <w:t>capacités</w:t>
            </w:r>
            <w:r w:rsidR="00C96D21">
              <w:rPr>
                <w:kern w:val="22"/>
                <w:szCs w:val="22"/>
                <w:lang w:val="fr-FR"/>
              </w:rPr>
              <w:t>;</w:t>
            </w:r>
          </w:p>
          <w:p w14:paraId="131FA900" w14:textId="207A66CA" w:rsidR="00B22630" w:rsidRPr="00AB2BEB" w:rsidRDefault="00B22630" w:rsidP="00274B14">
            <w:pPr>
              <w:spacing w:before="60" w:after="60"/>
              <w:jc w:val="left"/>
              <w:rPr>
                <w:rFonts w:eastAsia="MS Mincho"/>
                <w:kern w:val="22"/>
                <w:szCs w:val="22"/>
                <w:lang w:val="fr-FR"/>
              </w:rPr>
            </w:pPr>
            <w:r w:rsidRPr="00AB2BEB">
              <w:rPr>
                <w:kern w:val="22"/>
                <w:szCs w:val="22"/>
                <w:lang w:val="fr-FR"/>
              </w:rPr>
              <w:t xml:space="preserve">ii) Fournir un appui technique, financier ou autre pour les activités de renforcement des capacités, y compris celles décrites dans le présent </w:t>
            </w:r>
            <w:r w:rsidR="006A6FCE">
              <w:rPr>
                <w:kern w:val="22"/>
                <w:szCs w:val="22"/>
                <w:lang w:val="fr-FR"/>
              </w:rPr>
              <w:t>Plan</w:t>
            </w:r>
            <w:r w:rsidRPr="00AB2BEB">
              <w:rPr>
                <w:kern w:val="22"/>
                <w:szCs w:val="22"/>
                <w:lang w:val="fr-FR"/>
              </w:rPr>
              <w:t xml:space="preserve"> d</w:t>
            </w:r>
            <w:r w:rsidR="004645B4" w:rsidRPr="00AB2BEB">
              <w:rPr>
                <w:kern w:val="22"/>
                <w:szCs w:val="22"/>
                <w:lang w:val="fr-FR"/>
              </w:rPr>
              <w:t>’</w:t>
            </w:r>
            <w:r w:rsidRPr="00AB2BEB">
              <w:rPr>
                <w:kern w:val="22"/>
                <w:szCs w:val="22"/>
                <w:lang w:val="fr-FR"/>
              </w:rPr>
              <w:t xml:space="preserve">action pour le renforcement des </w:t>
            </w:r>
            <w:r w:rsidR="004A50D0" w:rsidRPr="00AB2BEB">
              <w:rPr>
                <w:kern w:val="22"/>
                <w:szCs w:val="22"/>
                <w:lang w:val="fr-FR"/>
              </w:rPr>
              <w:t>capacités</w:t>
            </w:r>
            <w:r w:rsidR="00C96D21">
              <w:rPr>
                <w:kern w:val="22"/>
                <w:szCs w:val="22"/>
                <w:lang w:val="fr-FR"/>
              </w:rPr>
              <w:t>;</w:t>
            </w:r>
          </w:p>
          <w:p w14:paraId="131FA901" w14:textId="55C4EC45" w:rsidR="00B22630" w:rsidRPr="00AB2BEB" w:rsidRDefault="00B22630" w:rsidP="00274B14">
            <w:pPr>
              <w:spacing w:before="60" w:after="60"/>
              <w:jc w:val="left"/>
              <w:rPr>
                <w:rFonts w:eastAsia="MS Mincho"/>
                <w:kern w:val="22"/>
                <w:szCs w:val="22"/>
                <w:lang w:val="fr-FR"/>
              </w:rPr>
            </w:pPr>
            <w:r w:rsidRPr="00AB2BEB">
              <w:rPr>
                <w:kern w:val="22"/>
                <w:szCs w:val="22"/>
                <w:lang w:val="fr-FR"/>
              </w:rPr>
              <w:t xml:space="preserve">iii) Élaborer et diffuser des matériels de renforcement des </w:t>
            </w:r>
            <w:r w:rsidRPr="00AB2BEB">
              <w:rPr>
                <w:kern w:val="22"/>
                <w:szCs w:val="22"/>
                <w:lang w:val="fr-FR"/>
              </w:rPr>
              <w:lastRenderedPageBreak/>
              <w:t xml:space="preserve">capacités et les résultats des activités, y compris dans les langues </w:t>
            </w:r>
            <w:r w:rsidR="004A50D0" w:rsidRPr="00AB2BEB">
              <w:rPr>
                <w:kern w:val="22"/>
                <w:szCs w:val="22"/>
                <w:lang w:val="fr-FR"/>
              </w:rPr>
              <w:t>locales</w:t>
            </w:r>
            <w:r w:rsidR="00C96D21">
              <w:rPr>
                <w:kern w:val="22"/>
                <w:szCs w:val="22"/>
                <w:lang w:val="fr-FR"/>
              </w:rPr>
              <w:t>;</w:t>
            </w:r>
          </w:p>
          <w:p w14:paraId="131FA902" w14:textId="37071B68" w:rsidR="00B22630" w:rsidRPr="00AB2BEB" w:rsidRDefault="00B22630" w:rsidP="00274B14">
            <w:pPr>
              <w:suppressLineNumbers/>
              <w:suppressAutoHyphens/>
              <w:spacing w:before="60" w:after="60"/>
              <w:jc w:val="left"/>
              <w:rPr>
                <w:rFonts w:eastAsia="MS Mincho"/>
                <w:kern w:val="22"/>
                <w:szCs w:val="22"/>
                <w:lang w:val="fr-FR"/>
              </w:rPr>
            </w:pPr>
            <w:r w:rsidRPr="00AB2BEB">
              <w:rPr>
                <w:kern w:val="22"/>
                <w:szCs w:val="22"/>
                <w:lang w:val="fr-FR"/>
              </w:rPr>
              <w:t>iv) Coopérer aux niveaux national, bilatéral, régional et multi</w:t>
            </w:r>
            <w:r w:rsidR="007069E5">
              <w:rPr>
                <w:kern w:val="22"/>
                <w:szCs w:val="22"/>
                <w:lang w:val="fr-FR"/>
              </w:rPr>
              <w:t>latéral avec les partenaires de secteurs pertinent</w:t>
            </w:r>
            <w:r w:rsidRPr="00AB2BEB">
              <w:rPr>
                <w:kern w:val="22"/>
                <w:szCs w:val="22"/>
                <w:lang w:val="fr-FR"/>
              </w:rPr>
              <w:t xml:space="preserve">s et </w:t>
            </w:r>
            <w:r w:rsidR="002C152E">
              <w:rPr>
                <w:kern w:val="22"/>
                <w:szCs w:val="22"/>
                <w:lang w:val="fr-FR"/>
              </w:rPr>
              <w:t xml:space="preserve">les parties prenantes </w:t>
            </w:r>
            <w:r w:rsidR="007069E5">
              <w:rPr>
                <w:kern w:val="22"/>
                <w:szCs w:val="22"/>
                <w:lang w:val="fr-FR"/>
              </w:rPr>
              <w:t xml:space="preserve">concernées </w:t>
            </w:r>
            <w:r w:rsidR="002C152E">
              <w:rPr>
                <w:kern w:val="22"/>
                <w:szCs w:val="22"/>
                <w:lang w:val="fr-FR"/>
              </w:rPr>
              <w:t>pour réaliser</w:t>
            </w:r>
            <w:r w:rsidRPr="00AB2BEB">
              <w:rPr>
                <w:kern w:val="22"/>
                <w:szCs w:val="22"/>
                <w:lang w:val="fr-FR"/>
              </w:rPr>
              <w:t xml:space="preserve"> des activités de renforcement des capacités.</w:t>
            </w:r>
          </w:p>
        </w:tc>
        <w:tc>
          <w:tcPr>
            <w:tcW w:w="3261" w:type="dxa"/>
            <w:tcBorders>
              <w:top w:val="single" w:sz="2" w:space="0" w:color="auto"/>
            </w:tcBorders>
          </w:tcPr>
          <w:p w14:paraId="131FA903" w14:textId="319831D3"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szCs w:val="22"/>
                <w:lang w:val="fr-FR"/>
              </w:rPr>
              <w:lastRenderedPageBreak/>
              <w:t xml:space="preserve">a) Pourcentage de Parties ayant réalisé une autoévaluation de leurs </w:t>
            </w:r>
            <w:r w:rsidR="004A50D0" w:rsidRPr="00AB2BEB">
              <w:rPr>
                <w:rFonts w:eastAsia="MS Mincho"/>
                <w:szCs w:val="22"/>
                <w:lang w:val="fr-FR"/>
              </w:rPr>
              <w:t>capacités</w:t>
            </w:r>
            <w:r w:rsidR="00C96D21">
              <w:rPr>
                <w:rFonts w:eastAsia="MS Mincho"/>
                <w:kern w:val="22"/>
                <w:szCs w:val="22"/>
                <w:lang w:val="fr-FR"/>
              </w:rPr>
              <w:t>;</w:t>
            </w:r>
            <w:r w:rsidRPr="00AB2BEB">
              <w:rPr>
                <w:rFonts w:eastAsia="MS Mincho"/>
                <w:kern w:val="22"/>
                <w:szCs w:val="22"/>
                <w:lang w:val="fr-FR"/>
              </w:rPr>
              <w:t xml:space="preserve"> </w:t>
            </w:r>
          </w:p>
          <w:p w14:paraId="131FA904" w14:textId="6F164C34"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 xml:space="preserve">b) Pourcentage de Parties qui reçoivent un soutien technique, financier ou autre pour les activités de renforcement des </w:t>
            </w:r>
            <w:r w:rsidR="004A50D0" w:rsidRPr="00AB2BEB">
              <w:rPr>
                <w:rFonts w:eastAsia="MS Mincho"/>
                <w:kern w:val="22"/>
                <w:szCs w:val="22"/>
                <w:lang w:val="fr-FR"/>
              </w:rPr>
              <w:t>capacités</w:t>
            </w:r>
            <w:r w:rsidR="00C96D21">
              <w:rPr>
                <w:rFonts w:eastAsia="MS Mincho"/>
                <w:kern w:val="22"/>
                <w:szCs w:val="22"/>
                <w:lang w:val="fr-FR"/>
              </w:rPr>
              <w:t>;</w:t>
            </w:r>
          </w:p>
          <w:p w14:paraId="131FA905" w14:textId="671C3AF8" w:rsidR="00B22630" w:rsidRPr="00AB2BEB" w:rsidRDefault="00B22630"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 xml:space="preserve">c) Pourcentage de Parties qui offrent un soutien technique, financier ou autre pour les activités de renforcement des </w:t>
            </w:r>
            <w:r w:rsidR="004A50D0" w:rsidRPr="00AB2BEB">
              <w:rPr>
                <w:rFonts w:eastAsia="MS Mincho"/>
                <w:kern w:val="22"/>
                <w:szCs w:val="22"/>
                <w:lang w:val="fr-FR"/>
              </w:rPr>
              <w:t>capacités</w:t>
            </w:r>
            <w:r w:rsidR="00C96D21">
              <w:rPr>
                <w:rFonts w:eastAsia="MS Mincho"/>
                <w:kern w:val="22"/>
                <w:szCs w:val="22"/>
                <w:lang w:val="fr-FR"/>
              </w:rPr>
              <w:t>;</w:t>
            </w:r>
          </w:p>
          <w:p w14:paraId="131FA906" w14:textId="7CA38E27" w:rsidR="00B22630" w:rsidRPr="00AB2BEB" w:rsidRDefault="00B22630" w:rsidP="00B22630">
            <w:pPr>
              <w:suppressLineNumbers/>
              <w:suppressAutoHyphens/>
              <w:spacing w:before="60" w:after="60"/>
              <w:jc w:val="left"/>
              <w:rPr>
                <w:rFonts w:eastAsia="MS Mincho"/>
                <w:kern w:val="22"/>
                <w:szCs w:val="22"/>
                <w:lang w:val="fr-FR"/>
              </w:rPr>
            </w:pPr>
            <w:r w:rsidRPr="00AB2BEB">
              <w:rPr>
                <w:rFonts w:eastAsia="MS Mincho"/>
                <w:kern w:val="22"/>
                <w:szCs w:val="22"/>
                <w:lang w:val="fr-FR"/>
              </w:rPr>
              <w:lastRenderedPageBreak/>
              <w:t>d) Pourcentage de Parties ayant élaboré et diffusé du matériel de renforcement des capacités et des résultats d</w:t>
            </w:r>
            <w:r w:rsidR="004645B4" w:rsidRPr="00AB2BEB">
              <w:rPr>
                <w:rFonts w:eastAsia="MS Mincho"/>
                <w:kern w:val="22"/>
                <w:szCs w:val="22"/>
                <w:lang w:val="fr-FR"/>
              </w:rPr>
              <w:t>’</w:t>
            </w:r>
            <w:r w:rsidRPr="00AB2BEB">
              <w:rPr>
                <w:rFonts w:eastAsia="MS Mincho"/>
                <w:kern w:val="22"/>
                <w:szCs w:val="22"/>
                <w:lang w:val="fr-FR"/>
              </w:rPr>
              <w:t xml:space="preserve">activités, notamment dans les langues </w:t>
            </w:r>
            <w:r w:rsidR="004A50D0" w:rsidRPr="00AB2BEB">
              <w:rPr>
                <w:rFonts w:eastAsia="MS Mincho"/>
                <w:kern w:val="22"/>
                <w:szCs w:val="22"/>
                <w:lang w:val="fr-FR"/>
              </w:rPr>
              <w:t>locales</w:t>
            </w:r>
            <w:r w:rsidR="00C96D21">
              <w:rPr>
                <w:rFonts w:eastAsia="MS Mincho"/>
                <w:kern w:val="22"/>
                <w:szCs w:val="22"/>
                <w:lang w:val="fr-FR"/>
              </w:rPr>
              <w:t>;</w:t>
            </w:r>
          </w:p>
          <w:p w14:paraId="131FA907" w14:textId="23133EDB" w:rsidR="00B22630" w:rsidRPr="00AB2BEB" w:rsidRDefault="00B22630" w:rsidP="00B22630">
            <w:pPr>
              <w:suppressLineNumbers/>
              <w:suppressAutoHyphens/>
              <w:spacing w:before="60" w:after="60"/>
              <w:jc w:val="left"/>
              <w:rPr>
                <w:rFonts w:eastAsia="MS Mincho"/>
                <w:kern w:val="22"/>
                <w:szCs w:val="22"/>
                <w:lang w:val="fr-FR"/>
              </w:rPr>
            </w:pPr>
            <w:r w:rsidRPr="00AB2BEB">
              <w:rPr>
                <w:rFonts w:eastAsia="MS Mincho"/>
                <w:szCs w:val="22"/>
                <w:lang w:val="fr-FR"/>
              </w:rPr>
              <w:t>e) Pourcentage de Parties ayant établi des liens de partenariat nationaux, bilatéraux, régionaux et multilatéraux avec des partenaires de secteurs pertinents et d</w:t>
            </w:r>
            <w:r w:rsidR="002C152E">
              <w:rPr>
                <w:rFonts w:eastAsia="MS Mincho"/>
                <w:szCs w:val="22"/>
                <w:lang w:val="fr-FR"/>
              </w:rPr>
              <w:t>es parties prenantes concernées</w:t>
            </w:r>
            <w:r w:rsidRPr="00AB2BEB">
              <w:rPr>
                <w:rFonts w:eastAsia="MS Mincho"/>
                <w:szCs w:val="22"/>
                <w:lang w:val="fr-FR"/>
              </w:rPr>
              <w:t xml:space="preserve"> dans l</w:t>
            </w:r>
            <w:r w:rsidR="002C152E">
              <w:rPr>
                <w:rFonts w:eastAsia="MS Mincho"/>
                <w:szCs w:val="22"/>
                <w:lang w:val="fr-FR"/>
              </w:rPr>
              <w:t>e cadre de la réalisation</w:t>
            </w:r>
            <w:r w:rsidRPr="00AB2BEB">
              <w:rPr>
                <w:rFonts w:eastAsia="MS Mincho"/>
                <w:szCs w:val="22"/>
                <w:lang w:val="fr-FR"/>
              </w:rPr>
              <w:t xml:space="preserve"> des activités de renforcement des capacités.</w:t>
            </w:r>
          </w:p>
        </w:tc>
        <w:tc>
          <w:tcPr>
            <w:tcW w:w="2835" w:type="dxa"/>
            <w:tcBorders>
              <w:top w:val="single" w:sz="2" w:space="0" w:color="auto"/>
            </w:tcBorders>
          </w:tcPr>
          <w:p w14:paraId="131FA908" w14:textId="7C6C46F0" w:rsidR="00B22630" w:rsidRPr="00AB2BEB" w:rsidRDefault="005C56A4" w:rsidP="00274B14">
            <w:pPr>
              <w:suppressLineNumbers/>
              <w:suppressAutoHyphens/>
              <w:spacing w:before="60" w:after="60"/>
              <w:jc w:val="left"/>
              <w:rPr>
                <w:rFonts w:eastAsia="MS Mincho"/>
                <w:kern w:val="22"/>
                <w:szCs w:val="22"/>
                <w:lang w:val="fr-FR"/>
              </w:rPr>
            </w:pPr>
            <w:r>
              <w:rPr>
                <w:kern w:val="22"/>
                <w:szCs w:val="22"/>
                <w:lang w:val="fr-FR"/>
              </w:rPr>
              <w:lastRenderedPageBreak/>
              <w:t>Les Parties disposent des capacités requises pour assurer</w:t>
            </w:r>
            <w:r w:rsidR="00E70F27" w:rsidRPr="00AB2BEB">
              <w:rPr>
                <w:kern w:val="22"/>
                <w:szCs w:val="22"/>
                <w:lang w:val="fr-FR"/>
              </w:rPr>
              <w:t xml:space="preserve"> l</w:t>
            </w:r>
            <w:r w:rsidR="004645B4" w:rsidRPr="00AB2BEB">
              <w:rPr>
                <w:kern w:val="22"/>
                <w:szCs w:val="22"/>
                <w:lang w:val="fr-FR"/>
              </w:rPr>
              <w:t>’</w:t>
            </w:r>
            <w:r w:rsidR="00E70F27" w:rsidRPr="00AB2BEB">
              <w:rPr>
                <w:kern w:val="22"/>
                <w:szCs w:val="22"/>
                <w:lang w:val="fr-FR"/>
              </w:rPr>
              <w:t>application du Protocole</w:t>
            </w:r>
            <w:r w:rsidR="007069E5">
              <w:rPr>
                <w:kern w:val="22"/>
                <w:szCs w:val="22"/>
                <w:lang w:val="fr-FR"/>
              </w:rPr>
              <w:t>.</w:t>
            </w:r>
          </w:p>
          <w:p w14:paraId="131FA909" w14:textId="77777777" w:rsidR="00B22630" w:rsidRPr="00AB2BEB" w:rsidRDefault="00B22630" w:rsidP="00274B14">
            <w:pPr>
              <w:suppressLineNumbers/>
              <w:suppressAutoHyphens/>
              <w:spacing w:before="60" w:after="60"/>
              <w:jc w:val="left"/>
              <w:rPr>
                <w:rFonts w:eastAsia="MS Mincho"/>
                <w:kern w:val="22"/>
                <w:szCs w:val="22"/>
                <w:lang w:val="fr-FR"/>
              </w:rPr>
            </w:pPr>
          </w:p>
          <w:p w14:paraId="131FA90A" w14:textId="10E48B96" w:rsidR="00B22630" w:rsidRPr="00AB2BEB" w:rsidRDefault="00E70F27" w:rsidP="00274B14">
            <w:pPr>
              <w:suppressLineNumbers/>
              <w:suppressAutoHyphens/>
              <w:spacing w:before="60" w:after="60"/>
              <w:jc w:val="left"/>
              <w:rPr>
                <w:rFonts w:eastAsia="MS Mincho"/>
                <w:kern w:val="22"/>
                <w:szCs w:val="22"/>
                <w:lang w:val="fr-FR"/>
              </w:rPr>
            </w:pPr>
            <w:r w:rsidRPr="00AB2BEB">
              <w:rPr>
                <w:rFonts w:eastAsia="MS Mincho"/>
                <w:szCs w:val="22"/>
                <w:lang w:val="fr-FR"/>
              </w:rPr>
              <w:t>Les Parties ont identifié leurs besoins en matière de renforcement des capacités</w:t>
            </w:r>
            <w:r w:rsidR="005C56A4">
              <w:rPr>
                <w:rFonts w:eastAsia="MS Mincho"/>
                <w:szCs w:val="22"/>
                <w:lang w:val="fr-FR"/>
              </w:rPr>
              <w:t>,</w:t>
            </w:r>
            <w:r w:rsidRPr="00AB2BEB">
              <w:rPr>
                <w:rFonts w:eastAsia="MS Mincho"/>
                <w:szCs w:val="22"/>
                <w:lang w:val="fr-FR"/>
              </w:rPr>
              <w:t xml:space="preserve"> et </w:t>
            </w:r>
            <w:r w:rsidR="002C152E">
              <w:rPr>
                <w:rFonts w:eastAsia="MS Mincho"/>
                <w:szCs w:val="22"/>
                <w:lang w:val="fr-FR"/>
              </w:rPr>
              <w:t xml:space="preserve">elles </w:t>
            </w:r>
            <w:r w:rsidRPr="00AB2BEB">
              <w:rPr>
                <w:rFonts w:eastAsia="MS Mincho"/>
                <w:szCs w:val="22"/>
                <w:lang w:val="fr-FR"/>
              </w:rPr>
              <w:t>reconn</w:t>
            </w:r>
            <w:r w:rsidR="002C152E">
              <w:rPr>
                <w:rFonts w:eastAsia="MS Mincho"/>
                <w:szCs w:val="22"/>
                <w:lang w:val="fr-FR"/>
              </w:rPr>
              <w:t>aissent et mettent en place les</w:t>
            </w:r>
            <w:r w:rsidRPr="00AB2BEB">
              <w:rPr>
                <w:rFonts w:eastAsia="MS Mincho"/>
                <w:szCs w:val="22"/>
                <w:lang w:val="fr-FR"/>
              </w:rPr>
              <w:t xml:space="preserve"> mesu</w:t>
            </w:r>
            <w:r w:rsidR="005C56A4">
              <w:rPr>
                <w:rFonts w:eastAsia="MS Mincho"/>
                <w:szCs w:val="22"/>
                <w:lang w:val="fr-FR"/>
              </w:rPr>
              <w:t>res nécessaires pour y répondre</w:t>
            </w:r>
            <w:r w:rsidR="007069E5">
              <w:rPr>
                <w:rFonts w:eastAsia="MS Mincho"/>
                <w:szCs w:val="22"/>
                <w:lang w:val="fr-FR"/>
              </w:rPr>
              <w:t>.</w:t>
            </w:r>
          </w:p>
          <w:p w14:paraId="131FA90B" w14:textId="77777777" w:rsidR="00B22630" w:rsidRPr="00AB2BEB" w:rsidRDefault="00B22630" w:rsidP="00274B14">
            <w:pPr>
              <w:suppressLineNumbers/>
              <w:suppressAutoHyphens/>
              <w:spacing w:before="60" w:after="60"/>
              <w:jc w:val="left"/>
              <w:rPr>
                <w:rFonts w:eastAsia="MS Mincho"/>
                <w:kern w:val="22"/>
                <w:szCs w:val="22"/>
                <w:lang w:val="fr-FR"/>
              </w:rPr>
            </w:pPr>
          </w:p>
        </w:tc>
      </w:tr>
      <w:tr w:rsidR="00FE173E" w:rsidRPr="00597279" w14:paraId="131FA91F" w14:textId="77777777" w:rsidTr="00737E63">
        <w:trPr>
          <w:jc w:val="center"/>
        </w:trPr>
        <w:tc>
          <w:tcPr>
            <w:tcW w:w="1705" w:type="dxa"/>
            <w:tcBorders>
              <w:top w:val="single" w:sz="4" w:space="0" w:color="auto"/>
              <w:left w:val="single" w:sz="4" w:space="0" w:color="auto"/>
              <w:bottom w:val="single" w:sz="4" w:space="0" w:color="auto"/>
              <w:right w:val="single" w:sz="4" w:space="0" w:color="auto"/>
            </w:tcBorders>
          </w:tcPr>
          <w:p w14:paraId="131FA90D" w14:textId="6F58E8B1" w:rsidR="00FE173E" w:rsidRPr="00AB2BEB" w:rsidRDefault="00A618A6" w:rsidP="00A618A6">
            <w:pPr>
              <w:suppressLineNumbers/>
              <w:suppressAutoHyphens/>
              <w:spacing w:before="60" w:after="60"/>
              <w:jc w:val="left"/>
              <w:rPr>
                <w:szCs w:val="22"/>
                <w:lang w:val="fr-FR"/>
              </w:rPr>
            </w:pPr>
            <w:r w:rsidRPr="00AB2BEB">
              <w:rPr>
                <w:b/>
                <w:bCs/>
                <w:kern w:val="22"/>
                <w:szCs w:val="22"/>
                <w:lang w:val="fr-FR"/>
              </w:rPr>
              <w:t xml:space="preserve">B.2. Les Parties mobilisent  des ressources adéquates </w:t>
            </w:r>
            <w:r w:rsidR="007069E5">
              <w:rPr>
                <w:b/>
                <w:bCs/>
                <w:kern w:val="22"/>
                <w:szCs w:val="22"/>
                <w:lang w:val="fr-FR"/>
              </w:rPr>
              <w:t xml:space="preserve">provenant </w:t>
            </w:r>
            <w:r w:rsidRPr="00AB2BEB">
              <w:rPr>
                <w:b/>
                <w:bCs/>
                <w:kern w:val="22"/>
                <w:szCs w:val="22"/>
                <w:lang w:val="fr-FR"/>
              </w:rPr>
              <w:t>d</w:t>
            </w:r>
            <w:r w:rsidR="007069E5">
              <w:rPr>
                <w:b/>
                <w:bCs/>
                <w:kern w:val="22"/>
                <w:szCs w:val="22"/>
                <w:lang w:val="fr-FR"/>
              </w:rPr>
              <w:t>e toutes les</w:t>
            </w:r>
            <w:r w:rsidRPr="00AB2BEB">
              <w:rPr>
                <w:b/>
                <w:bCs/>
                <w:kern w:val="22"/>
                <w:szCs w:val="22"/>
                <w:lang w:val="fr-FR"/>
              </w:rPr>
              <w:t xml:space="preserve"> sources pour appuyer l</w:t>
            </w:r>
            <w:r w:rsidR="004645B4" w:rsidRPr="00AB2BEB">
              <w:rPr>
                <w:b/>
                <w:bCs/>
                <w:kern w:val="22"/>
                <w:szCs w:val="22"/>
                <w:lang w:val="fr-FR"/>
              </w:rPr>
              <w:t>’</w:t>
            </w:r>
            <w:r w:rsidR="00C82DB4">
              <w:rPr>
                <w:b/>
                <w:bCs/>
                <w:kern w:val="22"/>
                <w:szCs w:val="22"/>
                <w:lang w:val="fr-FR"/>
              </w:rPr>
              <w:t xml:space="preserve">application du Protocole, </w:t>
            </w:r>
            <w:r w:rsidRPr="00AB2BEB">
              <w:rPr>
                <w:b/>
                <w:bCs/>
                <w:kern w:val="22"/>
                <w:szCs w:val="22"/>
                <w:lang w:val="fr-FR"/>
              </w:rPr>
              <w:t>conformément à l</w:t>
            </w:r>
            <w:r w:rsidR="004645B4" w:rsidRPr="00AB2BEB">
              <w:rPr>
                <w:b/>
                <w:bCs/>
                <w:kern w:val="22"/>
                <w:szCs w:val="22"/>
                <w:lang w:val="fr-FR"/>
              </w:rPr>
              <w:t>’</w:t>
            </w:r>
            <w:r w:rsidRPr="00AB2BEB">
              <w:rPr>
                <w:b/>
                <w:bCs/>
                <w:kern w:val="22"/>
                <w:szCs w:val="22"/>
                <w:lang w:val="fr-FR"/>
              </w:rPr>
              <w:t>article 28 du Protocole</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131FA90E" w14:textId="4CC812E0" w:rsidR="00A618A6" w:rsidRPr="00AB2BEB" w:rsidRDefault="00A618A6" w:rsidP="00A618A6">
            <w:pPr>
              <w:spacing w:before="60" w:after="60"/>
              <w:jc w:val="left"/>
              <w:rPr>
                <w:rFonts w:eastAsia="MS Mincho"/>
                <w:kern w:val="22"/>
                <w:szCs w:val="22"/>
                <w:lang w:val="fr-FR"/>
              </w:rPr>
            </w:pPr>
            <w:r w:rsidRPr="00AB2BEB">
              <w:rPr>
                <w:kern w:val="22"/>
                <w:szCs w:val="22"/>
                <w:lang w:val="fr-FR"/>
              </w:rPr>
              <w:t>1) Mise en place d</w:t>
            </w:r>
            <w:r w:rsidR="004645B4" w:rsidRPr="00AB2BEB">
              <w:rPr>
                <w:kern w:val="22"/>
                <w:szCs w:val="22"/>
                <w:lang w:val="fr-FR"/>
              </w:rPr>
              <w:t>’</w:t>
            </w:r>
            <w:r w:rsidRPr="00AB2BEB">
              <w:rPr>
                <w:kern w:val="22"/>
                <w:szCs w:val="22"/>
                <w:lang w:val="fr-FR"/>
              </w:rPr>
              <w:t>un mécanisme national d</w:t>
            </w:r>
            <w:r w:rsidR="004645B4" w:rsidRPr="00AB2BEB">
              <w:rPr>
                <w:kern w:val="22"/>
                <w:szCs w:val="22"/>
                <w:lang w:val="fr-FR"/>
              </w:rPr>
              <w:t>’</w:t>
            </w:r>
            <w:r w:rsidRPr="00AB2BEB">
              <w:rPr>
                <w:kern w:val="22"/>
                <w:szCs w:val="22"/>
                <w:lang w:val="fr-FR"/>
              </w:rPr>
              <w:t xml:space="preserve">allocation budgétaire pour la prévention des risques </w:t>
            </w:r>
            <w:r w:rsidR="004A50D0" w:rsidRPr="00AB2BEB">
              <w:rPr>
                <w:kern w:val="22"/>
                <w:szCs w:val="22"/>
                <w:lang w:val="fr-FR"/>
              </w:rPr>
              <w:t>biotechnologiques</w:t>
            </w:r>
            <w:r w:rsidR="00C96D21">
              <w:rPr>
                <w:kern w:val="22"/>
                <w:szCs w:val="22"/>
                <w:lang w:val="fr-FR"/>
              </w:rPr>
              <w:t>;</w:t>
            </w:r>
          </w:p>
          <w:p w14:paraId="131FA90F" w14:textId="4A56BA9C" w:rsidR="00A618A6" w:rsidRPr="00AB2BEB" w:rsidRDefault="00A618A6" w:rsidP="00A618A6">
            <w:pPr>
              <w:jc w:val="left"/>
              <w:rPr>
                <w:rFonts w:eastAsia="MS Mincho"/>
                <w:kern w:val="22"/>
                <w:szCs w:val="22"/>
                <w:lang w:val="fr-FR"/>
              </w:rPr>
            </w:pPr>
            <w:r w:rsidRPr="00AB2BEB">
              <w:rPr>
                <w:kern w:val="22"/>
                <w:szCs w:val="22"/>
                <w:lang w:val="fr-FR"/>
              </w:rPr>
              <w:t xml:space="preserve">2) Coordination avec les autorités, les organismes de financement et les donateurs au niveau </w:t>
            </w:r>
            <w:r w:rsidR="004A50D0" w:rsidRPr="00AB2BEB">
              <w:rPr>
                <w:kern w:val="22"/>
                <w:szCs w:val="22"/>
                <w:lang w:val="fr-FR"/>
              </w:rPr>
              <w:t>national</w:t>
            </w:r>
            <w:r w:rsidR="00C96D21">
              <w:rPr>
                <w:kern w:val="22"/>
                <w:szCs w:val="22"/>
                <w:lang w:val="fr-FR"/>
              </w:rPr>
              <w:t>;</w:t>
            </w:r>
          </w:p>
          <w:p w14:paraId="131FA910" w14:textId="77777777" w:rsidR="00FE173E" w:rsidRPr="00AB2BEB" w:rsidRDefault="00A618A6" w:rsidP="00A618A6">
            <w:pPr>
              <w:suppressLineNumbers/>
              <w:suppressAutoHyphens/>
              <w:spacing w:before="60" w:after="60"/>
              <w:jc w:val="left"/>
              <w:rPr>
                <w:rFonts w:eastAsia="MS Mincho"/>
                <w:szCs w:val="22"/>
                <w:lang w:val="fr-FR"/>
              </w:rPr>
            </w:pPr>
            <w:r w:rsidRPr="00AB2BEB">
              <w:rPr>
                <w:kern w:val="22"/>
                <w:szCs w:val="22"/>
                <w:lang w:val="fr-FR"/>
              </w:rPr>
              <w:t>3) Accès à des ressources supplémentaires dans le cadre d</w:t>
            </w:r>
            <w:r w:rsidR="004645B4" w:rsidRPr="00AB2BEB">
              <w:rPr>
                <w:kern w:val="22"/>
                <w:szCs w:val="22"/>
                <w:lang w:val="fr-FR"/>
              </w:rPr>
              <w:t>’</w:t>
            </w:r>
            <w:r w:rsidRPr="00AB2BEB">
              <w:rPr>
                <w:kern w:val="22"/>
                <w:szCs w:val="22"/>
                <w:lang w:val="fr-FR"/>
              </w:rPr>
              <w:t>une coopération avec d</w:t>
            </w:r>
            <w:r w:rsidR="004645B4" w:rsidRPr="00AB2BEB">
              <w:rPr>
                <w:kern w:val="22"/>
                <w:szCs w:val="22"/>
                <w:lang w:val="fr-FR"/>
              </w:rPr>
              <w:t>’</w:t>
            </w:r>
            <w:r w:rsidRPr="00AB2BEB">
              <w:rPr>
                <w:kern w:val="22"/>
                <w:szCs w:val="22"/>
                <w:lang w:val="fr-FR"/>
              </w:rPr>
              <w:t xml:space="preserve">autres Parties et donateurs, y compris le secteur privé, et par le </w:t>
            </w:r>
            <w:r w:rsidRPr="00AB2BEB">
              <w:rPr>
                <w:kern w:val="22"/>
                <w:szCs w:val="22"/>
                <w:lang w:val="fr-FR"/>
              </w:rPr>
              <w:lastRenderedPageBreak/>
              <w:t>biais d</w:t>
            </w:r>
            <w:r w:rsidR="004645B4" w:rsidRPr="00AB2BEB">
              <w:rPr>
                <w:kern w:val="22"/>
                <w:szCs w:val="22"/>
                <w:lang w:val="fr-FR"/>
              </w:rPr>
              <w:t>’</w:t>
            </w:r>
            <w:r w:rsidRPr="00AB2BEB">
              <w:rPr>
                <w:kern w:val="22"/>
                <w:szCs w:val="22"/>
                <w:lang w:val="fr-FR"/>
              </w:rPr>
              <w:t>autres programmes de coopération internationale.</w:t>
            </w:r>
          </w:p>
          <w:p w14:paraId="131FA911" w14:textId="77777777" w:rsidR="00FE173E" w:rsidRPr="00AB2BEB" w:rsidRDefault="00FE173E" w:rsidP="00274B14">
            <w:pPr>
              <w:suppressLineNumbers/>
              <w:suppressAutoHyphens/>
              <w:spacing w:before="60" w:after="60"/>
              <w:jc w:val="left"/>
              <w:rPr>
                <w:kern w:val="22"/>
                <w:szCs w:val="22"/>
                <w:lang w:val="fr-FR"/>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1FA912" w14:textId="04CDDE11" w:rsidR="00995779" w:rsidRPr="00AB2BEB" w:rsidRDefault="00995779" w:rsidP="00995779">
            <w:pPr>
              <w:spacing w:before="60" w:after="60"/>
              <w:jc w:val="left"/>
              <w:rPr>
                <w:rFonts w:eastAsia="MS Mincho"/>
                <w:kern w:val="22"/>
                <w:szCs w:val="22"/>
                <w:lang w:val="fr-FR"/>
              </w:rPr>
            </w:pPr>
            <w:r w:rsidRPr="00AB2BEB">
              <w:rPr>
                <w:kern w:val="22"/>
                <w:szCs w:val="22"/>
                <w:lang w:val="fr-FR"/>
              </w:rPr>
              <w:lastRenderedPageBreak/>
              <w:t>1) Former ou sensibiliser à l</w:t>
            </w:r>
            <w:r w:rsidR="004645B4" w:rsidRPr="00AB2BEB">
              <w:rPr>
                <w:kern w:val="22"/>
                <w:szCs w:val="22"/>
                <w:lang w:val="fr-FR"/>
              </w:rPr>
              <w:t>’</w:t>
            </w:r>
            <w:r w:rsidRPr="00AB2BEB">
              <w:rPr>
                <w:kern w:val="22"/>
                <w:szCs w:val="22"/>
                <w:lang w:val="fr-FR"/>
              </w:rPr>
              <w:t>établissement et à l</w:t>
            </w:r>
            <w:r w:rsidR="004645B4" w:rsidRPr="00AB2BEB">
              <w:rPr>
                <w:kern w:val="22"/>
                <w:szCs w:val="22"/>
                <w:lang w:val="fr-FR"/>
              </w:rPr>
              <w:t>’</w:t>
            </w:r>
            <w:r w:rsidRPr="00AB2BEB">
              <w:rPr>
                <w:kern w:val="22"/>
                <w:szCs w:val="22"/>
                <w:lang w:val="fr-FR"/>
              </w:rPr>
              <w:t>élaboration de mécanismes pour disposer de ressources adéquates provenant de budgets nationaux pour mener à bien les activités nécessaires à l</w:t>
            </w:r>
            <w:r w:rsidR="004645B4" w:rsidRPr="00AB2BEB">
              <w:rPr>
                <w:kern w:val="22"/>
                <w:szCs w:val="22"/>
                <w:lang w:val="fr-FR"/>
              </w:rPr>
              <w:t>’</w:t>
            </w:r>
            <w:r w:rsidRPr="00AB2BEB">
              <w:rPr>
                <w:kern w:val="22"/>
                <w:szCs w:val="22"/>
                <w:lang w:val="fr-FR"/>
              </w:rPr>
              <w:t xml:space="preserve">application du </w:t>
            </w:r>
            <w:r w:rsidR="004A50D0" w:rsidRPr="00AB2BEB">
              <w:rPr>
                <w:kern w:val="22"/>
                <w:szCs w:val="22"/>
                <w:lang w:val="fr-FR"/>
              </w:rPr>
              <w:t>Protocole</w:t>
            </w:r>
            <w:r w:rsidR="00C96D21">
              <w:rPr>
                <w:kern w:val="22"/>
                <w:szCs w:val="22"/>
                <w:lang w:val="fr-FR"/>
              </w:rPr>
              <w:t>;</w:t>
            </w:r>
          </w:p>
          <w:p w14:paraId="131FA913" w14:textId="7E5EFDA4" w:rsidR="00995779" w:rsidRPr="00AB2BEB" w:rsidRDefault="00995779" w:rsidP="00995779">
            <w:pPr>
              <w:jc w:val="left"/>
              <w:rPr>
                <w:rFonts w:eastAsia="MS Mincho"/>
                <w:kern w:val="22"/>
                <w:szCs w:val="22"/>
                <w:lang w:val="fr-FR"/>
              </w:rPr>
            </w:pPr>
            <w:r w:rsidRPr="00AB2BEB">
              <w:rPr>
                <w:kern w:val="22"/>
                <w:szCs w:val="22"/>
                <w:lang w:val="fr-FR"/>
              </w:rPr>
              <w:t>ii) Mettre sur pied</w:t>
            </w:r>
            <w:r w:rsidR="007069E5">
              <w:rPr>
                <w:kern w:val="22"/>
                <w:szCs w:val="22"/>
                <w:lang w:val="fr-FR"/>
              </w:rPr>
              <w:t xml:space="preserve"> et</w:t>
            </w:r>
            <w:r w:rsidRPr="00AB2BEB">
              <w:rPr>
                <w:kern w:val="22"/>
                <w:szCs w:val="22"/>
                <w:lang w:val="fr-FR"/>
              </w:rPr>
              <w:t>/</w:t>
            </w:r>
            <w:r w:rsidR="007069E5">
              <w:rPr>
                <w:kern w:val="22"/>
                <w:szCs w:val="22"/>
                <w:lang w:val="fr-FR"/>
              </w:rPr>
              <w:t xml:space="preserve">ou </w:t>
            </w:r>
            <w:r w:rsidRPr="00AB2BEB">
              <w:rPr>
                <w:kern w:val="22"/>
                <w:szCs w:val="22"/>
                <w:lang w:val="fr-FR"/>
              </w:rPr>
              <w:t xml:space="preserve">renforcer la coordination au niveau national entre les autorités compétentes, les organismes de financement et les autres </w:t>
            </w:r>
            <w:r w:rsidR="004A50D0" w:rsidRPr="00AB2BEB">
              <w:rPr>
                <w:kern w:val="22"/>
                <w:szCs w:val="22"/>
                <w:lang w:val="fr-FR"/>
              </w:rPr>
              <w:t>donateurs</w:t>
            </w:r>
            <w:r w:rsidR="00C96D21">
              <w:rPr>
                <w:kern w:val="22"/>
                <w:szCs w:val="22"/>
                <w:lang w:val="fr-FR"/>
              </w:rPr>
              <w:t>;</w:t>
            </w:r>
          </w:p>
          <w:p w14:paraId="131FA914" w14:textId="56DFE9C8" w:rsidR="00995779" w:rsidRPr="00AB2BEB" w:rsidRDefault="00995779" w:rsidP="00995779">
            <w:pPr>
              <w:suppressLineNumbers/>
              <w:suppressAutoHyphens/>
              <w:spacing w:before="60" w:after="60"/>
              <w:jc w:val="left"/>
              <w:rPr>
                <w:rFonts w:eastAsia="MS Mincho"/>
                <w:kern w:val="22"/>
                <w:szCs w:val="22"/>
                <w:lang w:val="fr-FR"/>
              </w:rPr>
            </w:pPr>
            <w:r w:rsidRPr="00AB2BEB">
              <w:rPr>
                <w:kern w:val="22"/>
                <w:szCs w:val="22"/>
                <w:lang w:val="fr-FR"/>
              </w:rPr>
              <w:t>iii) Mettr</w:t>
            </w:r>
            <w:r w:rsidR="00C82DB4">
              <w:rPr>
                <w:kern w:val="22"/>
                <w:szCs w:val="22"/>
                <w:lang w:val="fr-FR"/>
              </w:rPr>
              <w:t>e sur pied et/ou renforcer</w:t>
            </w:r>
            <w:r w:rsidRPr="00AB2BEB">
              <w:rPr>
                <w:kern w:val="22"/>
                <w:szCs w:val="22"/>
                <w:lang w:val="fr-FR"/>
              </w:rPr>
              <w:t xml:space="preserve"> la coopération entre les Parties donatrices et autres </w:t>
            </w:r>
            <w:r w:rsidRPr="00AB2BEB">
              <w:rPr>
                <w:kern w:val="22"/>
                <w:szCs w:val="22"/>
                <w:lang w:val="fr-FR"/>
              </w:rPr>
              <w:lastRenderedPageBreak/>
              <w:t>donateurs, les Parties qui sont des pays en développement et les Parties à économie en transition afin d</w:t>
            </w:r>
            <w:r w:rsidR="004645B4" w:rsidRPr="00AB2BEB">
              <w:rPr>
                <w:kern w:val="22"/>
                <w:szCs w:val="22"/>
                <w:lang w:val="fr-FR"/>
              </w:rPr>
              <w:t>’</w:t>
            </w:r>
            <w:r w:rsidRPr="00AB2BEB">
              <w:rPr>
                <w:kern w:val="22"/>
                <w:szCs w:val="22"/>
                <w:lang w:val="fr-FR"/>
              </w:rPr>
              <w:t>assurer la pleine mise en œuvre du Protocole.</w:t>
            </w:r>
          </w:p>
          <w:p w14:paraId="131FA915" w14:textId="77777777" w:rsidR="00FE173E" w:rsidRPr="00AB2BEB" w:rsidRDefault="00FE173E" w:rsidP="00274B14">
            <w:pPr>
              <w:suppressLineNumbers/>
              <w:suppressAutoHyphens/>
              <w:spacing w:before="60" w:after="60"/>
              <w:jc w:val="left"/>
              <w:rPr>
                <w:rFonts w:eastAsia="MS Mincho"/>
                <w:kern w:val="22"/>
                <w:szCs w:val="22"/>
                <w:lang w:val="fr-FR"/>
              </w:rPr>
            </w:pPr>
          </w:p>
        </w:tc>
        <w:tc>
          <w:tcPr>
            <w:tcW w:w="3261" w:type="dxa"/>
            <w:tcBorders>
              <w:top w:val="single" w:sz="4" w:space="0" w:color="auto"/>
              <w:left w:val="single" w:sz="4" w:space="0" w:color="auto"/>
              <w:bottom w:val="single" w:sz="4" w:space="0" w:color="auto"/>
              <w:right w:val="single" w:sz="4" w:space="0" w:color="auto"/>
            </w:tcBorders>
          </w:tcPr>
          <w:p w14:paraId="131FA916" w14:textId="282BF48A" w:rsidR="0052347B" w:rsidRPr="00AB2BEB" w:rsidRDefault="0052347B" w:rsidP="0052347B">
            <w:pPr>
              <w:suppressLineNumbers/>
              <w:suppressAutoHyphens/>
              <w:spacing w:before="60" w:after="60"/>
              <w:jc w:val="left"/>
              <w:rPr>
                <w:rFonts w:eastAsia="MS Mincho"/>
                <w:kern w:val="22"/>
                <w:szCs w:val="22"/>
                <w:lang w:val="fr-FR"/>
              </w:rPr>
            </w:pPr>
            <w:r w:rsidRPr="00AB2BEB">
              <w:rPr>
                <w:rFonts w:eastAsia="MS Mincho"/>
                <w:szCs w:val="22"/>
                <w:lang w:val="fr-FR"/>
              </w:rPr>
              <w:lastRenderedPageBreak/>
              <w:t>a) Pourcentage de Parties ayant alloué des ressources de leur budget national à la réalisa</w:t>
            </w:r>
            <w:r w:rsidR="007069E5">
              <w:rPr>
                <w:rFonts w:eastAsia="MS Mincho"/>
                <w:szCs w:val="22"/>
                <w:lang w:val="fr-FR"/>
              </w:rPr>
              <w:t>tion des activités requises pour</w:t>
            </w:r>
            <w:r w:rsidRPr="00AB2BEB">
              <w:rPr>
                <w:rFonts w:eastAsia="MS Mincho"/>
                <w:szCs w:val="22"/>
                <w:lang w:val="fr-FR"/>
              </w:rPr>
              <w:t xml:space="preserve"> l</w:t>
            </w:r>
            <w:r w:rsidR="004645B4" w:rsidRPr="00AB2BEB">
              <w:rPr>
                <w:rFonts w:eastAsia="MS Mincho"/>
                <w:szCs w:val="22"/>
                <w:lang w:val="fr-FR"/>
              </w:rPr>
              <w:t>’</w:t>
            </w:r>
            <w:r w:rsidRPr="00AB2BEB">
              <w:rPr>
                <w:rFonts w:eastAsia="MS Mincho"/>
                <w:szCs w:val="22"/>
                <w:lang w:val="fr-FR"/>
              </w:rPr>
              <w:t>application du Protocole</w:t>
            </w:r>
          </w:p>
          <w:p w14:paraId="131FA917" w14:textId="78927253" w:rsidR="0052347B" w:rsidRPr="00AB2BEB" w:rsidRDefault="0052347B" w:rsidP="0052347B">
            <w:pPr>
              <w:suppressLineNumbers/>
              <w:suppressAutoHyphens/>
              <w:spacing w:before="60" w:after="60"/>
              <w:jc w:val="left"/>
              <w:rPr>
                <w:rFonts w:eastAsia="MS Mincho"/>
                <w:kern w:val="22"/>
                <w:szCs w:val="22"/>
                <w:lang w:val="fr-FR"/>
              </w:rPr>
            </w:pPr>
            <w:r w:rsidRPr="00AB2BEB">
              <w:rPr>
                <w:rFonts w:eastAsia="MS Mincho"/>
                <w:kern w:val="22"/>
                <w:szCs w:val="22"/>
                <w:lang w:val="fr-FR"/>
              </w:rPr>
              <w:t>b) Pourcentage de Parties ayant renforcé la coordination entre les a</w:t>
            </w:r>
            <w:r w:rsidR="007069E5">
              <w:rPr>
                <w:rFonts w:eastAsia="MS Mincho"/>
                <w:kern w:val="22"/>
                <w:szCs w:val="22"/>
                <w:lang w:val="fr-FR"/>
              </w:rPr>
              <w:t>utorités compétentes, les organisme</w:t>
            </w:r>
            <w:r w:rsidRPr="00AB2BEB">
              <w:rPr>
                <w:rFonts w:eastAsia="MS Mincho"/>
                <w:kern w:val="22"/>
                <w:szCs w:val="22"/>
                <w:lang w:val="fr-FR"/>
              </w:rPr>
              <w:t xml:space="preserve">s de financement et autres </w:t>
            </w:r>
            <w:r w:rsidR="004A50D0" w:rsidRPr="00AB2BEB">
              <w:rPr>
                <w:rFonts w:eastAsia="MS Mincho"/>
                <w:kern w:val="22"/>
                <w:szCs w:val="22"/>
                <w:lang w:val="fr-FR"/>
              </w:rPr>
              <w:t>donateurs</w:t>
            </w:r>
            <w:r w:rsidR="00C96D21">
              <w:rPr>
                <w:rFonts w:eastAsia="MS Mincho"/>
                <w:kern w:val="22"/>
                <w:szCs w:val="22"/>
                <w:lang w:val="fr-FR"/>
              </w:rPr>
              <w:t>;</w:t>
            </w:r>
          </w:p>
          <w:p w14:paraId="131FA918" w14:textId="54718761" w:rsidR="0052347B" w:rsidRPr="00AB2BEB" w:rsidRDefault="0052347B" w:rsidP="0052347B">
            <w:pPr>
              <w:suppressLineNumbers/>
              <w:suppressAutoHyphens/>
              <w:spacing w:before="60" w:after="60"/>
              <w:jc w:val="left"/>
              <w:rPr>
                <w:rFonts w:eastAsia="MS Mincho"/>
                <w:szCs w:val="22"/>
                <w:lang w:val="fr-FR"/>
              </w:rPr>
            </w:pPr>
            <w:r w:rsidRPr="00AB2BEB">
              <w:rPr>
                <w:rFonts w:eastAsia="MS Mincho"/>
                <w:szCs w:val="22"/>
                <w:lang w:val="fr-FR"/>
              </w:rPr>
              <w:t>c) Pourcentage de Parties ayant renforcé la coopération entre les Parties donatrices, les autres donateurs, les pays en développement Parties et les Parties à économie</w:t>
            </w:r>
            <w:r w:rsidR="007069E5">
              <w:rPr>
                <w:rFonts w:eastAsia="MS Mincho"/>
                <w:szCs w:val="22"/>
                <w:lang w:val="fr-FR"/>
              </w:rPr>
              <w:t xml:space="preserve"> en transition </w:t>
            </w:r>
            <w:r w:rsidR="007069E5">
              <w:rPr>
                <w:rFonts w:eastAsia="MS Mincho"/>
                <w:szCs w:val="22"/>
                <w:lang w:val="fr-FR"/>
              </w:rPr>
              <w:lastRenderedPageBreak/>
              <w:t xml:space="preserve">afin d’assurer la pleine mise en œuvre </w:t>
            </w:r>
            <w:r w:rsidRPr="00AB2BEB">
              <w:rPr>
                <w:rFonts w:eastAsia="MS Mincho"/>
                <w:szCs w:val="22"/>
                <w:lang w:val="fr-FR"/>
              </w:rPr>
              <w:t xml:space="preserve">du </w:t>
            </w:r>
            <w:r w:rsidR="00916BEE" w:rsidRPr="00AB2BEB">
              <w:rPr>
                <w:rFonts w:eastAsia="MS Mincho"/>
                <w:szCs w:val="22"/>
                <w:lang w:val="fr-FR"/>
              </w:rPr>
              <w:t>Protocole</w:t>
            </w:r>
            <w:r w:rsidR="00C96D21">
              <w:rPr>
                <w:rFonts w:eastAsia="MS Mincho"/>
                <w:szCs w:val="22"/>
                <w:lang w:val="fr-FR"/>
              </w:rPr>
              <w:t>;</w:t>
            </w:r>
          </w:p>
          <w:p w14:paraId="131FA91A" w14:textId="5CCA7831" w:rsidR="00FE173E" w:rsidRPr="00AB2BEB" w:rsidRDefault="0052347B" w:rsidP="00274B14">
            <w:pPr>
              <w:suppressLineNumbers/>
              <w:suppressAutoHyphens/>
              <w:spacing w:before="60" w:after="60"/>
              <w:jc w:val="left"/>
              <w:rPr>
                <w:rFonts w:eastAsia="MS Mincho"/>
                <w:kern w:val="22"/>
                <w:szCs w:val="22"/>
                <w:lang w:val="fr-FR"/>
              </w:rPr>
            </w:pPr>
            <w:r w:rsidRPr="00AB2BEB">
              <w:rPr>
                <w:rFonts w:eastAsia="MS Mincho"/>
                <w:szCs w:val="22"/>
                <w:lang w:val="fr-FR"/>
              </w:rPr>
              <w:t>d) Pourcentage de Parties ayant contribué des ressources à d</w:t>
            </w:r>
            <w:r w:rsidR="004645B4" w:rsidRPr="00AB2BEB">
              <w:rPr>
                <w:rFonts w:eastAsia="MS Mincho"/>
                <w:szCs w:val="22"/>
                <w:lang w:val="fr-FR"/>
              </w:rPr>
              <w:t>’</w:t>
            </w:r>
            <w:r w:rsidRPr="00AB2BEB">
              <w:rPr>
                <w:rFonts w:eastAsia="MS Mincho"/>
                <w:szCs w:val="22"/>
                <w:lang w:val="fr-FR"/>
              </w:rPr>
              <w:t>autres Parties afin de r</w:t>
            </w:r>
            <w:r w:rsidR="007069E5">
              <w:rPr>
                <w:rFonts w:eastAsia="MS Mincho"/>
                <w:szCs w:val="22"/>
                <w:lang w:val="fr-FR"/>
              </w:rPr>
              <w:t>enforcer leurs capacités de</w:t>
            </w:r>
            <w:r w:rsidRPr="00AB2BEB">
              <w:rPr>
                <w:rFonts w:eastAsia="MS Mincho"/>
                <w:szCs w:val="22"/>
                <w:lang w:val="fr-FR"/>
              </w:rPr>
              <w:t xml:space="preserve"> mise en œuvre du Protocole</w:t>
            </w:r>
            <w:r w:rsidR="00261555">
              <w:rPr>
                <w:rFonts w:eastAsia="MS Mincho"/>
                <w:szCs w:val="22"/>
                <w:lang w:val="fr-FR"/>
              </w:rPr>
              <w:t>.</w:t>
            </w:r>
          </w:p>
        </w:tc>
        <w:tc>
          <w:tcPr>
            <w:tcW w:w="2835" w:type="dxa"/>
            <w:tcBorders>
              <w:top w:val="single" w:sz="4" w:space="0" w:color="auto"/>
              <w:left w:val="single" w:sz="4" w:space="0" w:color="auto"/>
              <w:bottom w:val="single" w:sz="4" w:space="0" w:color="auto"/>
              <w:right w:val="single" w:sz="4" w:space="0" w:color="auto"/>
            </w:tcBorders>
          </w:tcPr>
          <w:p w14:paraId="131FA91B" w14:textId="633BB1D1" w:rsidR="0052347B" w:rsidRPr="00AB2BEB" w:rsidRDefault="0052347B" w:rsidP="0052347B">
            <w:pPr>
              <w:suppressLineNumbers/>
              <w:suppressAutoHyphens/>
              <w:spacing w:before="60" w:after="60"/>
              <w:jc w:val="left"/>
              <w:rPr>
                <w:kern w:val="22"/>
                <w:szCs w:val="22"/>
                <w:lang w:val="fr-FR"/>
              </w:rPr>
            </w:pPr>
            <w:r w:rsidRPr="00AB2BEB">
              <w:rPr>
                <w:kern w:val="22"/>
                <w:szCs w:val="22"/>
                <w:lang w:val="fr-FR"/>
              </w:rPr>
              <w:lastRenderedPageBreak/>
              <w:t xml:space="preserve">La pleine mise en œuvre du Protocole est rendue possible par des ressources </w:t>
            </w:r>
            <w:r w:rsidR="004A50D0" w:rsidRPr="00AB2BEB">
              <w:rPr>
                <w:kern w:val="22"/>
                <w:szCs w:val="22"/>
                <w:lang w:val="fr-FR"/>
              </w:rPr>
              <w:t>adéquates</w:t>
            </w:r>
            <w:r w:rsidR="007069E5">
              <w:rPr>
                <w:kern w:val="22"/>
                <w:szCs w:val="22"/>
                <w:lang w:val="fr-FR"/>
              </w:rPr>
              <w:t>.</w:t>
            </w:r>
          </w:p>
          <w:p w14:paraId="131FA91C" w14:textId="764D2BEF" w:rsidR="00FE173E" w:rsidRPr="00AB2BEB" w:rsidRDefault="0052347B" w:rsidP="0052347B">
            <w:pPr>
              <w:suppressLineNumbers/>
              <w:suppressAutoHyphens/>
              <w:spacing w:before="60" w:after="60"/>
              <w:jc w:val="left"/>
              <w:rPr>
                <w:rFonts w:eastAsia="MS Mincho"/>
                <w:kern w:val="22"/>
                <w:szCs w:val="22"/>
                <w:lang w:val="fr-FR"/>
              </w:rPr>
            </w:pPr>
            <w:r w:rsidRPr="00AB2BEB">
              <w:rPr>
                <w:kern w:val="22"/>
                <w:szCs w:val="22"/>
                <w:lang w:val="fr-FR"/>
              </w:rPr>
              <w:t>Des ressources publiques et privées sont mobilisées et offrent un appui régulier et soutenu aux mesures nécessaires</w:t>
            </w:r>
            <w:r w:rsidR="00261555">
              <w:rPr>
                <w:kern w:val="22"/>
                <w:szCs w:val="22"/>
                <w:lang w:val="fr-FR"/>
              </w:rPr>
              <w:t>.</w:t>
            </w:r>
            <w:r w:rsidRPr="00AB2BEB">
              <w:rPr>
                <w:kern w:val="22"/>
                <w:szCs w:val="22"/>
                <w:lang w:val="fr-FR"/>
              </w:rPr>
              <w:t xml:space="preserve"> </w:t>
            </w:r>
          </w:p>
          <w:p w14:paraId="131FA91D" w14:textId="77777777" w:rsidR="00FE173E" w:rsidRPr="00AB2BEB" w:rsidRDefault="00FE173E" w:rsidP="00274B14">
            <w:pPr>
              <w:suppressLineNumbers/>
              <w:suppressAutoHyphens/>
              <w:spacing w:before="60" w:after="60"/>
              <w:jc w:val="left"/>
              <w:rPr>
                <w:rFonts w:eastAsia="MS Mincho"/>
                <w:kern w:val="22"/>
                <w:szCs w:val="22"/>
                <w:lang w:val="fr-FR"/>
              </w:rPr>
            </w:pPr>
          </w:p>
          <w:p w14:paraId="131FA91E" w14:textId="77777777" w:rsidR="00FE173E" w:rsidRPr="00AB2BEB" w:rsidRDefault="00FE173E" w:rsidP="0052347B">
            <w:pPr>
              <w:suppressLineNumbers/>
              <w:suppressAutoHyphens/>
              <w:spacing w:before="60" w:after="60"/>
              <w:jc w:val="left"/>
              <w:rPr>
                <w:rFonts w:eastAsia="MS Mincho"/>
                <w:kern w:val="22"/>
                <w:szCs w:val="22"/>
                <w:lang w:val="fr-FR"/>
              </w:rPr>
            </w:pPr>
          </w:p>
        </w:tc>
      </w:tr>
      <w:tr w:rsidR="005C7F45" w:rsidRPr="00597279" w14:paraId="131FA936" w14:textId="77777777" w:rsidTr="00737E63">
        <w:trPr>
          <w:jc w:val="center"/>
        </w:trPr>
        <w:tc>
          <w:tcPr>
            <w:tcW w:w="1705" w:type="dxa"/>
          </w:tcPr>
          <w:p w14:paraId="131FA920" w14:textId="54EB2117" w:rsidR="005C7F45" w:rsidRPr="00AB2BEB" w:rsidRDefault="005C7F45" w:rsidP="00274B14">
            <w:pPr>
              <w:suppressLineNumbers/>
              <w:suppressAutoHyphens/>
              <w:spacing w:before="60" w:after="60"/>
              <w:jc w:val="left"/>
              <w:rPr>
                <w:rFonts w:eastAsia="MS Mincho"/>
                <w:b/>
                <w:bCs/>
                <w:kern w:val="22"/>
                <w:szCs w:val="22"/>
                <w:lang w:val="fr-FR"/>
              </w:rPr>
            </w:pPr>
            <w:r w:rsidRPr="00AB2BEB">
              <w:rPr>
                <w:b/>
                <w:bCs/>
                <w:kern w:val="22"/>
                <w:szCs w:val="22"/>
                <w:lang w:val="fr-FR"/>
              </w:rPr>
              <w:t>B.3. Les Parties promeuvent et facilitent la sensibilisation, l</w:t>
            </w:r>
            <w:r w:rsidR="004645B4" w:rsidRPr="00AB2BEB">
              <w:rPr>
                <w:b/>
                <w:bCs/>
                <w:kern w:val="22"/>
                <w:szCs w:val="22"/>
                <w:lang w:val="fr-FR"/>
              </w:rPr>
              <w:t>’</w:t>
            </w:r>
            <w:r w:rsidRPr="00AB2BEB">
              <w:rPr>
                <w:b/>
                <w:bCs/>
                <w:kern w:val="22"/>
                <w:szCs w:val="22"/>
                <w:lang w:val="fr-FR"/>
              </w:rPr>
              <w:t>éducation et</w:t>
            </w:r>
            <w:r w:rsidR="007069E5">
              <w:rPr>
                <w:b/>
                <w:bCs/>
                <w:kern w:val="22"/>
                <w:szCs w:val="22"/>
                <w:lang w:val="fr-FR"/>
              </w:rPr>
              <w:t xml:space="preserve"> la participation du public en ce qui concerne </w:t>
            </w:r>
            <w:r w:rsidRPr="00AB2BEB">
              <w:rPr>
                <w:b/>
                <w:bCs/>
                <w:kern w:val="22"/>
                <w:szCs w:val="22"/>
                <w:lang w:val="fr-FR"/>
              </w:rPr>
              <w:t>le transfert, la manipulation et l</w:t>
            </w:r>
            <w:r w:rsidR="004645B4" w:rsidRPr="00AB2BEB">
              <w:rPr>
                <w:b/>
                <w:bCs/>
                <w:kern w:val="22"/>
                <w:szCs w:val="22"/>
                <w:lang w:val="fr-FR"/>
              </w:rPr>
              <w:t>’</w:t>
            </w:r>
            <w:r w:rsidRPr="00AB2BEB">
              <w:rPr>
                <w:b/>
                <w:bCs/>
                <w:kern w:val="22"/>
                <w:szCs w:val="22"/>
                <w:lang w:val="fr-FR"/>
              </w:rPr>
              <w:t>utilisation sans danger des OVM, conformément</w:t>
            </w:r>
            <w:r w:rsidR="007069E5">
              <w:rPr>
                <w:b/>
                <w:bCs/>
                <w:kern w:val="22"/>
                <w:szCs w:val="22"/>
                <w:lang w:val="fr-FR"/>
              </w:rPr>
              <w:t>,</w:t>
            </w:r>
            <w:r w:rsidRPr="00AB2BEB">
              <w:rPr>
                <w:b/>
                <w:bCs/>
                <w:kern w:val="22"/>
                <w:szCs w:val="22"/>
                <w:lang w:val="fr-FR"/>
              </w:rPr>
              <w:t xml:space="preserve"> à l</w:t>
            </w:r>
            <w:r w:rsidR="004645B4" w:rsidRPr="00AB2BEB">
              <w:rPr>
                <w:b/>
                <w:bCs/>
                <w:kern w:val="22"/>
                <w:szCs w:val="22"/>
                <w:lang w:val="fr-FR"/>
              </w:rPr>
              <w:t>’</w:t>
            </w:r>
            <w:r w:rsidR="00261555">
              <w:rPr>
                <w:b/>
                <w:bCs/>
                <w:kern w:val="22"/>
                <w:szCs w:val="22"/>
                <w:lang w:val="fr-FR"/>
              </w:rPr>
              <w:t>article 23 du Protocole</w:t>
            </w:r>
          </w:p>
        </w:tc>
        <w:tc>
          <w:tcPr>
            <w:tcW w:w="2543" w:type="dxa"/>
            <w:shd w:val="clear" w:color="auto" w:fill="auto"/>
          </w:tcPr>
          <w:p w14:paraId="131FA921" w14:textId="027136F6" w:rsidR="005C7F45" w:rsidRPr="00AB2BEB" w:rsidRDefault="005C7F45" w:rsidP="00274B14">
            <w:pPr>
              <w:spacing w:before="60" w:after="60"/>
              <w:jc w:val="left"/>
              <w:rPr>
                <w:rFonts w:eastAsia="MS Mincho"/>
                <w:kern w:val="22"/>
                <w:szCs w:val="22"/>
                <w:lang w:val="fr-FR"/>
              </w:rPr>
            </w:pPr>
            <w:r w:rsidRPr="00AB2BEB">
              <w:rPr>
                <w:kern w:val="22"/>
                <w:szCs w:val="22"/>
                <w:lang w:val="fr-FR"/>
              </w:rPr>
              <w:t>1) Mise en place de systèmes nationaux pour promouvoir la sensibilisation, l</w:t>
            </w:r>
            <w:r w:rsidR="004645B4" w:rsidRPr="00AB2BEB">
              <w:rPr>
                <w:kern w:val="22"/>
                <w:szCs w:val="22"/>
                <w:lang w:val="fr-FR"/>
              </w:rPr>
              <w:t>’</w:t>
            </w:r>
            <w:r w:rsidRPr="00AB2BEB">
              <w:rPr>
                <w:kern w:val="22"/>
                <w:szCs w:val="22"/>
                <w:lang w:val="fr-FR"/>
              </w:rPr>
              <w:t xml:space="preserve">éducation et la participation du </w:t>
            </w:r>
            <w:r w:rsidR="00916BEE" w:rsidRPr="00AB2BEB">
              <w:rPr>
                <w:kern w:val="22"/>
                <w:szCs w:val="22"/>
                <w:lang w:val="fr-FR"/>
              </w:rPr>
              <w:t>public</w:t>
            </w:r>
            <w:r w:rsidR="00C96D21">
              <w:rPr>
                <w:kern w:val="22"/>
                <w:szCs w:val="22"/>
                <w:lang w:val="fr-FR"/>
              </w:rPr>
              <w:t>;</w:t>
            </w:r>
          </w:p>
          <w:p w14:paraId="131FA922" w14:textId="2058B144" w:rsidR="005C7F45" w:rsidRPr="00AB2BEB" w:rsidRDefault="005C7F45" w:rsidP="00274B14">
            <w:pPr>
              <w:spacing w:before="60" w:after="60"/>
              <w:jc w:val="left"/>
              <w:rPr>
                <w:rFonts w:eastAsia="MS Mincho"/>
                <w:kern w:val="22"/>
                <w:szCs w:val="22"/>
                <w:lang w:val="fr-FR"/>
              </w:rPr>
            </w:pPr>
            <w:r w:rsidRPr="00AB2BEB">
              <w:rPr>
                <w:kern w:val="22"/>
                <w:szCs w:val="22"/>
                <w:lang w:val="fr-FR"/>
              </w:rPr>
              <w:t>2) Élaboration et diffusion de ressources et de matériels de formation sur la sensibilisation, l</w:t>
            </w:r>
            <w:r w:rsidR="004645B4" w:rsidRPr="00AB2BEB">
              <w:rPr>
                <w:kern w:val="22"/>
                <w:szCs w:val="22"/>
                <w:lang w:val="fr-FR"/>
              </w:rPr>
              <w:t>’</w:t>
            </w:r>
            <w:r w:rsidRPr="00AB2BEB">
              <w:rPr>
                <w:kern w:val="22"/>
                <w:szCs w:val="22"/>
                <w:lang w:val="fr-FR"/>
              </w:rPr>
              <w:t xml:space="preserve">éducation et la participation du </w:t>
            </w:r>
            <w:r w:rsidR="00916BEE" w:rsidRPr="00AB2BEB">
              <w:rPr>
                <w:kern w:val="22"/>
                <w:szCs w:val="22"/>
                <w:lang w:val="fr-FR"/>
              </w:rPr>
              <w:t>public</w:t>
            </w:r>
            <w:r w:rsidR="00C96D21">
              <w:rPr>
                <w:kern w:val="22"/>
                <w:szCs w:val="22"/>
                <w:lang w:val="fr-FR"/>
              </w:rPr>
              <w:t>;</w:t>
            </w:r>
          </w:p>
          <w:p w14:paraId="131FA923" w14:textId="4C4C6CAD" w:rsidR="005C7F45" w:rsidRPr="00AB2BEB" w:rsidRDefault="005C7F45" w:rsidP="00274B14">
            <w:pPr>
              <w:spacing w:before="60" w:after="60"/>
              <w:jc w:val="left"/>
              <w:rPr>
                <w:rFonts w:eastAsia="MS Mincho"/>
                <w:b/>
                <w:kern w:val="22"/>
                <w:szCs w:val="22"/>
                <w:lang w:val="fr-FR"/>
              </w:rPr>
            </w:pPr>
            <w:r w:rsidRPr="00AB2BEB">
              <w:rPr>
                <w:kern w:val="22"/>
                <w:szCs w:val="22"/>
                <w:lang w:val="fr-FR"/>
              </w:rPr>
              <w:t xml:space="preserve">3) Éducation sur la prévention des risques </w:t>
            </w:r>
            <w:r w:rsidR="00916BEE" w:rsidRPr="00AB2BEB">
              <w:rPr>
                <w:kern w:val="22"/>
                <w:szCs w:val="22"/>
                <w:lang w:val="fr-FR"/>
              </w:rPr>
              <w:t>biotechnologiques</w:t>
            </w:r>
            <w:r w:rsidR="00C96D21">
              <w:rPr>
                <w:kern w:val="22"/>
                <w:szCs w:val="22"/>
                <w:lang w:val="fr-FR"/>
              </w:rPr>
              <w:t>;</w:t>
            </w:r>
          </w:p>
          <w:p w14:paraId="131FA924" w14:textId="5B6158DA" w:rsidR="005C7F45" w:rsidRPr="00AB2BEB" w:rsidRDefault="005C7F45" w:rsidP="00274B14">
            <w:pPr>
              <w:spacing w:before="60" w:after="60"/>
              <w:jc w:val="left"/>
              <w:rPr>
                <w:rFonts w:eastAsia="MS Mincho"/>
                <w:kern w:val="22"/>
                <w:szCs w:val="22"/>
                <w:lang w:val="fr-FR"/>
              </w:rPr>
            </w:pPr>
            <w:r w:rsidRPr="00AB2BEB">
              <w:rPr>
                <w:kern w:val="22"/>
                <w:szCs w:val="22"/>
                <w:lang w:val="fr-FR"/>
              </w:rPr>
              <w:t xml:space="preserve">4) Renforcement des mécanismes de participation à la prise de </w:t>
            </w:r>
            <w:r w:rsidR="00916BEE" w:rsidRPr="00AB2BEB">
              <w:rPr>
                <w:kern w:val="22"/>
                <w:szCs w:val="22"/>
                <w:lang w:val="fr-FR"/>
              </w:rPr>
              <w:t>décision</w:t>
            </w:r>
            <w:r w:rsidR="007069E5">
              <w:rPr>
                <w:kern w:val="22"/>
                <w:szCs w:val="22"/>
                <w:lang w:val="fr-FR"/>
              </w:rPr>
              <w:t>s</w:t>
            </w:r>
            <w:r w:rsidR="00C96D21">
              <w:rPr>
                <w:kern w:val="22"/>
                <w:szCs w:val="22"/>
                <w:lang w:val="fr-FR"/>
              </w:rPr>
              <w:t>;</w:t>
            </w:r>
          </w:p>
          <w:p w14:paraId="131FA925" w14:textId="7EB6AE68" w:rsidR="005C7F45" w:rsidRPr="00AB2BEB" w:rsidRDefault="007069E5" w:rsidP="00274B14">
            <w:pPr>
              <w:suppressLineNumbers/>
              <w:suppressAutoHyphens/>
              <w:spacing w:before="60" w:after="60"/>
              <w:jc w:val="left"/>
              <w:rPr>
                <w:rFonts w:eastAsia="MS Mincho"/>
                <w:kern w:val="22"/>
                <w:szCs w:val="22"/>
                <w:lang w:val="fr-FR"/>
              </w:rPr>
            </w:pPr>
            <w:r>
              <w:rPr>
                <w:kern w:val="22"/>
                <w:szCs w:val="22"/>
                <w:lang w:val="fr-FR"/>
              </w:rPr>
              <w:t>5) Élaboration</w:t>
            </w:r>
            <w:r w:rsidR="005C7F45" w:rsidRPr="00AB2BEB">
              <w:rPr>
                <w:kern w:val="22"/>
                <w:szCs w:val="22"/>
                <w:lang w:val="fr-FR"/>
              </w:rPr>
              <w:t xml:space="preserve"> de programmes de sensibilisation du public.</w:t>
            </w:r>
          </w:p>
        </w:tc>
        <w:tc>
          <w:tcPr>
            <w:tcW w:w="3118" w:type="dxa"/>
            <w:shd w:val="clear" w:color="auto" w:fill="auto"/>
          </w:tcPr>
          <w:p w14:paraId="131FA926" w14:textId="54D4D204" w:rsidR="005C7F45" w:rsidRPr="00AB2BEB" w:rsidRDefault="005C7F45" w:rsidP="00274B14">
            <w:pPr>
              <w:spacing w:before="60" w:after="60"/>
              <w:jc w:val="left"/>
              <w:rPr>
                <w:rFonts w:eastAsia="MS Mincho"/>
                <w:kern w:val="22"/>
                <w:szCs w:val="22"/>
                <w:lang w:val="fr-FR"/>
              </w:rPr>
            </w:pPr>
            <w:r w:rsidRPr="00AB2BEB">
              <w:rPr>
                <w:kern w:val="22"/>
                <w:szCs w:val="22"/>
                <w:lang w:val="fr-FR"/>
              </w:rPr>
              <w:t>i) Élaborer et diffuser des matériels de renforcement des capacités sur la sensibilisation, l</w:t>
            </w:r>
            <w:r w:rsidR="004645B4" w:rsidRPr="00AB2BEB">
              <w:rPr>
                <w:kern w:val="22"/>
                <w:szCs w:val="22"/>
                <w:lang w:val="fr-FR"/>
              </w:rPr>
              <w:t>’</w:t>
            </w:r>
            <w:r w:rsidRPr="00AB2BEB">
              <w:rPr>
                <w:kern w:val="22"/>
                <w:szCs w:val="22"/>
                <w:lang w:val="fr-FR"/>
              </w:rPr>
              <w:t xml:space="preserve">éducation et la participation du </w:t>
            </w:r>
            <w:r w:rsidR="00916BEE" w:rsidRPr="00AB2BEB">
              <w:rPr>
                <w:kern w:val="22"/>
                <w:szCs w:val="22"/>
                <w:lang w:val="fr-FR"/>
              </w:rPr>
              <w:t>public</w:t>
            </w:r>
            <w:r w:rsidR="00C96D21">
              <w:rPr>
                <w:kern w:val="22"/>
                <w:szCs w:val="22"/>
                <w:lang w:val="fr-FR"/>
              </w:rPr>
              <w:t>;</w:t>
            </w:r>
          </w:p>
          <w:p w14:paraId="131FA927" w14:textId="554122A7" w:rsidR="005C7F45" w:rsidRPr="00AB2BEB" w:rsidRDefault="005C7F45" w:rsidP="00274B14">
            <w:pPr>
              <w:spacing w:before="60" w:after="60"/>
              <w:jc w:val="left"/>
              <w:rPr>
                <w:rFonts w:eastAsia="MS Mincho"/>
                <w:kern w:val="22"/>
                <w:szCs w:val="22"/>
                <w:lang w:val="fr-FR"/>
              </w:rPr>
            </w:pPr>
            <w:r w:rsidRPr="00AB2BEB">
              <w:rPr>
                <w:kern w:val="22"/>
                <w:szCs w:val="22"/>
                <w:lang w:val="fr-FR"/>
              </w:rPr>
              <w:t>ii) Élaborer ou mettre à jour des programmes d</w:t>
            </w:r>
            <w:r w:rsidR="004645B4" w:rsidRPr="00AB2BEB">
              <w:rPr>
                <w:kern w:val="22"/>
                <w:szCs w:val="22"/>
                <w:lang w:val="fr-FR"/>
              </w:rPr>
              <w:t>’</w:t>
            </w:r>
            <w:r w:rsidRPr="00AB2BEB">
              <w:rPr>
                <w:kern w:val="22"/>
                <w:szCs w:val="22"/>
                <w:lang w:val="fr-FR"/>
              </w:rPr>
              <w:t xml:space="preserve">éducation sur la prévention des risques biotechnologiques et renforcer les capacités </w:t>
            </w:r>
            <w:r w:rsidR="00916BEE" w:rsidRPr="00AB2BEB">
              <w:rPr>
                <w:kern w:val="22"/>
                <w:szCs w:val="22"/>
                <w:lang w:val="fr-FR"/>
              </w:rPr>
              <w:t>institutionnelles</w:t>
            </w:r>
            <w:r w:rsidR="00C96D21">
              <w:rPr>
                <w:kern w:val="22"/>
                <w:szCs w:val="22"/>
                <w:lang w:val="fr-FR"/>
              </w:rPr>
              <w:t>;</w:t>
            </w:r>
          </w:p>
          <w:p w14:paraId="131FA928" w14:textId="7AD3853B" w:rsidR="005C7F45" w:rsidRPr="00AB2BEB" w:rsidRDefault="005C7F45" w:rsidP="00274B14">
            <w:pPr>
              <w:spacing w:before="60" w:after="60"/>
              <w:jc w:val="left"/>
              <w:rPr>
                <w:rFonts w:eastAsia="MS Mincho"/>
                <w:kern w:val="22"/>
                <w:szCs w:val="22"/>
                <w:lang w:val="fr-FR"/>
              </w:rPr>
            </w:pPr>
            <w:r w:rsidRPr="00AB2BEB">
              <w:rPr>
                <w:kern w:val="22"/>
                <w:szCs w:val="22"/>
                <w:lang w:val="fr-FR"/>
              </w:rPr>
              <w:t xml:space="preserve">iii) Intégrer la prévention des risques biotechnologiques dans les programmes éducatifs </w:t>
            </w:r>
            <w:r w:rsidR="00916BEE" w:rsidRPr="00AB2BEB">
              <w:rPr>
                <w:kern w:val="22"/>
                <w:szCs w:val="22"/>
                <w:lang w:val="fr-FR"/>
              </w:rPr>
              <w:t>pertinents</w:t>
            </w:r>
            <w:r w:rsidR="00C96D21">
              <w:rPr>
                <w:kern w:val="22"/>
                <w:szCs w:val="22"/>
                <w:lang w:val="fr-FR"/>
              </w:rPr>
              <w:t>;</w:t>
            </w:r>
          </w:p>
          <w:p w14:paraId="131FA929" w14:textId="05B59635" w:rsidR="005C7F45" w:rsidRPr="00AB2BEB" w:rsidRDefault="005C7F45" w:rsidP="00274B14">
            <w:pPr>
              <w:spacing w:before="60" w:after="60"/>
              <w:jc w:val="left"/>
              <w:rPr>
                <w:rFonts w:eastAsia="MS Mincho"/>
                <w:kern w:val="22"/>
                <w:szCs w:val="22"/>
                <w:lang w:val="fr-FR"/>
              </w:rPr>
            </w:pPr>
            <w:r w:rsidRPr="00AB2BEB">
              <w:rPr>
                <w:kern w:val="22"/>
                <w:szCs w:val="22"/>
                <w:lang w:val="fr-FR"/>
              </w:rPr>
              <w:t>iv) Mettre en place des programmes d</w:t>
            </w:r>
            <w:r w:rsidR="004645B4" w:rsidRPr="00AB2BEB">
              <w:rPr>
                <w:kern w:val="22"/>
                <w:szCs w:val="22"/>
                <w:lang w:val="fr-FR"/>
              </w:rPr>
              <w:t>’</w:t>
            </w:r>
            <w:r w:rsidRPr="00AB2BEB">
              <w:rPr>
                <w:kern w:val="22"/>
                <w:szCs w:val="22"/>
                <w:lang w:val="fr-FR"/>
              </w:rPr>
              <w:t xml:space="preserve">échanges et de bourses universitaires, notamment dans les domaines de la biotechnologie moderne et la recherche sur la prévention des risques </w:t>
            </w:r>
            <w:r w:rsidR="00916BEE" w:rsidRPr="00AB2BEB">
              <w:rPr>
                <w:kern w:val="22"/>
                <w:szCs w:val="22"/>
                <w:lang w:val="fr-FR"/>
              </w:rPr>
              <w:t>biotechnologiques</w:t>
            </w:r>
            <w:r w:rsidR="00C96D21">
              <w:rPr>
                <w:kern w:val="22"/>
                <w:szCs w:val="22"/>
                <w:lang w:val="fr-FR"/>
              </w:rPr>
              <w:t>;</w:t>
            </w:r>
          </w:p>
          <w:p w14:paraId="131FA92A" w14:textId="2522C1D5" w:rsidR="005C7F45" w:rsidRPr="00AB2BEB" w:rsidRDefault="005C7F45" w:rsidP="00274B14">
            <w:pPr>
              <w:spacing w:before="60" w:after="60"/>
              <w:jc w:val="left"/>
              <w:rPr>
                <w:rFonts w:eastAsia="MS Mincho"/>
                <w:kern w:val="22"/>
                <w:szCs w:val="22"/>
                <w:lang w:val="fr-FR"/>
              </w:rPr>
            </w:pPr>
            <w:r w:rsidRPr="00AB2BEB">
              <w:rPr>
                <w:kern w:val="22"/>
                <w:szCs w:val="22"/>
                <w:lang w:val="fr-FR"/>
              </w:rPr>
              <w:t xml:space="preserve">v) Dispenser une formation sur la participation à la prise de </w:t>
            </w:r>
            <w:r w:rsidRPr="00AB2BEB">
              <w:rPr>
                <w:kern w:val="22"/>
                <w:szCs w:val="22"/>
                <w:lang w:val="fr-FR"/>
              </w:rPr>
              <w:lastRenderedPageBreak/>
              <w:t>décisions, conformément aux lois et réglement</w:t>
            </w:r>
            <w:r w:rsidR="007069E5">
              <w:rPr>
                <w:kern w:val="22"/>
                <w:szCs w:val="22"/>
                <w:lang w:val="fr-FR"/>
              </w:rPr>
              <w:t>ations nationales, y compris</w:t>
            </w:r>
            <w:r w:rsidRPr="00AB2BEB">
              <w:rPr>
                <w:kern w:val="22"/>
                <w:szCs w:val="22"/>
                <w:lang w:val="fr-FR"/>
              </w:rPr>
              <w:t xml:space="preserve"> la mise en place de mécanismes pour informer le public sur les modalités de </w:t>
            </w:r>
            <w:r w:rsidR="00916BEE" w:rsidRPr="00AB2BEB">
              <w:rPr>
                <w:kern w:val="22"/>
                <w:szCs w:val="22"/>
                <w:lang w:val="fr-FR"/>
              </w:rPr>
              <w:t>participation</w:t>
            </w:r>
            <w:r w:rsidR="00C96D21">
              <w:rPr>
                <w:kern w:val="22"/>
                <w:szCs w:val="22"/>
                <w:lang w:val="fr-FR"/>
              </w:rPr>
              <w:t>;</w:t>
            </w:r>
          </w:p>
          <w:p w14:paraId="131FA92B" w14:textId="5DF9FED6" w:rsidR="005C7F45" w:rsidRPr="00AB2BEB" w:rsidRDefault="005C7F45" w:rsidP="00274B14">
            <w:pPr>
              <w:spacing w:before="60" w:after="60"/>
              <w:jc w:val="left"/>
              <w:rPr>
                <w:rFonts w:eastAsia="MS Mincho"/>
                <w:kern w:val="22"/>
                <w:szCs w:val="22"/>
                <w:lang w:val="fr-FR"/>
              </w:rPr>
            </w:pPr>
            <w:r w:rsidRPr="00AB2BEB">
              <w:rPr>
                <w:kern w:val="22"/>
                <w:szCs w:val="22"/>
                <w:lang w:val="fr-FR"/>
              </w:rPr>
              <w:t>vi) Dispenser une formation sur l</w:t>
            </w:r>
            <w:r w:rsidR="004645B4" w:rsidRPr="00AB2BEB">
              <w:rPr>
                <w:kern w:val="22"/>
                <w:szCs w:val="22"/>
                <w:lang w:val="fr-FR"/>
              </w:rPr>
              <w:t>’</w:t>
            </w:r>
            <w:r w:rsidRPr="00AB2BEB">
              <w:rPr>
                <w:kern w:val="22"/>
                <w:szCs w:val="22"/>
                <w:lang w:val="fr-FR"/>
              </w:rPr>
              <w:t xml:space="preserve">élaboration et la mise en œuvre de programmes de sensibilisation du public à la prévention des risques </w:t>
            </w:r>
            <w:r w:rsidR="00916BEE" w:rsidRPr="00AB2BEB">
              <w:rPr>
                <w:kern w:val="22"/>
                <w:szCs w:val="22"/>
                <w:lang w:val="fr-FR"/>
              </w:rPr>
              <w:t>biotechnologiques</w:t>
            </w:r>
            <w:r w:rsidR="00C96D21">
              <w:rPr>
                <w:kern w:val="22"/>
                <w:szCs w:val="22"/>
                <w:lang w:val="fr-FR"/>
              </w:rPr>
              <w:t>;</w:t>
            </w:r>
            <w:r w:rsidRPr="00AB2BEB">
              <w:rPr>
                <w:kern w:val="22"/>
                <w:szCs w:val="22"/>
                <w:lang w:val="fr-FR"/>
              </w:rPr>
              <w:t xml:space="preserve"> </w:t>
            </w:r>
          </w:p>
          <w:p w14:paraId="131FA92C" w14:textId="7E32F639" w:rsidR="005C7F45" w:rsidRPr="00AB2BEB" w:rsidRDefault="005C7F45" w:rsidP="00274B14">
            <w:pPr>
              <w:suppressLineNumbers/>
              <w:suppressAutoHyphens/>
              <w:spacing w:before="60" w:after="60"/>
              <w:jc w:val="left"/>
              <w:rPr>
                <w:rFonts w:eastAsia="MS Mincho"/>
                <w:kern w:val="22"/>
                <w:szCs w:val="22"/>
                <w:lang w:val="fr-FR"/>
              </w:rPr>
            </w:pPr>
            <w:r w:rsidRPr="00AB2BEB">
              <w:rPr>
                <w:kern w:val="22"/>
                <w:szCs w:val="22"/>
                <w:lang w:val="fr-FR"/>
              </w:rPr>
              <w:t>vii) Dispenser une formation su</w:t>
            </w:r>
            <w:r w:rsidR="007069E5">
              <w:rPr>
                <w:kern w:val="22"/>
                <w:szCs w:val="22"/>
                <w:lang w:val="fr-FR"/>
              </w:rPr>
              <w:t>r la communication dans le domaine de la</w:t>
            </w:r>
            <w:r w:rsidRPr="00AB2BEB">
              <w:rPr>
                <w:kern w:val="22"/>
                <w:szCs w:val="22"/>
                <w:lang w:val="fr-FR"/>
              </w:rPr>
              <w:t xml:space="preserve"> prévention des risques biotechnologiques.</w:t>
            </w:r>
          </w:p>
        </w:tc>
        <w:tc>
          <w:tcPr>
            <w:tcW w:w="3261" w:type="dxa"/>
          </w:tcPr>
          <w:p w14:paraId="131FA92D" w14:textId="03EAF2DC" w:rsidR="005C7F45" w:rsidRPr="00AB2BEB" w:rsidRDefault="005C7F45" w:rsidP="00274B14">
            <w:pPr>
              <w:suppressLineNumbers/>
              <w:suppressAutoHyphens/>
              <w:spacing w:before="60" w:after="60"/>
              <w:jc w:val="left"/>
              <w:rPr>
                <w:rFonts w:eastAsia="MS Mincho"/>
                <w:kern w:val="22"/>
                <w:szCs w:val="22"/>
                <w:lang w:val="fr-FR"/>
              </w:rPr>
            </w:pPr>
            <w:r w:rsidRPr="00AB2BEB">
              <w:rPr>
                <w:rFonts w:eastAsia="MS Mincho"/>
                <w:szCs w:val="22"/>
                <w:lang w:val="fr-FR"/>
              </w:rPr>
              <w:lastRenderedPageBreak/>
              <w:t>a) Pourcentage de Parties ayant élaboré et diffusé du matériel de renforcement des capacités sur la sensibilisation, l</w:t>
            </w:r>
            <w:r w:rsidR="004645B4" w:rsidRPr="00AB2BEB">
              <w:rPr>
                <w:rFonts w:eastAsia="MS Mincho"/>
                <w:szCs w:val="22"/>
                <w:lang w:val="fr-FR"/>
              </w:rPr>
              <w:t>’</w:t>
            </w:r>
            <w:r w:rsidRPr="00AB2BEB">
              <w:rPr>
                <w:rFonts w:eastAsia="MS Mincho"/>
                <w:szCs w:val="22"/>
                <w:lang w:val="fr-FR"/>
              </w:rPr>
              <w:t xml:space="preserve">éducation et la participation du </w:t>
            </w:r>
            <w:r w:rsidR="00916BEE" w:rsidRPr="00AB2BEB">
              <w:rPr>
                <w:rFonts w:eastAsia="MS Mincho"/>
                <w:szCs w:val="22"/>
                <w:lang w:val="fr-FR"/>
              </w:rPr>
              <w:t>public</w:t>
            </w:r>
            <w:r w:rsidR="00C96D21">
              <w:rPr>
                <w:rFonts w:eastAsia="MS Mincho"/>
                <w:szCs w:val="22"/>
                <w:lang w:val="fr-FR"/>
              </w:rPr>
              <w:t>;</w:t>
            </w:r>
          </w:p>
          <w:p w14:paraId="131FA92E" w14:textId="603B586E" w:rsidR="005C7F45" w:rsidRPr="00AB2BEB" w:rsidRDefault="005C7F45"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b) Pourc</w:t>
            </w:r>
            <w:r w:rsidR="007069E5">
              <w:rPr>
                <w:rFonts w:eastAsia="MS Mincho"/>
                <w:kern w:val="22"/>
                <w:szCs w:val="22"/>
                <w:lang w:val="fr-FR"/>
              </w:rPr>
              <w:t>entage de Parties ayant élabor</w:t>
            </w:r>
            <w:r w:rsidRPr="00AB2BEB">
              <w:rPr>
                <w:rFonts w:eastAsia="MS Mincho"/>
                <w:kern w:val="22"/>
                <w:szCs w:val="22"/>
                <w:lang w:val="fr-FR"/>
              </w:rPr>
              <w:t>é ou actualisé des programmes d</w:t>
            </w:r>
            <w:r w:rsidR="004645B4" w:rsidRPr="00AB2BEB">
              <w:rPr>
                <w:rFonts w:eastAsia="MS Mincho"/>
                <w:kern w:val="22"/>
                <w:szCs w:val="22"/>
                <w:lang w:val="fr-FR"/>
              </w:rPr>
              <w:t>’</w:t>
            </w:r>
            <w:r w:rsidRPr="00AB2BEB">
              <w:rPr>
                <w:rFonts w:eastAsia="MS Mincho"/>
                <w:kern w:val="22"/>
                <w:szCs w:val="22"/>
                <w:lang w:val="fr-FR"/>
              </w:rPr>
              <w:t xml:space="preserve">éducation en matière de prévention des risques biotechnologiques et renforcé les capacités </w:t>
            </w:r>
            <w:r w:rsidR="00916BEE" w:rsidRPr="00AB2BEB">
              <w:rPr>
                <w:rFonts w:eastAsia="MS Mincho"/>
                <w:kern w:val="22"/>
                <w:szCs w:val="22"/>
                <w:lang w:val="fr-FR"/>
              </w:rPr>
              <w:t>institutionnelles</w:t>
            </w:r>
            <w:r w:rsidR="00C96D21">
              <w:rPr>
                <w:rFonts w:eastAsia="MS Mincho"/>
                <w:kern w:val="22"/>
                <w:szCs w:val="22"/>
                <w:lang w:val="fr-FR"/>
              </w:rPr>
              <w:t>;</w:t>
            </w:r>
            <w:r w:rsidRPr="00AB2BEB">
              <w:rPr>
                <w:rFonts w:eastAsia="MS Mincho"/>
                <w:kern w:val="22"/>
                <w:szCs w:val="22"/>
                <w:lang w:val="fr-FR"/>
              </w:rPr>
              <w:t xml:space="preserve">  </w:t>
            </w:r>
          </w:p>
          <w:p w14:paraId="131FA92F" w14:textId="13ADD5D7" w:rsidR="005C7F45" w:rsidRPr="00AB2BEB" w:rsidRDefault="005C7F45"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 xml:space="preserve">c) Pourcentage de Parties ayant intégré la prévention des risques biotechnologiques aux programmes éducatifs </w:t>
            </w:r>
            <w:r w:rsidR="00916BEE" w:rsidRPr="00AB2BEB">
              <w:rPr>
                <w:rFonts w:eastAsia="MS Mincho"/>
                <w:kern w:val="22"/>
                <w:szCs w:val="22"/>
                <w:lang w:val="fr-FR"/>
              </w:rPr>
              <w:t>pertinents</w:t>
            </w:r>
            <w:r w:rsidR="00C96D21">
              <w:rPr>
                <w:rFonts w:eastAsia="MS Mincho"/>
                <w:kern w:val="22"/>
                <w:szCs w:val="22"/>
                <w:lang w:val="fr-FR"/>
              </w:rPr>
              <w:t>;</w:t>
            </w:r>
          </w:p>
          <w:p w14:paraId="131FA930" w14:textId="597F7AEC" w:rsidR="005C7F45" w:rsidRPr="00AB2BEB" w:rsidRDefault="005C7F45"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d) Pourcentage de Parties ayant mis sur pied des programmes d</w:t>
            </w:r>
            <w:r w:rsidR="004645B4" w:rsidRPr="00AB2BEB">
              <w:rPr>
                <w:rFonts w:eastAsia="MS Mincho"/>
                <w:kern w:val="22"/>
                <w:szCs w:val="22"/>
                <w:lang w:val="fr-FR"/>
              </w:rPr>
              <w:t>’</w:t>
            </w:r>
            <w:r w:rsidRPr="00AB2BEB">
              <w:rPr>
                <w:rFonts w:eastAsia="MS Mincho"/>
                <w:kern w:val="22"/>
                <w:szCs w:val="22"/>
                <w:lang w:val="fr-FR"/>
              </w:rPr>
              <w:t xml:space="preserve">échange universitaires et de bourses de </w:t>
            </w:r>
            <w:r w:rsidR="007069E5">
              <w:rPr>
                <w:rFonts w:eastAsia="MS Mincho"/>
                <w:kern w:val="22"/>
                <w:szCs w:val="22"/>
                <w:lang w:val="fr-FR"/>
              </w:rPr>
              <w:t>recherche</w:t>
            </w:r>
            <w:r w:rsidR="00C96D21">
              <w:rPr>
                <w:rFonts w:eastAsia="MS Mincho"/>
                <w:kern w:val="22"/>
                <w:szCs w:val="22"/>
                <w:lang w:val="fr-FR"/>
              </w:rPr>
              <w:t>;</w:t>
            </w:r>
          </w:p>
          <w:p w14:paraId="131FA931" w14:textId="6ABD054C" w:rsidR="005C7F45" w:rsidRPr="00AB2BEB" w:rsidRDefault="005C7F45"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e) Pourcentage de Parties</w:t>
            </w:r>
            <w:r w:rsidR="007069E5">
              <w:rPr>
                <w:rFonts w:eastAsia="MS Mincho"/>
                <w:kern w:val="22"/>
                <w:szCs w:val="22"/>
                <w:lang w:val="fr-FR"/>
              </w:rPr>
              <w:t xml:space="preserve"> ayant dispensé une formation sur la</w:t>
            </w:r>
            <w:r w:rsidRPr="00AB2BEB">
              <w:rPr>
                <w:rFonts w:eastAsia="MS Mincho"/>
                <w:kern w:val="22"/>
                <w:szCs w:val="22"/>
                <w:lang w:val="fr-FR"/>
              </w:rPr>
              <w:t xml:space="preserve"> participation aux décisions, conformément aux lois et </w:t>
            </w:r>
            <w:r w:rsidR="007069E5">
              <w:rPr>
                <w:rFonts w:eastAsia="MS Mincho"/>
                <w:kern w:val="22"/>
                <w:szCs w:val="22"/>
                <w:lang w:val="fr-FR"/>
              </w:rPr>
              <w:lastRenderedPageBreak/>
              <w:t>réglementations nationales, y compris</w:t>
            </w:r>
            <w:r w:rsidRPr="00AB2BEB">
              <w:rPr>
                <w:rFonts w:eastAsia="MS Mincho"/>
                <w:kern w:val="22"/>
                <w:szCs w:val="22"/>
                <w:lang w:val="fr-FR"/>
              </w:rPr>
              <w:t xml:space="preserve"> la mise en place de mécanismes pour informer le public des modalités de </w:t>
            </w:r>
            <w:r w:rsidR="00916BEE" w:rsidRPr="00AB2BEB">
              <w:rPr>
                <w:rFonts w:eastAsia="MS Mincho"/>
                <w:kern w:val="22"/>
                <w:szCs w:val="22"/>
                <w:lang w:val="fr-FR"/>
              </w:rPr>
              <w:t>participation</w:t>
            </w:r>
            <w:r w:rsidR="00C96D21">
              <w:rPr>
                <w:rFonts w:eastAsia="MS Mincho"/>
                <w:kern w:val="22"/>
                <w:szCs w:val="22"/>
                <w:lang w:val="fr-FR"/>
              </w:rPr>
              <w:t>;</w:t>
            </w:r>
          </w:p>
          <w:p w14:paraId="131FA932" w14:textId="2331F241" w:rsidR="005C7F45" w:rsidRPr="00AB2BEB" w:rsidRDefault="005C7F45" w:rsidP="00274B14">
            <w:pPr>
              <w:suppressLineNumbers/>
              <w:suppressAutoHyphens/>
              <w:spacing w:before="60" w:after="60"/>
              <w:jc w:val="left"/>
              <w:rPr>
                <w:rFonts w:eastAsia="MS Mincho"/>
                <w:kern w:val="22"/>
                <w:szCs w:val="22"/>
                <w:lang w:val="fr-FR"/>
              </w:rPr>
            </w:pPr>
            <w:r w:rsidRPr="00AB2BEB">
              <w:rPr>
                <w:rFonts w:eastAsia="MS Mincho"/>
                <w:kern w:val="22"/>
                <w:szCs w:val="22"/>
                <w:lang w:val="fr-FR"/>
              </w:rPr>
              <w:t>f) Pourcentage de Parties ayant dispensé une formation en matière d</w:t>
            </w:r>
            <w:r w:rsidR="004645B4" w:rsidRPr="00AB2BEB">
              <w:rPr>
                <w:rFonts w:eastAsia="MS Mincho"/>
                <w:kern w:val="22"/>
                <w:szCs w:val="22"/>
                <w:lang w:val="fr-FR"/>
              </w:rPr>
              <w:t>’</w:t>
            </w:r>
            <w:r w:rsidRPr="00AB2BEB">
              <w:rPr>
                <w:rFonts w:eastAsia="MS Mincho"/>
                <w:kern w:val="22"/>
                <w:szCs w:val="22"/>
                <w:lang w:val="fr-FR"/>
              </w:rPr>
              <w:t xml:space="preserve">élaboration et de mise en œuvre de programmes de sensibilisation à la prévention de risques </w:t>
            </w:r>
            <w:r w:rsidR="00916BEE" w:rsidRPr="00AB2BEB">
              <w:rPr>
                <w:rFonts w:eastAsia="MS Mincho"/>
                <w:kern w:val="22"/>
                <w:szCs w:val="22"/>
                <w:lang w:val="fr-FR"/>
              </w:rPr>
              <w:t>biotechnologiques</w:t>
            </w:r>
            <w:r w:rsidR="00C96D21">
              <w:rPr>
                <w:rFonts w:eastAsia="MS Mincho"/>
                <w:kern w:val="22"/>
                <w:szCs w:val="22"/>
                <w:lang w:val="fr-FR"/>
              </w:rPr>
              <w:t>;</w:t>
            </w:r>
          </w:p>
          <w:p w14:paraId="131FA933" w14:textId="625CB8C5" w:rsidR="005C7F45" w:rsidRPr="00AB2BEB" w:rsidRDefault="005C7F45" w:rsidP="005C7F45">
            <w:pPr>
              <w:suppressLineNumbers/>
              <w:suppressAutoHyphens/>
              <w:spacing w:before="60" w:after="60"/>
              <w:jc w:val="left"/>
              <w:rPr>
                <w:rFonts w:eastAsia="MS Mincho"/>
                <w:szCs w:val="22"/>
                <w:lang w:val="fr-FR"/>
              </w:rPr>
            </w:pPr>
            <w:r w:rsidRPr="00AB2BEB">
              <w:rPr>
                <w:rFonts w:eastAsia="MS Mincho"/>
                <w:szCs w:val="22"/>
                <w:lang w:val="fr-FR"/>
              </w:rPr>
              <w:t>g) Pourcentage de Parties</w:t>
            </w:r>
            <w:r w:rsidR="007069E5">
              <w:rPr>
                <w:rFonts w:eastAsia="MS Mincho"/>
                <w:szCs w:val="22"/>
                <w:lang w:val="fr-FR"/>
              </w:rPr>
              <w:t xml:space="preserve"> ayant dispensé une formation sur la communication dans le domaine de la</w:t>
            </w:r>
            <w:r w:rsidRPr="00AB2BEB">
              <w:rPr>
                <w:rFonts w:eastAsia="MS Mincho"/>
                <w:szCs w:val="22"/>
                <w:lang w:val="fr-FR"/>
              </w:rPr>
              <w:t xml:space="preserve"> prévention des risques </w:t>
            </w:r>
            <w:r w:rsidR="00916BEE" w:rsidRPr="00AB2BEB">
              <w:rPr>
                <w:rFonts w:eastAsia="MS Mincho"/>
                <w:szCs w:val="22"/>
                <w:lang w:val="fr-FR"/>
              </w:rPr>
              <w:t>biotechnologiques</w:t>
            </w:r>
            <w:r w:rsidR="00261555">
              <w:rPr>
                <w:rFonts w:eastAsia="MS Mincho"/>
                <w:szCs w:val="22"/>
                <w:lang w:val="fr-FR"/>
              </w:rPr>
              <w:t>.</w:t>
            </w:r>
          </w:p>
        </w:tc>
        <w:tc>
          <w:tcPr>
            <w:tcW w:w="2835" w:type="dxa"/>
          </w:tcPr>
          <w:p w14:paraId="131FA934" w14:textId="3BF2C52E" w:rsidR="005C7F45" w:rsidRPr="00AB2BEB" w:rsidRDefault="008D4944" w:rsidP="00274B14">
            <w:pPr>
              <w:suppressLineNumbers/>
              <w:suppressAutoHyphens/>
              <w:spacing w:before="60" w:after="60"/>
              <w:jc w:val="left"/>
              <w:rPr>
                <w:rFonts w:eastAsia="MS Mincho"/>
                <w:kern w:val="22"/>
                <w:szCs w:val="22"/>
                <w:lang w:val="fr-FR"/>
              </w:rPr>
            </w:pPr>
            <w:r w:rsidRPr="00AB2BEB">
              <w:rPr>
                <w:kern w:val="22"/>
                <w:szCs w:val="22"/>
                <w:lang w:val="fr-FR"/>
              </w:rPr>
              <w:lastRenderedPageBreak/>
              <w:t>Grâce à la sensibilisation, à l</w:t>
            </w:r>
            <w:r w:rsidR="004645B4" w:rsidRPr="00AB2BEB">
              <w:rPr>
                <w:kern w:val="22"/>
                <w:szCs w:val="22"/>
                <w:lang w:val="fr-FR"/>
              </w:rPr>
              <w:t>’</w:t>
            </w:r>
            <w:r w:rsidRPr="00AB2BEB">
              <w:rPr>
                <w:kern w:val="22"/>
                <w:szCs w:val="22"/>
                <w:lang w:val="fr-FR"/>
              </w:rPr>
              <w:t>éducation et à la participation du public, les Parties font en sorte que le public soit correctement informé du transfert, de la manipulation et de l</w:t>
            </w:r>
            <w:r w:rsidR="004645B4" w:rsidRPr="00AB2BEB">
              <w:rPr>
                <w:kern w:val="22"/>
                <w:szCs w:val="22"/>
                <w:lang w:val="fr-FR"/>
              </w:rPr>
              <w:t>’</w:t>
            </w:r>
            <w:r w:rsidRPr="00AB2BEB">
              <w:rPr>
                <w:kern w:val="22"/>
                <w:szCs w:val="22"/>
                <w:lang w:val="fr-FR"/>
              </w:rPr>
              <w:t xml:space="preserve">utilisation en toute sécurité des OVM et </w:t>
            </w:r>
            <w:r w:rsidR="007069E5">
              <w:rPr>
                <w:kern w:val="22"/>
                <w:szCs w:val="22"/>
                <w:lang w:val="fr-FR"/>
              </w:rPr>
              <w:t xml:space="preserve">qu’il </w:t>
            </w:r>
            <w:r w:rsidRPr="00AB2BEB">
              <w:rPr>
                <w:kern w:val="22"/>
                <w:szCs w:val="22"/>
                <w:lang w:val="fr-FR"/>
              </w:rPr>
              <w:t>participe à la prise de décisions sur le transfert, la manipulation et l</w:t>
            </w:r>
            <w:r w:rsidR="004645B4" w:rsidRPr="00AB2BEB">
              <w:rPr>
                <w:kern w:val="22"/>
                <w:szCs w:val="22"/>
                <w:lang w:val="fr-FR"/>
              </w:rPr>
              <w:t>’</w:t>
            </w:r>
            <w:r w:rsidRPr="00AB2BEB">
              <w:rPr>
                <w:kern w:val="22"/>
                <w:szCs w:val="22"/>
                <w:lang w:val="fr-FR"/>
              </w:rPr>
              <w:t>utilisation en toute sécurité des OVM</w:t>
            </w:r>
            <w:r w:rsidR="00261555">
              <w:rPr>
                <w:kern w:val="22"/>
                <w:szCs w:val="22"/>
                <w:lang w:val="fr-FR"/>
              </w:rPr>
              <w:t>.</w:t>
            </w:r>
          </w:p>
          <w:p w14:paraId="131FA935" w14:textId="77777777" w:rsidR="005C7F45" w:rsidRPr="00AB2BEB" w:rsidRDefault="005C7F45" w:rsidP="00274B14">
            <w:pPr>
              <w:suppressLineNumbers/>
              <w:suppressAutoHyphens/>
              <w:spacing w:before="60" w:after="60"/>
              <w:jc w:val="left"/>
              <w:rPr>
                <w:rFonts w:eastAsia="MS Mincho"/>
                <w:kern w:val="22"/>
                <w:szCs w:val="22"/>
                <w:lang w:val="fr-FR"/>
              </w:rPr>
            </w:pPr>
          </w:p>
        </w:tc>
      </w:tr>
      <w:tr w:rsidR="005F3407" w:rsidRPr="00597279" w14:paraId="131FA943" w14:textId="77777777" w:rsidTr="00737E63">
        <w:trPr>
          <w:jc w:val="center"/>
        </w:trPr>
        <w:tc>
          <w:tcPr>
            <w:tcW w:w="1705" w:type="dxa"/>
          </w:tcPr>
          <w:p w14:paraId="131FA937" w14:textId="6B18644A" w:rsidR="005F3407" w:rsidRPr="00AB2BEB" w:rsidRDefault="005F3407" w:rsidP="00274B14">
            <w:pPr>
              <w:suppressLineNumbers/>
              <w:suppressAutoHyphens/>
              <w:spacing w:before="60" w:after="60"/>
              <w:jc w:val="left"/>
              <w:rPr>
                <w:rFonts w:eastAsia="MS Mincho"/>
                <w:kern w:val="22"/>
                <w:szCs w:val="22"/>
                <w:lang w:val="fr-FR"/>
              </w:rPr>
            </w:pPr>
            <w:r w:rsidRPr="00AB2BEB">
              <w:rPr>
                <w:b/>
                <w:bCs/>
                <w:kern w:val="22"/>
                <w:szCs w:val="22"/>
                <w:lang w:val="fr-FR"/>
              </w:rPr>
              <w:t xml:space="preserve">B.4. Les Parties renforcent la coopération et la coordination sur les questions de prévention des risques </w:t>
            </w:r>
            <w:r w:rsidR="003E3FBB" w:rsidRPr="00AB2BEB">
              <w:rPr>
                <w:b/>
                <w:bCs/>
                <w:kern w:val="22"/>
                <w:szCs w:val="22"/>
                <w:lang w:val="fr-FR"/>
              </w:rPr>
              <w:t>biotechno-logiques</w:t>
            </w:r>
            <w:r w:rsidRPr="00AB2BEB">
              <w:rPr>
                <w:b/>
                <w:bCs/>
                <w:kern w:val="22"/>
                <w:szCs w:val="22"/>
                <w:lang w:val="fr-FR"/>
              </w:rPr>
              <w:t xml:space="preserve"> aux niveaux nati</w:t>
            </w:r>
            <w:r w:rsidR="00261555">
              <w:rPr>
                <w:b/>
                <w:bCs/>
                <w:kern w:val="22"/>
                <w:szCs w:val="22"/>
                <w:lang w:val="fr-FR"/>
              </w:rPr>
              <w:t>onal, régional et international</w:t>
            </w:r>
          </w:p>
        </w:tc>
        <w:tc>
          <w:tcPr>
            <w:tcW w:w="2543" w:type="dxa"/>
            <w:shd w:val="clear" w:color="auto" w:fill="auto"/>
          </w:tcPr>
          <w:p w14:paraId="131FA938" w14:textId="2C2F590F" w:rsidR="005F3407" w:rsidRPr="00AB2BEB" w:rsidRDefault="005F3407" w:rsidP="00274B14">
            <w:pPr>
              <w:spacing w:before="60" w:after="60"/>
              <w:jc w:val="left"/>
              <w:rPr>
                <w:rFonts w:eastAsia="MS Mincho"/>
                <w:kern w:val="22"/>
                <w:szCs w:val="22"/>
                <w:lang w:val="fr-FR"/>
              </w:rPr>
            </w:pPr>
            <w:r w:rsidRPr="00AB2BEB">
              <w:rPr>
                <w:kern w:val="22"/>
                <w:szCs w:val="22"/>
                <w:lang w:val="fr-FR"/>
              </w:rPr>
              <w:t xml:space="preserve">1) Coopération entre les Parties et au sein des </w:t>
            </w:r>
            <w:r w:rsidR="00916BEE" w:rsidRPr="00AB2BEB">
              <w:rPr>
                <w:kern w:val="22"/>
                <w:szCs w:val="22"/>
                <w:lang w:val="fr-FR"/>
              </w:rPr>
              <w:t>Parties</w:t>
            </w:r>
            <w:r w:rsidR="00C96D21">
              <w:rPr>
                <w:kern w:val="22"/>
                <w:szCs w:val="22"/>
                <w:lang w:val="fr-FR"/>
              </w:rPr>
              <w:t>;</w:t>
            </w:r>
          </w:p>
          <w:p w14:paraId="131FA939" w14:textId="0001A324" w:rsidR="005F3407" w:rsidRPr="00AB2BEB" w:rsidRDefault="005F3407" w:rsidP="00274B14">
            <w:pPr>
              <w:spacing w:before="60" w:after="60"/>
              <w:jc w:val="left"/>
              <w:rPr>
                <w:rFonts w:eastAsia="MS Mincho"/>
                <w:kern w:val="22"/>
                <w:szCs w:val="22"/>
                <w:lang w:val="fr-FR"/>
              </w:rPr>
            </w:pPr>
            <w:r w:rsidRPr="00AB2BEB">
              <w:rPr>
                <w:kern w:val="22"/>
                <w:szCs w:val="22"/>
                <w:lang w:val="fr-FR"/>
              </w:rPr>
              <w:t>2) Participation des peuples autochtones et des communautés locales</w:t>
            </w:r>
            <w:r w:rsidR="007069E5">
              <w:rPr>
                <w:kern w:val="22"/>
                <w:szCs w:val="22"/>
                <w:lang w:val="fr-FR"/>
              </w:rPr>
              <w:t>,</w:t>
            </w:r>
            <w:r w:rsidRPr="00AB2BEB">
              <w:rPr>
                <w:kern w:val="22"/>
                <w:szCs w:val="22"/>
                <w:lang w:val="fr-FR"/>
              </w:rPr>
              <w:t xml:space="preserve"> ains</w:t>
            </w:r>
            <w:r w:rsidR="00D11DE8">
              <w:rPr>
                <w:kern w:val="22"/>
                <w:szCs w:val="22"/>
                <w:lang w:val="fr-FR"/>
              </w:rPr>
              <w:t xml:space="preserve">i que des parties prenantes des </w:t>
            </w:r>
            <w:r w:rsidRPr="00AB2BEB">
              <w:rPr>
                <w:kern w:val="22"/>
                <w:szCs w:val="22"/>
                <w:lang w:val="fr-FR"/>
              </w:rPr>
              <w:t xml:space="preserve">secteurs </w:t>
            </w:r>
            <w:r w:rsidR="00916BEE" w:rsidRPr="00AB2BEB">
              <w:rPr>
                <w:kern w:val="22"/>
                <w:szCs w:val="22"/>
                <w:lang w:val="fr-FR"/>
              </w:rPr>
              <w:t>concernés</w:t>
            </w:r>
            <w:r w:rsidR="00C96D21">
              <w:rPr>
                <w:kern w:val="22"/>
                <w:szCs w:val="22"/>
                <w:lang w:val="fr-FR"/>
              </w:rPr>
              <w:t>;</w:t>
            </w:r>
          </w:p>
          <w:p w14:paraId="131FA93A" w14:textId="7714B403" w:rsidR="005F3407" w:rsidRPr="00AB2BEB" w:rsidRDefault="005F3407" w:rsidP="00274B14">
            <w:pPr>
              <w:suppressLineNumbers/>
              <w:suppressAutoHyphens/>
              <w:spacing w:before="60" w:after="60"/>
              <w:jc w:val="left"/>
              <w:rPr>
                <w:rFonts w:eastAsia="MS Mincho"/>
                <w:kern w:val="22"/>
                <w:szCs w:val="22"/>
                <w:lang w:val="fr-FR"/>
              </w:rPr>
            </w:pPr>
            <w:r w:rsidRPr="00AB2BEB">
              <w:rPr>
                <w:kern w:val="22"/>
                <w:szCs w:val="22"/>
                <w:lang w:val="fr-FR"/>
              </w:rPr>
              <w:t>3)</w:t>
            </w:r>
            <w:r w:rsidR="00D11DE8">
              <w:rPr>
                <w:kern w:val="22"/>
                <w:szCs w:val="22"/>
                <w:lang w:val="fr-FR"/>
              </w:rPr>
              <w:t xml:space="preserve"> Intégration de la prévention de</w:t>
            </w:r>
            <w:r w:rsidRPr="00AB2BEB">
              <w:rPr>
                <w:kern w:val="22"/>
                <w:szCs w:val="22"/>
                <w:lang w:val="fr-FR"/>
              </w:rPr>
              <w:t xml:space="preserve">s risques biotechnologiques dans la législation, les politiques générales et les plans </w:t>
            </w:r>
            <w:r w:rsidRPr="00AB2BEB">
              <w:rPr>
                <w:kern w:val="22"/>
                <w:szCs w:val="22"/>
                <w:lang w:val="fr-FR"/>
              </w:rPr>
              <w:lastRenderedPageBreak/>
              <w:t>sectoriels et intersectoriels.</w:t>
            </w:r>
          </w:p>
        </w:tc>
        <w:tc>
          <w:tcPr>
            <w:tcW w:w="3118" w:type="dxa"/>
            <w:shd w:val="clear" w:color="auto" w:fill="auto"/>
          </w:tcPr>
          <w:p w14:paraId="131FA93B" w14:textId="4C374B1E" w:rsidR="00833493" w:rsidRPr="00AB2BEB" w:rsidRDefault="00833493" w:rsidP="00833493">
            <w:pPr>
              <w:spacing w:before="60" w:after="60"/>
              <w:jc w:val="left"/>
              <w:rPr>
                <w:rFonts w:eastAsia="MS Mincho"/>
                <w:kern w:val="22"/>
                <w:szCs w:val="22"/>
                <w:lang w:val="fr-FR"/>
              </w:rPr>
            </w:pPr>
            <w:r w:rsidRPr="00AB2BEB">
              <w:rPr>
                <w:kern w:val="22"/>
                <w:szCs w:val="22"/>
                <w:lang w:val="fr-FR"/>
              </w:rPr>
              <w:lastRenderedPageBreak/>
              <w:t>i) Organiser des activités pour faciliter la coopération technique et scientifique, l</w:t>
            </w:r>
            <w:r w:rsidR="004645B4" w:rsidRPr="00AB2BEB">
              <w:rPr>
                <w:kern w:val="22"/>
                <w:szCs w:val="22"/>
                <w:lang w:val="fr-FR"/>
              </w:rPr>
              <w:t>’</w:t>
            </w:r>
            <w:r w:rsidRPr="00AB2BEB">
              <w:rPr>
                <w:kern w:val="22"/>
                <w:szCs w:val="22"/>
                <w:lang w:val="fr-FR"/>
              </w:rPr>
              <w:t>accès à la technologie et le transfert de technologie, ainsi que le partage d</w:t>
            </w:r>
            <w:r w:rsidR="004645B4" w:rsidRPr="00AB2BEB">
              <w:rPr>
                <w:kern w:val="22"/>
                <w:szCs w:val="22"/>
                <w:lang w:val="fr-FR"/>
              </w:rPr>
              <w:t>’</w:t>
            </w:r>
            <w:r w:rsidRPr="00AB2BEB">
              <w:rPr>
                <w:kern w:val="22"/>
                <w:szCs w:val="22"/>
                <w:lang w:val="fr-FR"/>
              </w:rPr>
              <w:t>informations et d</w:t>
            </w:r>
            <w:r w:rsidR="004645B4" w:rsidRPr="00AB2BEB">
              <w:rPr>
                <w:kern w:val="22"/>
                <w:szCs w:val="22"/>
                <w:lang w:val="fr-FR"/>
              </w:rPr>
              <w:t>’</w:t>
            </w:r>
            <w:r w:rsidRPr="00AB2BEB">
              <w:rPr>
                <w:kern w:val="22"/>
                <w:szCs w:val="22"/>
                <w:lang w:val="fr-FR"/>
              </w:rPr>
              <w:t>expériences à tous les niveaux, en particulier pour les pays en développement Parties et les petits États insulaires en déve</w:t>
            </w:r>
            <w:r w:rsidR="00D11DE8">
              <w:rPr>
                <w:kern w:val="22"/>
                <w:szCs w:val="22"/>
                <w:lang w:val="fr-FR"/>
              </w:rPr>
              <w:t>loppement parmi eux, et les Parties</w:t>
            </w:r>
            <w:r w:rsidRPr="00AB2BEB">
              <w:rPr>
                <w:kern w:val="22"/>
                <w:szCs w:val="22"/>
                <w:lang w:val="fr-FR"/>
              </w:rPr>
              <w:t xml:space="preserve"> à économie en </w:t>
            </w:r>
            <w:r w:rsidR="00916BEE" w:rsidRPr="00AB2BEB">
              <w:rPr>
                <w:kern w:val="22"/>
                <w:szCs w:val="22"/>
                <w:lang w:val="fr-FR"/>
              </w:rPr>
              <w:t>transition</w:t>
            </w:r>
            <w:r w:rsidR="00C96D21">
              <w:rPr>
                <w:kern w:val="22"/>
                <w:szCs w:val="22"/>
                <w:lang w:val="fr-FR"/>
              </w:rPr>
              <w:t>;</w:t>
            </w:r>
          </w:p>
          <w:p w14:paraId="131FA93C" w14:textId="77777777" w:rsidR="00DB246A" w:rsidRPr="00AB2BEB" w:rsidRDefault="00833493" w:rsidP="00DB246A">
            <w:pPr>
              <w:suppressLineNumbers/>
              <w:suppressAutoHyphens/>
              <w:spacing w:before="60" w:after="60"/>
              <w:jc w:val="left"/>
              <w:rPr>
                <w:rFonts w:eastAsia="MS Mincho"/>
                <w:kern w:val="22"/>
                <w:szCs w:val="22"/>
                <w:lang w:val="fr-FR"/>
              </w:rPr>
            </w:pPr>
            <w:r w:rsidRPr="00AB2BEB">
              <w:rPr>
                <w:kern w:val="22"/>
                <w:szCs w:val="22"/>
                <w:lang w:val="fr-FR"/>
              </w:rPr>
              <w:t xml:space="preserve">ii) Organiser des activités conjointes auxquelles participent les peuples autochtones et les </w:t>
            </w:r>
            <w:r w:rsidRPr="00AB2BEB">
              <w:rPr>
                <w:kern w:val="22"/>
                <w:szCs w:val="22"/>
                <w:lang w:val="fr-FR"/>
              </w:rPr>
              <w:lastRenderedPageBreak/>
              <w:t>communautés locales ainsi que les parties prenantes concernées dans différents secteurs.</w:t>
            </w:r>
          </w:p>
          <w:p w14:paraId="131FA93D" w14:textId="77777777" w:rsidR="005F3407" w:rsidRPr="00AB2BEB" w:rsidRDefault="005F3407" w:rsidP="00274B14">
            <w:pPr>
              <w:suppressLineNumbers/>
              <w:suppressAutoHyphens/>
              <w:spacing w:before="60" w:after="60"/>
              <w:jc w:val="left"/>
              <w:rPr>
                <w:rFonts w:eastAsia="MS Mincho"/>
                <w:kern w:val="22"/>
                <w:szCs w:val="22"/>
                <w:lang w:val="fr-FR"/>
              </w:rPr>
            </w:pPr>
          </w:p>
        </w:tc>
        <w:tc>
          <w:tcPr>
            <w:tcW w:w="3261" w:type="dxa"/>
          </w:tcPr>
          <w:p w14:paraId="131FA93E" w14:textId="4ABAAD44" w:rsidR="00DB246A" w:rsidRPr="00AB2BEB" w:rsidRDefault="00DB246A" w:rsidP="00DB246A">
            <w:pPr>
              <w:suppressLineNumbers/>
              <w:suppressAutoHyphens/>
              <w:spacing w:before="60" w:after="60"/>
              <w:jc w:val="left"/>
              <w:rPr>
                <w:rFonts w:eastAsia="MS Mincho"/>
                <w:kern w:val="22"/>
                <w:szCs w:val="22"/>
                <w:lang w:val="fr-FR"/>
              </w:rPr>
            </w:pPr>
            <w:r w:rsidRPr="00AB2BEB">
              <w:rPr>
                <w:rFonts w:eastAsia="MS Mincho"/>
                <w:szCs w:val="22"/>
                <w:lang w:val="fr-FR"/>
              </w:rPr>
              <w:lastRenderedPageBreak/>
              <w:t>a) Pourcentage de Parties ayant organisé des activités pour faciliter la coopération technique et scientifique et le partage d</w:t>
            </w:r>
            <w:r w:rsidR="004645B4" w:rsidRPr="00AB2BEB">
              <w:rPr>
                <w:rFonts w:eastAsia="MS Mincho"/>
                <w:szCs w:val="22"/>
                <w:lang w:val="fr-FR"/>
              </w:rPr>
              <w:t>’</w:t>
            </w:r>
            <w:r w:rsidRPr="00AB2BEB">
              <w:rPr>
                <w:rFonts w:eastAsia="MS Mincho"/>
                <w:szCs w:val="22"/>
                <w:lang w:val="fr-FR"/>
              </w:rPr>
              <w:t xml:space="preserve">informations aux niveaux bilatéral, infrarégional et </w:t>
            </w:r>
            <w:r w:rsidR="00916BEE" w:rsidRPr="00AB2BEB">
              <w:rPr>
                <w:rFonts w:eastAsia="MS Mincho"/>
                <w:szCs w:val="22"/>
                <w:lang w:val="fr-FR"/>
              </w:rPr>
              <w:t>régional</w:t>
            </w:r>
            <w:r w:rsidR="00C96D21">
              <w:rPr>
                <w:rFonts w:eastAsia="MS Mincho"/>
                <w:szCs w:val="22"/>
                <w:lang w:val="fr-FR"/>
              </w:rPr>
              <w:t>;</w:t>
            </w:r>
          </w:p>
          <w:p w14:paraId="131FA93F" w14:textId="77777777" w:rsidR="005F3407" w:rsidRPr="00AB2BEB" w:rsidRDefault="00DB246A" w:rsidP="00DB246A">
            <w:pPr>
              <w:suppressLineNumbers/>
              <w:suppressAutoHyphens/>
              <w:spacing w:before="60" w:after="60"/>
              <w:jc w:val="left"/>
              <w:rPr>
                <w:rFonts w:eastAsia="MS Mincho"/>
                <w:kern w:val="22"/>
                <w:szCs w:val="22"/>
                <w:lang w:val="fr-FR"/>
              </w:rPr>
            </w:pPr>
            <w:r w:rsidRPr="00AB2BEB">
              <w:rPr>
                <w:rFonts w:eastAsia="MS Mincho"/>
                <w:szCs w:val="22"/>
                <w:lang w:val="fr-FR"/>
              </w:rPr>
              <w:t>b) Pourcentage de Parties ayant organisé des activités conjointes auxquelles ont participé les peuples autochtones et les communautés locales, ainsi que les parties prenantes concernées dans différents secteurs.</w:t>
            </w:r>
          </w:p>
        </w:tc>
        <w:tc>
          <w:tcPr>
            <w:tcW w:w="2835" w:type="dxa"/>
          </w:tcPr>
          <w:p w14:paraId="131FA940" w14:textId="7D38BF64" w:rsidR="00DB246A" w:rsidRPr="00AB2BEB" w:rsidRDefault="00DB246A" w:rsidP="00DB246A">
            <w:pPr>
              <w:suppressLineNumbers/>
              <w:suppressAutoHyphens/>
              <w:spacing w:before="60" w:after="60"/>
              <w:jc w:val="left"/>
              <w:rPr>
                <w:kern w:val="22"/>
                <w:szCs w:val="22"/>
                <w:lang w:val="fr-FR"/>
              </w:rPr>
            </w:pPr>
            <w:r w:rsidRPr="00AB2BEB">
              <w:rPr>
                <w:kern w:val="22"/>
                <w:szCs w:val="22"/>
                <w:lang w:val="fr-FR"/>
              </w:rPr>
              <w:t xml:space="preserve">Grâce à la coopération aux niveaux national, régional et international et à la participation des parties prenantes, la mise en œuvre du Protocole par les Parties est plus </w:t>
            </w:r>
            <w:r w:rsidR="00916BEE" w:rsidRPr="00AB2BEB">
              <w:rPr>
                <w:kern w:val="22"/>
                <w:szCs w:val="22"/>
                <w:lang w:val="fr-FR"/>
              </w:rPr>
              <w:t>efficace</w:t>
            </w:r>
            <w:r w:rsidR="007069E5">
              <w:rPr>
                <w:kern w:val="22"/>
                <w:szCs w:val="22"/>
                <w:lang w:val="fr-FR"/>
              </w:rPr>
              <w:t>.</w:t>
            </w:r>
          </w:p>
          <w:p w14:paraId="131FA941" w14:textId="22831B9B" w:rsidR="005F3407" w:rsidRPr="00AB2BEB" w:rsidRDefault="007069E5" w:rsidP="00DB246A">
            <w:pPr>
              <w:suppressLineNumbers/>
              <w:suppressAutoHyphens/>
              <w:spacing w:before="60" w:after="60"/>
              <w:jc w:val="left"/>
              <w:rPr>
                <w:rFonts w:eastAsia="MS Mincho"/>
                <w:kern w:val="22"/>
                <w:szCs w:val="22"/>
                <w:lang w:val="fr-FR"/>
              </w:rPr>
            </w:pPr>
            <w:r>
              <w:rPr>
                <w:kern w:val="22"/>
                <w:szCs w:val="22"/>
                <w:lang w:val="fr-FR"/>
              </w:rPr>
              <w:t xml:space="preserve">Augmentation de la sensibilisation </w:t>
            </w:r>
            <w:r w:rsidR="00DB246A" w:rsidRPr="00AB2BEB">
              <w:rPr>
                <w:kern w:val="22"/>
                <w:szCs w:val="22"/>
                <w:lang w:val="fr-FR"/>
              </w:rPr>
              <w:t>à l</w:t>
            </w:r>
            <w:r w:rsidR="004645B4" w:rsidRPr="00AB2BEB">
              <w:rPr>
                <w:kern w:val="22"/>
                <w:szCs w:val="22"/>
                <w:lang w:val="fr-FR"/>
              </w:rPr>
              <w:t>’</w:t>
            </w:r>
            <w:r w:rsidR="00DB246A" w:rsidRPr="00AB2BEB">
              <w:rPr>
                <w:kern w:val="22"/>
                <w:szCs w:val="22"/>
                <w:lang w:val="fr-FR"/>
              </w:rPr>
              <w:t>importance de la prévention des risques biotechnologiques à l</w:t>
            </w:r>
            <w:r w:rsidR="004645B4" w:rsidRPr="00AB2BEB">
              <w:rPr>
                <w:kern w:val="22"/>
                <w:szCs w:val="22"/>
                <w:lang w:val="fr-FR"/>
              </w:rPr>
              <w:t>’</w:t>
            </w:r>
            <w:r w:rsidR="00DB246A" w:rsidRPr="00AB2BEB">
              <w:rPr>
                <w:kern w:val="22"/>
                <w:szCs w:val="22"/>
                <w:lang w:val="fr-FR"/>
              </w:rPr>
              <w:t>échelle du gouvernement et chez les parties prenantes concernées</w:t>
            </w:r>
            <w:r w:rsidR="00F13AB8" w:rsidRPr="00AB2BEB">
              <w:rPr>
                <w:kern w:val="22"/>
                <w:szCs w:val="22"/>
                <w:lang w:val="fr-FR"/>
              </w:rPr>
              <w:t>.</w:t>
            </w:r>
          </w:p>
          <w:p w14:paraId="131FA942" w14:textId="77777777" w:rsidR="005F3407" w:rsidRPr="00AB2BEB" w:rsidRDefault="005F3407" w:rsidP="00274B14">
            <w:pPr>
              <w:suppressLineNumbers/>
              <w:suppressAutoHyphens/>
              <w:spacing w:before="60" w:after="60"/>
              <w:jc w:val="left"/>
              <w:rPr>
                <w:rFonts w:eastAsia="MS Mincho"/>
                <w:kern w:val="22"/>
                <w:szCs w:val="22"/>
                <w:lang w:val="fr-FR"/>
              </w:rPr>
            </w:pPr>
          </w:p>
        </w:tc>
      </w:tr>
    </w:tbl>
    <w:p w14:paraId="7B8F564C" w14:textId="77777777" w:rsidR="00D11DE8" w:rsidRDefault="00D11DE8" w:rsidP="00737E63">
      <w:pPr>
        <w:spacing w:before="120" w:after="120"/>
        <w:jc w:val="center"/>
        <w:rPr>
          <w:szCs w:val="22"/>
          <w:lang w:val="fr-FR"/>
        </w:rPr>
      </w:pPr>
    </w:p>
    <w:p w14:paraId="131FA944" w14:textId="77777777" w:rsidR="00176CEE" w:rsidRPr="00AB2BEB" w:rsidRDefault="00DD64E5" w:rsidP="00737E63">
      <w:pPr>
        <w:spacing w:before="120" w:after="120"/>
        <w:jc w:val="center"/>
        <w:rPr>
          <w:szCs w:val="22"/>
          <w:lang w:val="fr-FR"/>
        </w:rPr>
      </w:pPr>
      <w:r w:rsidRPr="00AB2BEB">
        <w:rPr>
          <w:szCs w:val="22"/>
          <w:lang w:val="fr-FR"/>
        </w:rPr>
        <w:t>_________</w:t>
      </w:r>
    </w:p>
    <w:p w14:paraId="131FA945" w14:textId="77777777" w:rsidR="00412865" w:rsidRPr="00704084" w:rsidRDefault="00412865">
      <w:pPr>
        <w:spacing w:before="120" w:after="120"/>
        <w:jc w:val="center"/>
        <w:rPr>
          <w:lang w:val="fr-FR"/>
        </w:rPr>
      </w:pPr>
    </w:p>
    <w:sectPr w:rsidR="00412865" w:rsidRPr="00704084" w:rsidSect="003C7E5C">
      <w:pgSz w:w="15840" w:h="12240" w:orient="landscape"/>
      <w:pgMar w:top="1440" w:right="567"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97A33" w14:textId="77777777" w:rsidR="001B70EA" w:rsidRDefault="001B70EA" w:rsidP="00CF1848">
      <w:r>
        <w:separator/>
      </w:r>
    </w:p>
  </w:endnote>
  <w:endnote w:type="continuationSeparator" w:id="0">
    <w:p w14:paraId="2396387C" w14:textId="77777777" w:rsidR="001B70EA" w:rsidRDefault="001B70E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1490D" w14:textId="77777777" w:rsidR="001B70EA" w:rsidRDefault="001B70EA" w:rsidP="00CF1848">
      <w:r>
        <w:separator/>
      </w:r>
    </w:p>
  </w:footnote>
  <w:footnote w:type="continuationSeparator" w:id="0">
    <w:p w14:paraId="24810BE4" w14:textId="77777777" w:rsidR="001B70EA" w:rsidRDefault="001B70EA" w:rsidP="00CF1848">
      <w:r>
        <w:continuationSeparator/>
      </w:r>
    </w:p>
  </w:footnote>
  <w:footnote w:id="1">
    <w:p w14:paraId="131FA94E" w14:textId="07A68DE0" w:rsidR="00274B14" w:rsidRPr="00670AE5" w:rsidRDefault="00274B14" w:rsidP="00D36E75">
      <w:pPr>
        <w:pStyle w:val="FootnoteText"/>
        <w:spacing w:after="0"/>
        <w:ind w:firstLine="0"/>
        <w:jc w:val="left"/>
        <w:rPr>
          <w:szCs w:val="18"/>
          <w:lang w:val="fr-CA"/>
        </w:rPr>
      </w:pPr>
      <w:r w:rsidRPr="00670AE5">
        <w:rPr>
          <w:rStyle w:val="FootnoteReference"/>
          <w:szCs w:val="18"/>
          <w:lang w:val="fr-CA"/>
        </w:rPr>
        <w:footnoteRef/>
      </w:r>
      <w:r>
        <w:rPr>
          <w:szCs w:val="18"/>
          <w:lang w:val="fr-CA"/>
        </w:rPr>
        <w:t xml:space="preserve"> Annexe I à la décision </w:t>
      </w:r>
      <w:hyperlink r:id="rId1" w:history="1">
        <w:r w:rsidRPr="002C0908">
          <w:rPr>
            <w:rStyle w:val="Hyperlink"/>
            <w:szCs w:val="18"/>
            <w:lang w:val="fr-CA"/>
          </w:rPr>
          <w:t>BS-VI/3</w:t>
        </w:r>
      </w:hyperlink>
      <w:r w:rsidRPr="00670AE5">
        <w:rPr>
          <w:szCs w:val="18"/>
          <w:lang w:val="fr-CA"/>
        </w:rPr>
        <w:t>.</w:t>
      </w:r>
    </w:p>
  </w:footnote>
  <w:footnote w:id="2">
    <w:p w14:paraId="6AC68ABB" w14:textId="7B72286D" w:rsidR="00274B14" w:rsidRPr="002C0908" w:rsidRDefault="00274B14" w:rsidP="002C0908">
      <w:pPr>
        <w:pStyle w:val="FootnoteText"/>
        <w:ind w:firstLine="0"/>
        <w:rPr>
          <w:lang w:val="fr-FR"/>
        </w:rPr>
      </w:pPr>
      <w:r>
        <w:rPr>
          <w:rStyle w:val="FootnoteReference"/>
        </w:rPr>
        <w:footnoteRef/>
      </w:r>
      <w:r w:rsidRPr="002C0908">
        <w:rPr>
          <w:lang w:val="fr-FR"/>
        </w:rPr>
        <w:t xml:space="preserve"> Annexe à la </w:t>
      </w:r>
      <w:r>
        <w:rPr>
          <w:lang w:val="fr-FR"/>
        </w:rPr>
        <w:t>dé</w:t>
      </w:r>
      <w:r w:rsidRPr="002C0908">
        <w:rPr>
          <w:lang w:val="fr-FR"/>
        </w:rPr>
        <w:t>cision CP-</w:t>
      </w:r>
      <w:r>
        <w:rPr>
          <w:lang w:val="fr-FR"/>
        </w:rPr>
        <w:t>10/3.</w:t>
      </w:r>
    </w:p>
  </w:footnote>
  <w:footnote w:id="3">
    <w:p w14:paraId="131FA94F" w14:textId="77777777" w:rsidR="00274B14" w:rsidRPr="00796616" w:rsidRDefault="00274B14" w:rsidP="0073776F">
      <w:pPr>
        <w:pStyle w:val="FootnoteText"/>
        <w:ind w:firstLine="0"/>
        <w:jc w:val="left"/>
        <w:rPr>
          <w:szCs w:val="18"/>
          <w:lang w:val="fr-CA"/>
        </w:rPr>
      </w:pPr>
      <w:r w:rsidRPr="00DA533E">
        <w:rPr>
          <w:rStyle w:val="FootnoteReference"/>
          <w:szCs w:val="18"/>
        </w:rPr>
        <w:footnoteRef/>
      </w:r>
      <w:r w:rsidRPr="00796616">
        <w:rPr>
          <w:szCs w:val="18"/>
          <w:lang w:val="fr-CA"/>
        </w:rPr>
        <w:t xml:space="preserve"> CBD/SBI/3/3/Add.1.</w:t>
      </w:r>
    </w:p>
  </w:footnote>
  <w:footnote w:id="4">
    <w:p w14:paraId="484B6CB3" w14:textId="64FCE635" w:rsidR="00274B14" w:rsidRPr="006A6FCE" w:rsidRDefault="00274B14" w:rsidP="00E23678">
      <w:pPr>
        <w:pStyle w:val="FootnoteText"/>
        <w:spacing w:after="0"/>
        <w:ind w:firstLine="0"/>
        <w:rPr>
          <w:lang w:val="fr-FR"/>
        </w:rPr>
      </w:pPr>
      <w:r>
        <w:rPr>
          <w:rStyle w:val="FootnoteReference"/>
        </w:rPr>
        <w:footnoteRef/>
      </w:r>
      <w:r w:rsidRPr="006A6FCE">
        <w:rPr>
          <w:lang w:val="fr-FR"/>
        </w:rPr>
        <w:t xml:space="preserve"> Annexe à la </w:t>
      </w:r>
      <w:r>
        <w:rPr>
          <w:lang w:val="fr-FR"/>
        </w:rPr>
        <w:t>dé</w:t>
      </w:r>
      <w:r w:rsidRPr="006A6FCE">
        <w:rPr>
          <w:lang w:val="fr-FR"/>
        </w:rPr>
        <w:t>cision CP-</w:t>
      </w:r>
      <w:r>
        <w:rPr>
          <w:lang w:val="fr-FR"/>
        </w:rPr>
        <w:t>10/3.</w:t>
      </w:r>
    </w:p>
  </w:footnote>
  <w:footnote w:id="5">
    <w:p w14:paraId="7AC95CEF" w14:textId="55AE6ED1" w:rsidR="00274B14" w:rsidRPr="0030645C" w:rsidRDefault="00274B14" w:rsidP="0030645C">
      <w:pPr>
        <w:pStyle w:val="FootnoteText"/>
        <w:ind w:firstLine="0"/>
        <w:rPr>
          <w:lang w:val="fr-FR"/>
        </w:rPr>
      </w:pPr>
      <w:r>
        <w:rPr>
          <w:rStyle w:val="FootnoteReference"/>
        </w:rPr>
        <w:footnoteRef/>
      </w:r>
      <w:r>
        <w:rPr>
          <w:lang w:val="fr-FR"/>
        </w:rPr>
        <w:t xml:space="preserve"> Annexe à la dé</w:t>
      </w:r>
      <w:r w:rsidRPr="0030645C">
        <w:rPr>
          <w:lang w:val="fr-FR"/>
        </w:rPr>
        <w:t xml:space="preserve">cision 15/8 de la </w:t>
      </w:r>
      <w:r>
        <w:rPr>
          <w:lang w:val="fr-FR"/>
        </w:rPr>
        <w:t>Conférence des Parties à la Convention.</w:t>
      </w:r>
    </w:p>
  </w:footnote>
  <w:footnote w:id="6">
    <w:p w14:paraId="2FB2C761" w14:textId="151112EE" w:rsidR="00274B14" w:rsidRPr="00F77D3D" w:rsidRDefault="00274B14" w:rsidP="00F77D3D">
      <w:pPr>
        <w:pStyle w:val="FootnoteText"/>
        <w:ind w:firstLine="0"/>
        <w:rPr>
          <w:lang w:val="fr-FR"/>
        </w:rPr>
      </w:pPr>
      <w:r>
        <w:rPr>
          <w:rStyle w:val="FootnoteReference"/>
        </w:rPr>
        <w:footnoteRef/>
      </w:r>
      <w:r>
        <w:t xml:space="preserve"> Voir la décision CP-10/7.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14:paraId="131FA94A" w14:textId="68DBF446" w:rsidR="00274B14" w:rsidRPr="00442EED" w:rsidRDefault="00274B14" w:rsidP="00A373EB">
        <w:pPr>
          <w:pStyle w:val="Cornernotation"/>
          <w:ind w:right="-36"/>
          <w:rPr>
            <w:i/>
            <w:iCs/>
          </w:rPr>
        </w:pPr>
        <w:r>
          <w:t>CBD/CP/MOP/DEC/10/4</w:t>
        </w:r>
      </w:p>
    </w:sdtContent>
  </w:sdt>
  <w:p w14:paraId="131FA94B" w14:textId="77777777" w:rsidR="00274B14" w:rsidRPr="00DF1739" w:rsidRDefault="00274B14" w:rsidP="00DF1739">
    <w:pPr>
      <w:pStyle w:val="Header"/>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rsidR="003910FE" w:rsidRPr="003910FE">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131FA94C" w14:textId="2E85E9E7" w:rsidR="00274B14" w:rsidRPr="00A373EB" w:rsidRDefault="00274B14" w:rsidP="009505C9">
        <w:pPr>
          <w:pStyle w:val="Header"/>
          <w:jc w:val="right"/>
          <w:rPr>
            <w:lang w:val="en-US"/>
          </w:rPr>
        </w:pPr>
        <w:r>
          <w:rPr>
            <w:lang w:val="en-US"/>
          </w:rPr>
          <w:t>CBD/CP/MOP/DEC/10/4</w:t>
        </w:r>
      </w:p>
    </w:sdtContent>
  </w:sdt>
  <w:p w14:paraId="131FA94D" w14:textId="77777777" w:rsidR="00274B14" w:rsidRDefault="00274B14" w:rsidP="00737E63">
    <w:pPr>
      <w:pStyle w:val="Header"/>
      <w:spacing w:after="240"/>
      <w:jc w:val="right"/>
    </w:pPr>
    <w:r w:rsidRPr="00A373EB">
      <w:rPr>
        <w:lang w:val="en-US"/>
      </w:rPr>
      <w:t xml:space="preserve">Page </w:t>
    </w:r>
    <w:r>
      <w:fldChar w:fldCharType="begin"/>
    </w:r>
    <w:r w:rsidRPr="00A373EB">
      <w:rPr>
        <w:lang w:val="en-US"/>
      </w:rPr>
      <w:instrText xml:space="preserve"> PAGE   \* MERGEFORMAT </w:instrText>
    </w:r>
    <w:r>
      <w:fldChar w:fldCharType="separate"/>
    </w:r>
    <w:r w:rsidR="003910FE">
      <w:rPr>
        <w:noProof/>
        <w:lang w:val="en-US"/>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A51F5"/>
    <w:multiLevelType w:val="hybridMultilevel"/>
    <w:tmpl w:val="C2747BB4"/>
    <w:lvl w:ilvl="0" w:tplc="A1AA5F78">
      <w:start w:val="1"/>
      <w:numFmt w:val="decimal"/>
      <w:lvlText w:val="%1."/>
      <w:lvlJc w:val="left"/>
      <w:pPr>
        <w:ind w:left="720" w:hanging="360"/>
      </w:pPr>
      <w:rPr>
        <w:rFonts w:hint="default"/>
      </w:rPr>
    </w:lvl>
    <w:lvl w:ilvl="1" w:tplc="DEACFC66" w:tentative="1">
      <w:start w:val="1"/>
      <w:numFmt w:val="lowerLetter"/>
      <w:lvlText w:val="%2."/>
      <w:lvlJc w:val="left"/>
      <w:pPr>
        <w:ind w:left="1440" w:hanging="360"/>
      </w:pPr>
    </w:lvl>
    <w:lvl w:ilvl="2" w:tplc="A0545D06" w:tentative="1">
      <w:start w:val="1"/>
      <w:numFmt w:val="lowerRoman"/>
      <w:lvlText w:val="%3."/>
      <w:lvlJc w:val="right"/>
      <w:pPr>
        <w:ind w:left="2160" w:hanging="180"/>
      </w:pPr>
    </w:lvl>
    <w:lvl w:ilvl="3" w:tplc="197065CA" w:tentative="1">
      <w:start w:val="1"/>
      <w:numFmt w:val="decimal"/>
      <w:lvlText w:val="%4."/>
      <w:lvlJc w:val="left"/>
      <w:pPr>
        <w:ind w:left="2880" w:hanging="360"/>
      </w:pPr>
    </w:lvl>
    <w:lvl w:ilvl="4" w:tplc="716826CA" w:tentative="1">
      <w:start w:val="1"/>
      <w:numFmt w:val="lowerLetter"/>
      <w:lvlText w:val="%5."/>
      <w:lvlJc w:val="left"/>
      <w:pPr>
        <w:ind w:left="3600" w:hanging="360"/>
      </w:pPr>
    </w:lvl>
    <w:lvl w:ilvl="5" w:tplc="835E515E" w:tentative="1">
      <w:start w:val="1"/>
      <w:numFmt w:val="lowerRoman"/>
      <w:lvlText w:val="%6."/>
      <w:lvlJc w:val="right"/>
      <w:pPr>
        <w:ind w:left="4320" w:hanging="180"/>
      </w:pPr>
    </w:lvl>
    <w:lvl w:ilvl="6" w:tplc="E826886C" w:tentative="1">
      <w:start w:val="1"/>
      <w:numFmt w:val="decimal"/>
      <w:lvlText w:val="%7."/>
      <w:lvlJc w:val="left"/>
      <w:pPr>
        <w:ind w:left="5040" w:hanging="360"/>
      </w:pPr>
    </w:lvl>
    <w:lvl w:ilvl="7" w:tplc="FB1CFB7E" w:tentative="1">
      <w:start w:val="1"/>
      <w:numFmt w:val="lowerLetter"/>
      <w:lvlText w:val="%8."/>
      <w:lvlJc w:val="left"/>
      <w:pPr>
        <w:ind w:left="5760" w:hanging="360"/>
      </w:pPr>
    </w:lvl>
    <w:lvl w:ilvl="8" w:tplc="BA142D46" w:tentative="1">
      <w:start w:val="1"/>
      <w:numFmt w:val="lowerRoman"/>
      <w:lvlText w:val="%9."/>
      <w:lvlJc w:val="right"/>
      <w:pPr>
        <w:ind w:left="6480" w:hanging="180"/>
      </w:pPr>
    </w:lvl>
  </w:abstractNum>
  <w:abstractNum w:abstractNumId="3" w15:restartNumberingAfterBreak="0">
    <w:nsid w:val="1432634F"/>
    <w:multiLevelType w:val="hybridMultilevel"/>
    <w:tmpl w:val="47947DB2"/>
    <w:lvl w:ilvl="0" w:tplc="4F140A8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FC3668"/>
    <w:multiLevelType w:val="hybridMultilevel"/>
    <w:tmpl w:val="EC120F76"/>
    <w:lvl w:ilvl="0" w:tplc="BD9C88C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9"/>
  </w:num>
  <w:num w:numId="5">
    <w:abstractNumId w:val="7"/>
  </w:num>
  <w:num w:numId="6">
    <w:abstractNumId w:val="0"/>
  </w:num>
  <w:num w:numId="7">
    <w:abstractNumId w:val="4"/>
  </w:num>
  <w:num w:numId="8">
    <w:abstractNumId w:val="6"/>
    <w:lvlOverride w:ilvl="0">
      <w:startOverride w:val="1"/>
    </w:lvlOverride>
  </w:num>
  <w:num w:numId="9">
    <w:abstractNumId w:val="12"/>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1"/>
  </w:num>
  <w:num w:numId="15">
    <w:abstractNumId w:val="10"/>
  </w:num>
  <w:num w:numId="16">
    <w:abstractNumId w:val="1"/>
  </w:num>
  <w:num w:numId="17">
    <w:abstractNumId w:val="13"/>
  </w:num>
  <w:num w:numId="18">
    <w:abstractNumId w:val="14"/>
  </w:num>
  <w:num w:numId="19">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2D"/>
    <w:rsid w:val="00023699"/>
    <w:rsid w:val="000604D2"/>
    <w:rsid w:val="0006402A"/>
    <w:rsid w:val="0007171B"/>
    <w:rsid w:val="000972F9"/>
    <w:rsid w:val="000A50F5"/>
    <w:rsid w:val="000B12DD"/>
    <w:rsid w:val="000B4C78"/>
    <w:rsid w:val="000B5580"/>
    <w:rsid w:val="000C7F47"/>
    <w:rsid w:val="000D0F0A"/>
    <w:rsid w:val="000D5549"/>
    <w:rsid w:val="000E15DD"/>
    <w:rsid w:val="000E579F"/>
    <w:rsid w:val="000E673A"/>
    <w:rsid w:val="000E76CE"/>
    <w:rsid w:val="000F74F5"/>
    <w:rsid w:val="000F7FDB"/>
    <w:rsid w:val="00105372"/>
    <w:rsid w:val="001210E3"/>
    <w:rsid w:val="001312AD"/>
    <w:rsid w:val="00131E7A"/>
    <w:rsid w:val="001345FB"/>
    <w:rsid w:val="00134846"/>
    <w:rsid w:val="001429DC"/>
    <w:rsid w:val="00151F4B"/>
    <w:rsid w:val="00172AF6"/>
    <w:rsid w:val="00176CEE"/>
    <w:rsid w:val="00184E31"/>
    <w:rsid w:val="00186DD8"/>
    <w:rsid w:val="00196812"/>
    <w:rsid w:val="001A174D"/>
    <w:rsid w:val="001B124C"/>
    <w:rsid w:val="001B13FE"/>
    <w:rsid w:val="001B2E91"/>
    <w:rsid w:val="001B70EA"/>
    <w:rsid w:val="001C5B5F"/>
    <w:rsid w:val="001D04B9"/>
    <w:rsid w:val="001D197D"/>
    <w:rsid w:val="001D38CF"/>
    <w:rsid w:val="001D3CCA"/>
    <w:rsid w:val="001D434C"/>
    <w:rsid w:val="001D7B70"/>
    <w:rsid w:val="001E0382"/>
    <w:rsid w:val="001F2159"/>
    <w:rsid w:val="001F69B0"/>
    <w:rsid w:val="00203ED6"/>
    <w:rsid w:val="00211BCE"/>
    <w:rsid w:val="002122C7"/>
    <w:rsid w:val="00215539"/>
    <w:rsid w:val="00216FD5"/>
    <w:rsid w:val="00232825"/>
    <w:rsid w:val="00244133"/>
    <w:rsid w:val="002521FB"/>
    <w:rsid w:val="00261555"/>
    <w:rsid w:val="00271FF9"/>
    <w:rsid w:val="00274B14"/>
    <w:rsid w:val="00293C55"/>
    <w:rsid w:val="00293E22"/>
    <w:rsid w:val="00294601"/>
    <w:rsid w:val="002A1D31"/>
    <w:rsid w:val="002A3C63"/>
    <w:rsid w:val="002B67C9"/>
    <w:rsid w:val="002C0908"/>
    <w:rsid w:val="002C152E"/>
    <w:rsid w:val="0030169D"/>
    <w:rsid w:val="00302AAD"/>
    <w:rsid w:val="003060EB"/>
    <w:rsid w:val="0030645C"/>
    <w:rsid w:val="00307317"/>
    <w:rsid w:val="00311EE0"/>
    <w:rsid w:val="003153EB"/>
    <w:rsid w:val="003160EC"/>
    <w:rsid w:val="00321985"/>
    <w:rsid w:val="00321E78"/>
    <w:rsid w:val="003277B3"/>
    <w:rsid w:val="00332A6E"/>
    <w:rsid w:val="003340BB"/>
    <w:rsid w:val="00345A76"/>
    <w:rsid w:val="00351205"/>
    <w:rsid w:val="00351DD2"/>
    <w:rsid w:val="003624BC"/>
    <w:rsid w:val="00370CF3"/>
    <w:rsid w:val="00372F74"/>
    <w:rsid w:val="003748B8"/>
    <w:rsid w:val="003910FE"/>
    <w:rsid w:val="00391C9D"/>
    <w:rsid w:val="00395DAC"/>
    <w:rsid w:val="003B102D"/>
    <w:rsid w:val="003B128B"/>
    <w:rsid w:val="003C1708"/>
    <w:rsid w:val="003C1740"/>
    <w:rsid w:val="003C47EA"/>
    <w:rsid w:val="003C7AEF"/>
    <w:rsid w:val="003C7E5C"/>
    <w:rsid w:val="003D27B5"/>
    <w:rsid w:val="003E3AFE"/>
    <w:rsid w:val="003E3FBB"/>
    <w:rsid w:val="003E5B0D"/>
    <w:rsid w:val="003F7224"/>
    <w:rsid w:val="004116DC"/>
    <w:rsid w:val="00412865"/>
    <w:rsid w:val="0041619B"/>
    <w:rsid w:val="00427D21"/>
    <w:rsid w:val="00430E63"/>
    <w:rsid w:val="00442EED"/>
    <w:rsid w:val="00443E56"/>
    <w:rsid w:val="0045612B"/>
    <w:rsid w:val="004644C2"/>
    <w:rsid w:val="004645B4"/>
    <w:rsid w:val="00467F9C"/>
    <w:rsid w:val="004712A8"/>
    <w:rsid w:val="004743CB"/>
    <w:rsid w:val="00475E16"/>
    <w:rsid w:val="004A3E92"/>
    <w:rsid w:val="004A50D0"/>
    <w:rsid w:val="004C5801"/>
    <w:rsid w:val="004E7A4A"/>
    <w:rsid w:val="004F7C92"/>
    <w:rsid w:val="0050129E"/>
    <w:rsid w:val="00502828"/>
    <w:rsid w:val="005056F9"/>
    <w:rsid w:val="00515562"/>
    <w:rsid w:val="005208AC"/>
    <w:rsid w:val="0052347B"/>
    <w:rsid w:val="0052618E"/>
    <w:rsid w:val="00534681"/>
    <w:rsid w:val="00534FAE"/>
    <w:rsid w:val="0054172D"/>
    <w:rsid w:val="005421C7"/>
    <w:rsid w:val="00552670"/>
    <w:rsid w:val="00554B78"/>
    <w:rsid w:val="00563442"/>
    <w:rsid w:val="00565B42"/>
    <w:rsid w:val="00576225"/>
    <w:rsid w:val="00576D5C"/>
    <w:rsid w:val="00580F8B"/>
    <w:rsid w:val="0058253A"/>
    <w:rsid w:val="00597279"/>
    <w:rsid w:val="005A523C"/>
    <w:rsid w:val="005B10F7"/>
    <w:rsid w:val="005C4CE6"/>
    <w:rsid w:val="005C56A4"/>
    <w:rsid w:val="005C7F45"/>
    <w:rsid w:val="005D7F71"/>
    <w:rsid w:val="005E2F0C"/>
    <w:rsid w:val="005E4BB8"/>
    <w:rsid w:val="005E5B7C"/>
    <w:rsid w:val="005F3407"/>
    <w:rsid w:val="00610563"/>
    <w:rsid w:val="00611B34"/>
    <w:rsid w:val="006122BA"/>
    <w:rsid w:val="006148F7"/>
    <w:rsid w:val="006175C3"/>
    <w:rsid w:val="006278CD"/>
    <w:rsid w:val="00633D52"/>
    <w:rsid w:val="00640D4E"/>
    <w:rsid w:val="00644763"/>
    <w:rsid w:val="00663A9F"/>
    <w:rsid w:val="00664348"/>
    <w:rsid w:val="00670691"/>
    <w:rsid w:val="00670AE5"/>
    <w:rsid w:val="00671D0D"/>
    <w:rsid w:val="00672170"/>
    <w:rsid w:val="00673967"/>
    <w:rsid w:val="00691825"/>
    <w:rsid w:val="00691E64"/>
    <w:rsid w:val="00697202"/>
    <w:rsid w:val="00697E73"/>
    <w:rsid w:val="006A3E2A"/>
    <w:rsid w:val="006A6FCE"/>
    <w:rsid w:val="006B2290"/>
    <w:rsid w:val="006B2780"/>
    <w:rsid w:val="006B59AF"/>
    <w:rsid w:val="006C373E"/>
    <w:rsid w:val="006C59A1"/>
    <w:rsid w:val="006D1FEA"/>
    <w:rsid w:val="006F13B7"/>
    <w:rsid w:val="006F251D"/>
    <w:rsid w:val="00704084"/>
    <w:rsid w:val="007069E5"/>
    <w:rsid w:val="00717D88"/>
    <w:rsid w:val="00724AAB"/>
    <w:rsid w:val="0072527E"/>
    <w:rsid w:val="007268C1"/>
    <w:rsid w:val="0073450A"/>
    <w:rsid w:val="00735382"/>
    <w:rsid w:val="0073776F"/>
    <w:rsid w:val="00737E63"/>
    <w:rsid w:val="007418E9"/>
    <w:rsid w:val="00786056"/>
    <w:rsid w:val="0079139E"/>
    <w:rsid w:val="00791623"/>
    <w:rsid w:val="007942D3"/>
    <w:rsid w:val="007A31E8"/>
    <w:rsid w:val="007B2099"/>
    <w:rsid w:val="007B2B61"/>
    <w:rsid w:val="007B6C09"/>
    <w:rsid w:val="007B7741"/>
    <w:rsid w:val="007C379B"/>
    <w:rsid w:val="007C5064"/>
    <w:rsid w:val="007C7B7C"/>
    <w:rsid w:val="007D71A2"/>
    <w:rsid w:val="007E09DA"/>
    <w:rsid w:val="007F5D44"/>
    <w:rsid w:val="00801D07"/>
    <w:rsid w:val="0081052E"/>
    <w:rsid w:val="008178B6"/>
    <w:rsid w:val="0082191A"/>
    <w:rsid w:val="00823C25"/>
    <w:rsid w:val="008269CE"/>
    <w:rsid w:val="00833493"/>
    <w:rsid w:val="00844090"/>
    <w:rsid w:val="008511C0"/>
    <w:rsid w:val="00852F36"/>
    <w:rsid w:val="00854352"/>
    <w:rsid w:val="00854831"/>
    <w:rsid w:val="00860085"/>
    <w:rsid w:val="0086263A"/>
    <w:rsid w:val="00865B74"/>
    <w:rsid w:val="00876CDA"/>
    <w:rsid w:val="0088357A"/>
    <w:rsid w:val="00894923"/>
    <w:rsid w:val="008974F0"/>
    <w:rsid w:val="008A05E1"/>
    <w:rsid w:val="008B012A"/>
    <w:rsid w:val="008C5044"/>
    <w:rsid w:val="008C765C"/>
    <w:rsid w:val="008D25E0"/>
    <w:rsid w:val="008D4944"/>
    <w:rsid w:val="008E619C"/>
    <w:rsid w:val="008F2C7B"/>
    <w:rsid w:val="00903805"/>
    <w:rsid w:val="0090556C"/>
    <w:rsid w:val="00906E17"/>
    <w:rsid w:val="00914891"/>
    <w:rsid w:val="00916BEE"/>
    <w:rsid w:val="00930A7E"/>
    <w:rsid w:val="00930BA1"/>
    <w:rsid w:val="0093169E"/>
    <w:rsid w:val="009505C9"/>
    <w:rsid w:val="00950752"/>
    <w:rsid w:val="00954B1F"/>
    <w:rsid w:val="00955818"/>
    <w:rsid w:val="00961C26"/>
    <w:rsid w:val="00966424"/>
    <w:rsid w:val="0098202F"/>
    <w:rsid w:val="00985726"/>
    <w:rsid w:val="00992F89"/>
    <w:rsid w:val="00995779"/>
    <w:rsid w:val="0099605E"/>
    <w:rsid w:val="009C2805"/>
    <w:rsid w:val="009C2DE6"/>
    <w:rsid w:val="009C2ED7"/>
    <w:rsid w:val="009E186F"/>
    <w:rsid w:val="009F0FBA"/>
    <w:rsid w:val="00A0039C"/>
    <w:rsid w:val="00A10D1B"/>
    <w:rsid w:val="00A1656C"/>
    <w:rsid w:val="00A2196A"/>
    <w:rsid w:val="00A32702"/>
    <w:rsid w:val="00A33776"/>
    <w:rsid w:val="00A373EB"/>
    <w:rsid w:val="00A44E36"/>
    <w:rsid w:val="00A47713"/>
    <w:rsid w:val="00A618A6"/>
    <w:rsid w:val="00A8136A"/>
    <w:rsid w:val="00A91C51"/>
    <w:rsid w:val="00A94572"/>
    <w:rsid w:val="00AA59EB"/>
    <w:rsid w:val="00AA5CA2"/>
    <w:rsid w:val="00AA6F92"/>
    <w:rsid w:val="00AB023C"/>
    <w:rsid w:val="00AB08B6"/>
    <w:rsid w:val="00AB2BEB"/>
    <w:rsid w:val="00AB3D36"/>
    <w:rsid w:val="00AB6934"/>
    <w:rsid w:val="00AC38BC"/>
    <w:rsid w:val="00AD2A59"/>
    <w:rsid w:val="00AD5EAA"/>
    <w:rsid w:val="00AD62A2"/>
    <w:rsid w:val="00AD7037"/>
    <w:rsid w:val="00AE636D"/>
    <w:rsid w:val="00AF42DE"/>
    <w:rsid w:val="00B00AD7"/>
    <w:rsid w:val="00B22630"/>
    <w:rsid w:val="00B303F7"/>
    <w:rsid w:val="00B3369F"/>
    <w:rsid w:val="00B350E1"/>
    <w:rsid w:val="00B51FF0"/>
    <w:rsid w:val="00B560FA"/>
    <w:rsid w:val="00B57CE3"/>
    <w:rsid w:val="00B72BED"/>
    <w:rsid w:val="00B7742C"/>
    <w:rsid w:val="00B82EB9"/>
    <w:rsid w:val="00B8438B"/>
    <w:rsid w:val="00B84D13"/>
    <w:rsid w:val="00B94E6C"/>
    <w:rsid w:val="00BA7999"/>
    <w:rsid w:val="00BB18BE"/>
    <w:rsid w:val="00BB4606"/>
    <w:rsid w:val="00BB600B"/>
    <w:rsid w:val="00BB7ED6"/>
    <w:rsid w:val="00BC3C3C"/>
    <w:rsid w:val="00BE4044"/>
    <w:rsid w:val="00BE6ED6"/>
    <w:rsid w:val="00BF0001"/>
    <w:rsid w:val="00BF5CEA"/>
    <w:rsid w:val="00BF7003"/>
    <w:rsid w:val="00C03F8E"/>
    <w:rsid w:val="00C04EE9"/>
    <w:rsid w:val="00C05231"/>
    <w:rsid w:val="00C13AEC"/>
    <w:rsid w:val="00C219BB"/>
    <w:rsid w:val="00C23D2F"/>
    <w:rsid w:val="00C325E3"/>
    <w:rsid w:val="00C443BD"/>
    <w:rsid w:val="00C451C5"/>
    <w:rsid w:val="00C50BA8"/>
    <w:rsid w:val="00C51B7C"/>
    <w:rsid w:val="00C5483D"/>
    <w:rsid w:val="00C56793"/>
    <w:rsid w:val="00C610BE"/>
    <w:rsid w:val="00C82DB4"/>
    <w:rsid w:val="00C9161D"/>
    <w:rsid w:val="00C95247"/>
    <w:rsid w:val="00C96D21"/>
    <w:rsid w:val="00CA0C1D"/>
    <w:rsid w:val="00CA3E8F"/>
    <w:rsid w:val="00CD0549"/>
    <w:rsid w:val="00CD4B53"/>
    <w:rsid w:val="00CD7DDC"/>
    <w:rsid w:val="00CE055C"/>
    <w:rsid w:val="00CF1848"/>
    <w:rsid w:val="00CF3E4D"/>
    <w:rsid w:val="00D031DB"/>
    <w:rsid w:val="00D11DE8"/>
    <w:rsid w:val="00D12044"/>
    <w:rsid w:val="00D17085"/>
    <w:rsid w:val="00D23A96"/>
    <w:rsid w:val="00D23D25"/>
    <w:rsid w:val="00D24668"/>
    <w:rsid w:val="00D263F7"/>
    <w:rsid w:val="00D26E47"/>
    <w:rsid w:val="00D26E85"/>
    <w:rsid w:val="00D32478"/>
    <w:rsid w:val="00D33EFC"/>
    <w:rsid w:val="00D3468F"/>
    <w:rsid w:val="00D36E75"/>
    <w:rsid w:val="00D40DBC"/>
    <w:rsid w:val="00D42703"/>
    <w:rsid w:val="00D44538"/>
    <w:rsid w:val="00D567D7"/>
    <w:rsid w:val="00D62045"/>
    <w:rsid w:val="00D70585"/>
    <w:rsid w:val="00D710E4"/>
    <w:rsid w:val="00D7198D"/>
    <w:rsid w:val="00D76A18"/>
    <w:rsid w:val="00D80849"/>
    <w:rsid w:val="00D82E8F"/>
    <w:rsid w:val="00D841A9"/>
    <w:rsid w:val="00D8786E"/>
    <w:rsid w:val="00D92E49"/>
    <w:rsid w:val="00DB03E6"/>
    <w:rsid w:val="00DB0A74"/>
    <w:rsid w:val="00DB246A"/>
    <w:rsid w:val="00DB5ECE"/>
    <w:rsid w:val="00DD118C"/>
    <w:rsid w:val="00DD64E5"/>
    <w:rsid w:val="00DE112D"/>
    <w:rsid w:val="00DF1739"/>
    <w:rsid w:val="00DF2495"/>
    <w:rsid w:val="00E2157F"/>
    <w:rsid w:val="00E23678"/>
    <w:rsid w:val="00E460A9"/>
    <w:rsid w:val="00E52837"/>
    <w:rsid w:val="00E5389C"/>
    <w:rsid w:val="00E66235"/>
    <w:rsid w:val="00E70F27"/>
    <w:rsid w:val="00E72C9C"/>
    <w:rsid w:val="00E83C24"/>
    <w:rsid w:val="00E84252"/>
    <w:rsid w:val="00E9318D"/>
    <w:rsid w:val="00E94C55"/>
    <w:rsid w:val="00E95792"/>
    <w:rsid w:val="00EC395C"/>
    <w:rsid w:val="00ED05C0"/>
    <w:rsid w:val="00ED3228"/>
    <w:rsid w:val="00ED73B1"/>
    <w:rsid w:val="00EE024C"/>
    <w:rsid w:val="00EE0BB2"/>
    <w:rsid w:val="00EE22BE"/>
    <w:rsid w:val="00EF5DAC"/>
    <w:rsid w:val="00F13AB8"/>
    <w:rsid w:val="00F35069"/>
    <w:rsid w:val="00F36191"/>
    <w:rsid w:val="00F53193"/>
    <w:rsid w:val="00F5357E"/>
    <w:rsid w:val="00F56058"/>
    <w:rsid w:val="00F6586C"/>
    <w:rsid w:val="00F77D3D"/>
    <w:rsid w:val="00F840EA"/>
    <w:rsid w:val="00F94774"/>
    <w:rsid w:val="00F9795B"/>
    <w:rsid w:val="00FA1B6A"/>
    <w:rsid w:val="00FA1BCB"/>
    <w:rsid w:val="00FA663B"/>
    <w:rsid w:val="00FC53DB"/>
    <w:rsid w:val="00FD5EC5"/>
    <w:rsid w:val="00FE173E"/>
    <w:rsid w:val="00FE36E2"/>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1FA81B"/>
  <w15:docId w15:val="{7E5E7D4C-A541-4E16-962E-AF560F98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CommentSubject">
    <w:name w:val="annotation subject"/>
    <w:basedOn w:val="CommentText"/>
    <w:next w:val="CommentText"/>
    <w:link w:val="CommentSubjectChar"/>
    <w:uiPriority w:val="99"/>
    <w:semiHidden/>
    <w:unhideWhenUsed/>
    <w:rsid w:val="00ED05C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D05C0"/>
    <w:rPr>
      <w:rFonts w:ascii="Times New Roman" w:eastAsia="Times New Roman" w:hAnsi="Times New Roman" w:cs="Times New Roman"/>
      <w:b/>
      <w:bCs/>
      <w:sz w:val="20"/>
      <w:szCs w:val="20"/>
      <w:lang w:val="en-GB"/>
    </w:rPr>
  </w:style>
  <w:style w:type="character" w:styleId="LineNumber">
    <w:name w:val="line number"/>
    <w:basedOn w:val="DefaultParagraphFont"/>
    <w:uiPriority w:val="99"/>
    <w:semiHidden/>
    <w:unhideWhenUsed/>
    <w:rsid w:val="003C7AEF"/>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D36E75"/>
    <w:pPr>
      <w:spacing w:before="120"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CD7DDC"/>
    <w:rPr>
      <w:rFonts w:ascii="Times New Roman" w:eastAsia="Times New Roman" w:hAnsi="Times New Roman" w:cs="Times New Roman"/>
      <w:sz w:val="22"/>
      <w:lang w:val="en-GB"/>
    </w:rPr>
  </w:style>
  <w:style w:type="paragraph" w:customStyle="1" w:styleId="Default">
    <w:name w:val="Default"/>
    <w:rsid w:val="00351DD2"/>
    <w:pPr>
      <w:autoSpaceDE w:val="0"/>
      <w:autoSpaceDN w:val="0"/>
      <w:adjustRightInd w:val="0"/>
    </w:pPr>
    <w:rPr>
      <w:rFonts w:ascii="Trebuchet MS" w:hAnsi="Trebuchet MS" w:cs="Trebuchet MS"/>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decisions/?decisionID=132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PlaceholderText"/>
            </w:rPr>
            <w:t>[Subject]</w:t>
          </w:r>
        </w:p>
      </w:docPartBody>
    </w:docPart>
    <w:docPart>
      <w:docPartPr>
        <w:name w:val="A9F144F1A510484892B473BD8F625F97"/>
        <w:category>
          <w:name w:val="Général"/>
          <w:gallery w:val="placeholder"/>
        </w:category>
        <w:types>
          <w:type w:val="bbPlcHdr"/>
        </w:types>
        <w:behaviors>
          <w:behavior w:val="content"/>
        </w:behaviors>
        <w:guid w:val="{D724C57A-EF6A-4782-B1B2-F086B45F6CC9}"/>
      </w:docPartPr>
      <w:docPartBody>
        <w:p w:rsidR="00EB780B" w:rsidRDefault="003533F8" w:rsidP="003533F8">
          <w:pPr>
            <w:pStyle w:val="A9F144F1A510484892B473BD8F625F97"/>
          </w:pPr>
          <w:r w:rsidRPr="007E02EB">
            <w:rPr>
              <w:rStyle w:val="PlaceholderText"/>
            </w:rPr>
            <w:t>[Status]</w:t>
          </w:r>
        </w:p>
      </w:docPartBody>
    </w:docPart>
    <w:docPart>
      <w:docPartPr>
        <w:name w:val="AEEC0901934E4529A266ECEE908FE4BB"/>
        <w:category>
          <w:name w:val="Général"/>
          <w:gallery w:val="placeholder"/>
        </w:category>
        <w:types>
          <w:type w:val="bbPlcHdr"/>
        </w:types>
        <w:behaviors>
          <w:behavior w:val="content"/>
        </w:behaviors>
        <w:guid w:val="{AADEEBF3-0243-4BEE-833E-38A22DBB7B4F}"/>
      </w:docPartPr>
      <w:docPartBody>
        <w:p w:rsidR="00EB780B" w:rsidRDefault="003533F8" w:rsidP="003533F8">
          <w:pPr>
            <w:pStyle w:val="AEEC0901934E4529A266ECEE908FE4BB"/>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2"/>
  </w:compat>
  <w:rsids>
    <w:rsidRoot w:val="00AB72FA"/>
    <w:rsid w:val="00032833"/>
    <w:rsid w:val="001B792D"/>
    <w:rsid w:val="001F28E6"/>
    <w:rsid w:val="00211626"/>
    <w:rsid w:val="002C796F"/>
    <w:rsid w:val="002F295A"/>
    <w:rsid w:val="003055E8"/>
    <w:rsid w:val="003533F8"/>
    <w:rsid w:val="004C1D63"/>
    <w:rsid w:val="004C6765"/>
    <w:rsid w:val="00664796"/>
    <w:rsid w:val="007C7D84"/>
    <w:rsid w:val="00800648"/>
    <w:rsid w:val="00854BF9"/>
    <w:rsid w:val="009A09AB"/>
    <w:rsid w:val="009E53FB"/>
    <w:rsid w:val="00AB72FA"/>
    <w:rsid w:val="00AD5448"/>
    <w:rsid w:val="00B1011B"/>
    <w:rsid w:val="00B45CEF"/>
    <w:rsid w:val="00D36602"/>
    <w:rsid w:val="00E81541"/>
    <w:rsid w:val="00E96401"/>
    <w:rsid w:val="00EB780B"/>
    <w:rsid w:val="00FC7B27"/>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28E6"/>
    <w:rPr>
      <w:color w:val="808080"/>
    </w:rPr>
  </w:style>
  <w:style w:type="paragraph" w:customStyle="1" w:styleId="E0A2A743B81A4B3C85C4D4F24EDEFC7E">
    <w:name w:val="E0A2A743B81A4B3C85C4D4F24EDEFC7E"/>
    <w:rsid w:val="007C7D84"/>
    <w:rPr>
      <w:lang w:val="en-US" w:eastAsia="zh-CN"/>
    </w:rPr>
  </w:style>
  <w:style w:type="paragraph" w:customStyle="1" w:styleId="A9F144F1A510484892B473BD8F625F97">
    <w:name w:val="A9F144F1A510484892B473BD8F625F97"/>
    <w:rsid w:val="003533F8"/>
    <w:rPr>
      <w:lang w:val="fr-FR" w:eastAsia="fr-FR"/>
    </w:rPr>
  </w:style>
  <w:style w:type="paragraph" w:customStyle="1" w:styleId="AEEC0901934E4529A266ECEE908FE4BB">
    <w:name w:val="AEEC0901934E4529A266ECEE908FE4BB"/>
    <w:rsid w:val="003533F8"/>
    <w:rPr>
      <w:lang w:val="fr-FR" w:eastAsia="fr-FR"/>
    </w:rPr>
  </w:style>
  <w:style w:type="paragraph" w:customStyle="1" w:styleId="D5D1CF660FB74FCB8F42B3620692B28E">
    <w:name w:val="D5D1CF660FB74FCB8F42B3620692B28E"/>
    <w:rsid w:val="001F28E6"/>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DF62DC6-035F-44A2-AEE1-B50120D0A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BC3FD3AF-7FA2-4B95-ABFC-29BCC770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Template>
  <TotalTime>160</TotalTime>
  <Pages>18</Pages>
  <Words>6972</Words>
  <Characters>38349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Capacity-building action plan for the Cartagena Protocol on Biosafety and the Nagoya Kuala-Lumpur Supplementary Protocol on Liability and Redress</vt:lpstr>
    </vt:vector>
  </TitlesOfParts>
  <Company>SCBD</Company>
  <LinksUpToDate>false</LinksUpToDate>
  <CharactersWithSpaces>45231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Capacity-building action plan for the Cartagena Protocol on Biosafety and the Nagoya Kuala-Lumpur Supplementary Protocol on Liability and Redress</dc:title>
  <dc:subject>CBD/CP/MOP/DEC/10/4</dc:subject>
  <dc:creator>Veronique Lefebvre</dc:creator>
  <cp:keywords>Conference of the Parties to the Convention on Biological Diversity serving as the meeting of the Parties to the Cartagena Protocol on Biosafety, tenth meeting</cp:keywords>
  <cp:lastModifiedBy>Finn Kinley</cp:lastModifiedBy>
  <cp:revision>57</cp:revision>
  <cp:lastPrinted>2020-01-21T16:56:00Z</cp:lastPrinted>
  <dcterms:created xsi:type="dcterms:W3CDTF">2022-12-14T19:08:00Z</dcterms:created>
  <dcterms:modified xsi:type="dcterms:W3CDTF">2023-03-22T02:04:00Z</dcterms:modified>
  <cp:contentStatus>GÉNÉRALE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