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C42D0F" w:rsidRPr="003D067D" w:rsidTr="004C20F2">
        <w:trPr>
          <w:trHeight w:val="844"/>
        </w:trPr>
        <w:tc>
          <w:tcPr>
            <w:tcW w:w="744" w:type="dxa"/>
            <w:tcBorders>
              <w:bottom w:val="single" w:sz="12" w:space="0" w:color="auto"/>
            </w:tcBorders>
          </w:tcPr>
          <w:p w:rsidR="00C42D0F" w:rsidRPr="008A0A75" w:rsidRDefault="00C42D0F" w:rsidP="004C20F2">
            <w:pPr>
              <w:rPr>
                <w:kern w:val="22"/>
              </w:rPr>
            </w:pPr>
            <w:bookmarkStart w:id="0" w:name="_Hlk505247837"/>
            <w:r w:rsidRPr="008A0A75">
              <w:rPr>
                <w:noProof/>
                <w:kern w:val="22"/>
                <w:lang w:val="fr-FR" w:eastAsia="fr-FR"/>
              </w:rPr>
              <w:drawing>
                <wp:anchor distT="0" distB="0" distL="114300" distR="114300" simplePos="0" relativeHeight="251659264" behindDoc="0" locked="0" layoutInCell="1" allowOverlap="1">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C42D0F" w:rsidRPr="008A0A75" w:rsidRDefault="00C42D0F" w:rsidP="004C20F2">
            <w:pPr>
              <w:ind w:left="175"/>
              <w:rPr>
                <w:kern w:val="22"/>
              </w:rPr>
            </w:pPr>
            <w:r w:rsidRPr="00FE14F7">
              <w:rPr>
                <w:noProof/>
                <w:lang w:val="fr-FR" w:eastAsia="fr-FR"/>
              </w:rPr>
              <w:drawing>
                <wp:inline distT="0" distB="0" distL="0" distR="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C42D0F" w:rsidRPr="008A0A75" w:rsidRDefault="00C42D0F" w:rsidP="004C20F2">
            <w:pPr>
              <w:jc w:val="right"/>
              <w:rPr>
                <w:rFonts w:ascii="Arial" w:hAnsi="Arial" w:cs="Arial"/>
                <w:b/>
                <w:kern w:val="22"/>
                <w:sz w:val="32"/>
                <w:szCs w:val="32"/>
              </w:rPr>
            </w:pPr>
            <w:r w:rsidRPr="008A0A75">
              <w:rPr>
                <w:rFonts w:ascii="Arial" w:hAnsi="Arial" w:cs="Arial"/>
                <w:b/>
                <w:kern w:val="22"/>
                <w:sz w:val="32"/>
                <w:szCs w:val="32"/>
              </w:rPr>
              <w:t>CBD</w:t>
            </w:r>
          </w:p>
        </w:tc>
      </w:tr>
    </w:tbl>
    <w:tbl>
      <w:tblPr>
        <w:tblW w:w="10207" w:type="dxa"/>
        <w:tblInd w:w="-318" w:type="dxa"/>
        <w:tblBorders>
          <w:bottom w:val="single" w:sz="36" w:space="0" w:color="000000"/>
        </w:tblBorders>
        <w:tblLayout w:type="fixed"/>
        <w:tblLook w:val="0000"/>
      </w:tblPr>
      <w:tblGrid>
        <w:gridCol w:w="6086"/>
        <w:gridCol w:w="1144"/>
        <w:gridCol w:w="2977"/>
      </w:tblGrid>
      <w:tr w:rsidR="00C42D0F" w:rsidRPr="003D067D" w:rsidTr="004C20F2">
        <w:trPr>
          <w:trHeight w:val="1693"/>
        </w:trPr>
        <w:tc>
          <w:tcPr>
            <w:tcW w:w="6086" w:type="dxa"/>
            <w:tcBorders>
              <w:top w:val="nil"/>
              <w:bottom w:val="single" w:sz="36" w:space="0" w:color="000000"/>
            </w:tcBorders>
          </w:tcPr>
          <w:bookmarkEnd w:id="0"/>
          <w:p w:rsidR="00C42D0F" w:rsidRPr="003D067D" w:rsidRDefault="00C42D0F" w:rsidP="004C20F2">
            <w:pPr>
              <w:suppressLineNumbers/>
              <w:suppressAutoHyphens/>
              <w:rPr>
                <w:rFonts w:ascii="Univers" w:hAnsi="Univers"/>
                <w:snapToGrid w:val="0"/>
                <w:kern w:val="22"/>
              </w:rPr>
            </w:pPr>
            <w:r>
              <w:rPr>
                <w:noProof/>
                <w:lang w:val="fr-FR" w:eastAsia="fr-FR"/>
              </w:rPr>
              <w:drawing>
                <wp:inline distT="0" distB="0" distL="0" distR="0">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C42D0F" w:rsidRPr="00D0496C" w:rsidRDefault="00C42D0F" w:rsidP="004C20F2">
            <w:pPr>
              <w:pStyle w:val="a7"/>
              <w:suppressLineNumbers/>
              <w:suppressAutoHyphens/>
              <w:rPr>
                <w:rFonts w:eastAsia="MS Mincho"/>
                <w:bCs/>
                <w:snapToGrid w:val="0"/>
                <w:kern w:val="22"/>
              </w:rPr>
            </w:pPr>
          </w:p>
        </w:tc>
        <w:tc>
          <w:tcPr>
            <w:tcW w:w="2977" w:type="dxa"/>
            <w:tcBorders>
              <w:top w:val="nil"/>
              <w:bottom w:val="single" w:sz="36" w:space="0" w:color="000000"/>
            </w:tcBorders>
          </w:tcPr>
          <w:p w:rsidR="00C42D0F" w:rsidRPr="001334EC" w:rsidRDefault="00C42D0F" w:rsidP="003B1ADF">
            <w:pPr>
              <w:suppressLineNumbers/>
              <w:suppressAutoHyphens/>
              <w:ind w:left="318" w:firstLine="36"/>
              <w:rPr>
                <w:rFonts w:asciiTheme="majorBidi" w:hAnsiTheme="majorBidi" w:cstheme="majorBidi"/>
                <w:snapToGrid w:val="0"/>
                <w:kern w:val="22"/>
              </w:rPr>
            </w:pPr>
            <w:r w:rsidRPr="001334EC">
              <w:rPr>
                <w:rFonts w:asciiTheme="majorBidi" w:hAnsiTheme="majorBidi" w:cstheme="majorBidi"/>
                <w:snapToGrid w:val="0"/>
                <w:kern w:val="22"/>
              </w:rPr>
              <w:t>Distr.</w:t>
            </w:r>
          </w:p>
          <w:p w:rsidR="00D86DC5" w:rsidRPr="00C9161D" w:rsidRDefault="007D10EB" w:rsidP="00D86DC5">
            <w:pPr>
              <w:ind w:left="1215" w:hanging="864"/>
              <w:rPr>
                <w:szCs w:val="22"/>
              </w:rPr>
            </w:pPr>
            <w:r>
              <w:rPr>
                <w:caps/>
                <w:szCs w:val="22"/>
              </w:rPr>
              <w:t>General</w:t>
            </w:r>
          </w:p>
          <w:p w:rsidR="00C42D0F" w:rsidRPr="001334EC" w:rsidRDefault="00C42D0F" w:rsidP="004C20F2">
            <w:pPr>
              <w:suppressLineNumbers/>
              <w:suppressAutoHyphens/>
              <w:ind w:left="318"/>
              <w:rPr>
                <w:rFonts w:asciiTheme="majorBidi" w:hAnsiTheme="majorBidi" w:cstheme="majorBidi"/>
                <w:snapToGrid w:val="0"/>
                <w:kern w:val="22"/>
              </w:rPr>
            </w:pPr>
          </w:p>
          <w:p w:rsidR="00C42D0F" w:rsidRPr="001334EC" w:rsidRDefault="007D10EB" w:rsidP="004C20F2">
            <w:pPr>
              <w:suppressLineNumbers/>
              <w:suppressAutoHyphens/>
              <w:ind w:left="318"/>
              <w:rPr>
                <w:rFonts w:asciiTheme="majorBidi" w:hAnsiTheme="majorBidi" w:cstheme="majorBidi"/>
                <w:snapToGrid w:val="0"/>
                <w:kern w:val="22"/>
              </w:rPr>
            </w:pPr>
            <w:r w:rsidRPr="007D10EB">
              <w:rPr>
                <w:lang w:val="en-US"/>
              </w:rPr>
              <w:t>CBD/CP/MOP/DEC/10/3</w:t>
            </w:r>
            <w:r w:rsidR="00C4105C">
              <w:rPr>
                <w:rStyle w:val="afa"/>
                <w:lang w:val="en-US"/>
              </w:rPr>
              <w:footnoteReference w:customMarkFollows="1" w:id="1"/>
              <w:t>*</w:t>
            </w:r>
          </w:p>
          <w:p w:rsidR="00C42D0F" w:rsidRPr="001334EC" w:rsidRDefault="00D86DC5" w:rsidP="004C20F2">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lang w:val="en-US"/>
              </w:rPr>
              <w:t>1</w:t>
            </w:r>
            <w:r w:rsidR="007D10EB">
              <w:rPr>
                <w:rFonts w:asciiTheme="majorBidi" w:hAnsiTheme="majorBidi" w:cstheme="majorBidi"/>
                <w:snapToGrid w:val="0"/>
                <w:kern w:val="22"/>
                <w:lang w:val="ru-RU"/>
              </w:rPr>
              <w:t>9</w:t>
            </w:r>
            <w:r w:rsidR="00C42D0F" w:rsidRPr="00513FDC">
              <w:rPr>
                <w:rFonts w:asciiTheme="majorBidi" w:hAnsiTheme="majorBidi" w:cstheme="majorBidi"/>
                <w:snapToGrid w:val="0"/>
                <w:kern w:val="22"/>
                <w:lang w:val="en-US"/>
              </w:rPr>
              <w:t xml:space="preserve"> </w:t>
            </w:r>
            <w:r w:rsidR="00C42D0F">
              <w:rPr>
                <w:rFonts w:asciiTheme="majorBidi" w:hAnsiTheme="majorBidi" w:cstheme="majorBidi"/>
                <w:snapToGrid w:val="0"/>
                <w:kern w:val="22"/>
                <w:lang w:val="en-US"/>
              </w:rPr>
              <w:t>December</w:t>
            </w:r>
            <w:r w:rsidR="00C42D0F" w:rsidRPr="001334EC">
              <w:rPr>
                <w:rFonts w:asciiTheme="majorBidi" w:hAnsiTheme="majorBidi" w:cstheme="majorBidi"/>
                <w:snapToGrid w:val="0"/>
                <w:kern w:val="22"/>
              </w:rPr>
              <w:t xml:space="preserve"> 2022</w:t>
            </w:r>
          </w:p>
          <w:p w:rsidR="00C42D0F" w:rsidRPr="001334EC" w:rsidRDefault="00C42D0F" w:rsidP="004C20F2">
            <w:pPr>
              <w:suppressLineNumbers/>
              <w:suppressAutoHyphens/>
              <w:ind w:left="318"/>
              <w:rPr>
                <w:rFonts w:asciiTheme="majorBidi" w:hAnsiTheme="majorBidi" w:cstheme="majorBidi"/>
                <w:snapToGrid w:val="0"/>
                <w:kern w:val="22"/>
              </w:rPr>
            </w:pPr>
          </w:p>
          <w:p w:rsidR="00C42D0F" w:rsidRPr="00FE14F7" w:rsidRDefault="00C42D0F" w:rsidP="004C20F2">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rsidR="00C42D0F" w:rsidRPr="00731435" w:rsidRDefault="00C42D0F" w:rsidP="004C20F2">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rsidR="00C42D0F" w:rsidRDefault="00C42D0F" w:rsidP="00C42D0F">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rsidR="00C42D0F" w:rsidRPr="003E3A1C" w:rsidRDefault="00C42D0F" w:rsidP="00C42D0F">
      <w:pPr>
        <w:ind w:left="170" w:right="4115" w:hanging="170"/>
        <w:rPr>
          <w:lang w:val="ru-RU"/>
        </w:rPr>
      </w:pPr>
      <w:r>
        <w:rPr>
          <w:lang w:val="ru-RU"/>
        </w:rPr>
        <w:t xml:space="preserve">Десятое совещание, часть </w:t>
      </w:r>
      <w:r>
        <w:rPr>
          <w:lang w:val="fr-FR"/>
        </w:rPr>
        <w:t>II</w:t>
      </w:r>
    </w:p>
    <w:p w:rsidR="00C42D0F" w:rsidRPr="003E3A1C" w:rsidRDefault="00C42D0F" w:rsidP="00C42D0F">
      <w:pPr>
        <w:pStyle w:val="Cornernotation"/>
        <w:rPr>
          <w:lang w:val="ru-RU"/>
        </w:rPr>
      </w:pPr>
      <w:r>
        <w:rPr>
          <w:szCs w:val="22"/>
          <w:lang w:val="ru-RU"/>
        </w:rPr>
        <w:t>Монреаль, Канада, 7-19 декабря 2022 г</w:t>
      </w:r>
      <w:r w:rsidR="003B1ADF">
        <w:rPr>
          <w:szCs w:val="22"/>
          <w:lang w:val="ru-RU"/>
        </w:rPr>
        <w:t>ода</w:t>
      </w:r>
    </w:p>
    <w:p w:rsidR="00903805" w:rsidRDefault="00FD0463" w:rsidP="00903805">
      <w:pPr>
        <w:pStyle w:val="Cornernotation"/>
        <w:ind w:right="4784"/>
        <w:rPr>
          <w:lang w:val="ru-RU"/>
        </w:rPr>
      </w:pPr>
      <w:r>
        <w:rPr>
          <w:lang w:val="ru-RU"/>
        </w:rPr>
        <w:t>Пункт</w:t>
      </w:r>
      <w:r w:rsidR="00903805" w:rsidRPr="00237C67">
        <w:rPr>
          <w:lang w:val="ru-RU"/>
        </w:rPr>
        <w:t xml:space="preserve"> </w:t>
      </w:r>
      <w:r w:rsidR="00E02343" w:rsidRPr="00237C67">
        <w:rPr>
          <w:lang w:val="ru-RU"/>
        </w:rPr>
        <w:t>7</w:t>
      </w:r>
      <w:r w:rsidR="00E02343">
        <w:t>A</w:t>
      </w:r>
      <w:r>
        <w:rPr>
          <w:lang w:val="ru-RU"/>
        </w:rPr>
        <w:t xml:space="preserve"> повестки дня</w:t>
      </w:r>
    </w:p>
    <w:p w:rsidR="007D10EB" w:rsidRPr="00FD0463" w:rsidRDefault="007D10EB" w:rsidP="007D10EB">
      <w:pPr>
        <w:pStyle w:val="Cornernotation"/>
        <w:tabs>
          <w:tab w:val="left" w:pos="0"/>
        </w:tabs>
        <w:spacing w:before="240" w:after="240"/>
        <w:ind w:left="0" w:right="-23" w:firstLine="0"/>
        <w:jc w:val="center"/>
        <w:rPr>
          <w:lang w:val="ru-RU"/>
        </w:rPr>
      </w:pPr>
      <w:r>
        <w:rPr>
          <w:b/>
          <w:bCs/>
        </w:rPr>
        <w:t>РЕШЕНИЕ, ПРИНЯТОЕ СТОРОНАМИ КАРТАХЕНСКОГО ПРОТОКОЛА ПО БИОБЕЗОПАСНОСТИ</w:t>
      </w:r>
    </w:p>
    <w:p w:rsidR="00C9161D" w:rsidRPr="002670EE" w:rsidRDefault="009D5850" w:rsidP="00D42703">
      <w:pPr>
        <w:spacing w:before="240" w:after="240"/>
        <w:jc w:val="center"/>
        <w:rPr>
          <w:b/>
          <w:caps/>
          <w:lang w:val="ru-RU"/>
        </w:rPr>
      </w:pPr>
      <w:sdt>
        <w:sdtPr>
          <w:rPr>
            <w:b/>
            <w:bCs/>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sidR="007D10EB" w:rsidRPr="007D10EB">
            <w:rPr>
              <w:b/>
              <w:bCs/>
            </w:rPr>
            <w:t>CP-10/3.</w:t>
          </w:r>
          <w:r w:rsidR="007D10EB" w:rsidRPr="007D10EB">
            <w:rPr>
              <w:b/>
              <w:bCs/>
            </w:rPr>
            <w:tab/>
          </w:r>
          <w:proofErr w:type="spellStart"/>
          <w:r w:rsidR="007D10EB" w:rsidRPr="007D10EB">
            <w:rPr>
              <w:b/>
              <w:bCs/>
            </w:rPr>
            <w:t>План</w:t>
          </w:r>
          <w:proofErr w:type="spellEnd"/>
          <w:r w:rsidR="007D10EB" w:rsidRPr="007D10EB">
            <w:rPr>
              <w:b/>
              <w:bCs/>
            </w:rPr>
            <w:t xml:space="preserve"> </w:t>
          </w:r>
          <w:proofErr w:type="spellStart"/>
          <w:r w:rsidR="007D10EB" w:rsidRPr="007D10EB">
            <w:rPr>
              <w:b/>
              <w:bCs/>
            </w:rPr>
            <w:t>осуществления</w:t>
          </w:r>
          <w:proofErr w:type="spellEnd"/>
          <w:r w:rsidR="007D10EB" w:rsidRPr="007D10EB">
            <w:rPr>
              <w:b/>
              <w:bCs/>
            </w:rPr>
            <w:t xml:space="preserve"> Картахенского </w:t>
          </w:r>
          <w:proofErr w:type="spellStart"/>
          <w:r w:rsidR="007D10EB" w:rsidRPr="007D10EB">
            <w:rPr>
              <w:b/>
              <w:bCs/>
            </w:rPr>
            <w:t>протокола</w:t>
          </w:r>
          <w:proofErr w:type="spellEnd"/>
          <w:r w:rsidR="007D10EB" w:rsidRPr="007D10EB">
            <w:rPr>
              <w:b/>
              <w:bCs/>
            </w:rPr>
            <w:t xml:space="preserve"> по биобезопасности</w:t>
          </w:r>
        </w:sdtContent>
      </w:sdt>
      <w:r w:rsidR="00105372" w:rsidRPr="002670EE">
        <w:rPr>
          <w:b/>
          <w:caps/>
          <w:lang w:val="ru-RU"/>
        </w:rPr>
        <w:t xml:space="preserve"> </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i/>
          <w:iCs/>
          <w:lang w:val="ru-RU"/>
        </w:rPr>
        <w:t>Конференция Сторон, выступающая в качестве совещания Сторон Картахенского протокола по биобезопасности</w:t>
      </w:r>
      <w:r w:rsidRPr="00E76ED2">
        <w:rPr>
          <w:rFonts w:asciiTheme="majorBidi" w:hAnsiTheme="majorBidi" w:cstheme="majorBidi"/>
          <w:lang w:val="ru-RU"/>
        </w:rPr>
        <w:t>,</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i/>
          <w:lang w:val="ru-RU"/>
        </w:rPr>
        <w:t xml:space="preserve">признавая </w:t>
      </w:r>
      <w:r w:rsidRPr="00E76ED2">
        <w:rPr>
          <w:rFonts w:asciiTheme="majorBidi" w:hAnsiTheme="majorBidi"/>
          <w:lang w:val="ru-RU"/>
        </w:rPr>
        <w:t>целесообразность Стратегического плана для Картахенского протокола по биобезопасности на период 2011-2020 годов</w:t>
      </w:r>
      <w:r w:rsidRPr="00D5785A">
        <w:rPr>
          <w:rStyle w:val="afa"/>
          <w:rFonts w:asciiTheme="majorBidi" w:hAnsiTheme="majorBidi" w:cstheme="majorBidi"/>
          <w:lang w:val="ru-RU"/>
        </w:rPr>
        <w:footnoteReference w:id="2"/>
      </w:r>
      <w:r w:rsidRPr="00D5785A">
        <w:rPr>
          <w:rFonts w:asciiTheme="majorBidi" w:hAnsiTheme="majorBidi"/>
          <w:vertAlign w:val="superscript"/>
          <w:lang w:val="ru-RU"/>
        </w:rPr>
        <w:t xml:space="preserve"> </w:t>
      </w:r>
      <w:r w:rsidRPr="00E76ED2">
        <w:rPr>
          <w:rFonts w:asciiTheme="majorBidi" w:hAnsiTheme="majorBidi"/>
          <w:lang w:val="ru-RU"/>
        </w:rPr>
        <w:t>для оказания поддержки осуществлению на национальном уровне,</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i/>
          <w:lang w:val="ru-RU"/>
        </w:rPr>
        <w:t>ссылаясь</w:t>
      </w:r>
      <w:r w:rsidRPr="00E76ED2">
        <w:rPr>
          <w:rFonts w:asciiTheme="majorBidi" w:hAnsiTheme="majorBidi"/>
          <w:lang w:val="ru-RU"/>
        </w:rPr>
        <w:t xml:space="preserve"> на решение CP-9/7, в котором она постановила разработать план осуществления Картахенского протокола</w:t>
      </w:r>
      <w:r w:rsidR="007D10EB" w:rsidRPr="007D10EB">
        <w:rPr>
          <w:rFonts w:asciiTheme="majorBidi" w:hAnsiTheme="majorBidi"/>
          <w:lang w:val="ru-RU"/>
        </w:rPr>
        <w:t xml:space="preserve"> </w:t>
      </w:r>
      <w:r w:rsidR="007D10EB" w:rsidRPr="00E76ED2">
        <w:rPr>
          <w:rFonts w:asciiTheme="majorBidi" w:hAnsiTheme="majorBidi"/>
          <w:lang w:val="ru-RU"/>
        </w:rPr>
        <w:t>по биобезопасности</w:t>
      </w:r>
      <w:r w:rsidRPr="00E76ED2">
        <w:rPr>
          <w:rFonts w:asciiTheme="majorBidi" w:hAnsiTheme="majorBidi"/>
          <w:lang w:val="ru-RU"/>
        </w:rPr>
        <w:t>, основывающийся на глобальной рамочной программе в области биоразнообразия на период после 2020 года и дополняющий ее,</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i/>
          <w:lang w:val="ru-RU"/>
        </w:rPr>
        <w:t>ссылаясь также</w:t>
      </w:r>
      <w:r w:rsidRPr="00E76ED2">
        <w:rPr>
          <w:rFonts w:asciiTheme="majorBidi" w:hAnsiTheme="majorBidi"/>
          <w:lang w:val="ru-RU"/>
        </w:rPr>
        <w:t xml:space="preserve"> на решение CP-9/3, в котором она признала необходимость в конкретном плане действий по созданию потенциала для осуществления Картахенского протокола и Дополнительного протокола к нему, согласованном с планом осуществления </w:t>
      </w:r>
      <w:r w:rsidR="007D10EB">
        <w:rPr>
          <w:kern w:val="22"/>
          <w:szCs w:val="22"/>
          <w:lang w:val="ru-RU"/>
        </w:rPr>
        <w:t>Картахенского протокола по биобезопасности</w:t>
      </w:r>
      <w:r w:rsidR="007D10EB" w:rsidRPr="00E76ED2">
        <w:rPr>
          <w:rFonts w:asciiTheme="majorBidi" w:hAnsiTheme="majorBidi"/>
          <w:lang w:val="ru-RU"/>
        </w:rPr>
        <w:t xml:space="preserve"> </w:t>
      </w:r>
      <w:r w:rsidRPr="00E76ED2">
        <w:rPr>
          <w:rFonts w:asciiTheme="majorBidi" w:hAnsiTheme="majorBidi"/>
          <w:lang w:val="ru-RU"/>
        </w:rPr>
        <w:t>и дополняющем долгосрочную стратегическую структуру по созданию потенциала на период после 2020 года,</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i/>
          <w:iCs/>
          <w:lang w:val="ru-RU"/>
        </w:rPr>
        <w:t>приветствуя</w:t>
      </w:r>
      <w:r w:rsidRPr="00E76ED2">
        <w:rPr>
          <w:rFonts w:asciiTheme="majorBidi" w:hAnsiTheme="majorBidi"/>
          <w:lang w:val="ru-RU"/>
        </w:rPr>
        <w:t xml:space="preserve"> вклад Контактной группы по Картахенскому протоколу </w:t>
      </w:r>
      <w:r w:rsidR="00FC6A8A">
        <w:rPr>
          <w:kern w:val="22"/>
          <w:szCs w:val="22"/>
          <w:lang w:val="ru-RU"/>
        </w:rPr>
        <w:t>по биобезопасности</w:t>
      </w:r>
      <w:r w:rsidR="00FC6A8A" w:rsidRPr="00E76ED2">
        <w:rPr>
          <w:rFonts w:asciiTheme="majorBidi" w:hAnsiTheme="majorBidi"/>
          <w:lang w:val="ru-RU"/>
        </w:rPr>
        <w:t xml:space="preserve"> </w:t>
      </w:r>
      <w:r w:rsidRPr="00E76ED2">
        <w:rPr>
          <w:rFonts w:asciiTheme="majorBidi" w:hAnsiTheme="majorBidi"/>
          <w:lang w:val="ru-RU"/>
        </w:rPr>
        <w:t>в разработку плана осуществления, а также обзор, проведенный Вспомогательным органом по осуществлению на его третьем совещании,</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i/>
          <w:lang w:val="ru-RU"/>
        </w:rPr>
        <w:t>отмечая</w:t>
      </w:r>
      <w:r w:rsidRPr="00E76ED2">
        <w:rPr>
          <w:rFonts w:asciiTheme="majorBidi" w:hAnsiTheme="majorBidi"/>
          <w:lang w:val="ru-RU"/>
        </w:rPr>
        <w:t xml:space="preserve"> значение </w:t>
      </w:r>
      <w:r w:rsidR="00FC6A8A">
        <w:rPr>
          <w:kern w:val="22"/>
          <w:szCs w:val="22"/>
          <w:lang w:val="ru-RU"/>
        </w:rPr>
        <w:t>Картахенского протокола по биобезопасности</w:t>
      </w:r>
      <w:r w:rsidRPr="00E76ED2">
        <w:rPr>
          <w:rFonts w:asciiTheme="majorBidi" w:hAnsiTheme="majorBidi"/>
          <w:lang w:val="ru-RU"/>
        </w:rPr>
        <w:t xml:space="preserve">, </w:t>
      </w:r>
      <w:r w:rsidR="00960372">
        <w:rPr>
          <w:rFonts w:asciiTheme="majorBidi" w:hAnsiTheme="majorBidi"/>
          <w:lang w:val="ru-RU"/>
        </w:rPr>
        <w:t xml:space="preserve">а также </w:t>
      </w:r>
      <w:r w:rsidR="00FC6A8A">
        <w:rPr>
          <w:kern w:val="22"/>
          <w:szCs w:val="22"/>
          <w:lang w:val="ru-RU"/>
        </w:rPr>
        <w:t>Плана осуществления Картахенского протокола по биобезопасности</w:t>
      </w:r>
      <w:r w:rsidR="00FC6A8A" w:rsidRPr="00E76ED2">
        <w:rPr>
          <w:rFonts w:asciiTheme="majorBidi" w:hAnsiTheme="majorBidi"/>
          <w:lang w:val="ru-RU"/>
        </w:rPr>
        <w:t xml:space="preserve"> </w:t>
      </w:r>
      <w:r w:rsidRPr="00E76ED2">
        <w:rPr>
          <w:rFonts w:asciiTheme="majorBidi" w:hAnsiTheme="majorBidi"/>
          <w:lang w:val="ru-RU"/>
        </w:rPr>
        <w:t xml:space="preserve">и </w:t>
      </w:r>
      <w:r w:rsidR="00FC6A8A">
        <w:rPr>
          <w:kern w:val="22"/>
          <w:szCs w:val="22"/>
          <w:lang w:val="ru-RU"/>
        </w:rPr>
        <w:t xml:space="preserve">Плана действий по созданию потенциала для Картахенского протокола </w:t>
      </w:r>
      <w:r w:rsidR="00FC6A8A">
        <w:rPr>
          <w:lang w:val="ru-RU"/>
        </w:rPr>
        <w:t>по биобезопасности</w:t>
      </w:r>
      <w:r w:rsidR="00FC6A8A">
        <w:rPr>
          <w:iCs/>
          <w:vertAlign w:val="superscript"/>
          <w:lang w:val="ru-RU"/>
        </w:rPr>
        <w:footnoteReference w:id="3"/>
      </w:r>
      <w:r w:rsidR="00FC6A8A" w:rsidRPr="00E76ED2">
        <w:rPr>
          <w:rFonts w:asciiTheme="majorBidi" w:hAnsiTheme="majorBidi"/>
          <w:lang w:val="ru-RU"/>
        </w:rPr>
        <w:t xml:space="preserve"> </w:t>
      </w:r>
      <w:r w:rsidRPr="00E76ED2">
        <w:rPr>
          <w:rFonts w:asciiTheme="majorBidi" w:hAnsiTheme="majorBidi"/>
          <w:lang w:val="ru-RU"/>
        </w:rPr>
        <w:t>в качестве взаимосвязанных, но независимых планов для достижения целей Конвенции о биологическом разнообразии,</w:t>
      </w:r>
    </w:p>
    <w:p w:rsidR="00237C67" w:rsidRDefault="00237C67" w:rsidP="00F4432D">
      <w:pPr>
        <w:spacing w:before="115" w:after="115"/>
        <w:ind w:firstLine="720"/>
        <w:rPr>
          <w:rFonts w:asciiTheme="majorBidi" w:hAnsiTheme="majorBidi"/>
          <w:lang w:val="ru-RU"/>
        </w:rPr>
      </w:pPr>
      <w:r w:rsidRPr="00E76ED2">
        <w:rPr>
          <w:rFonts w:asciiTheme="majorBidi" w:hAnsiTheme="majorBidi"/>
          <w:i/>
          <w:lang w:val="ru-RU"/>
        </w:rPr>
        <w:t xml:space="preserve">признавая </w:t>
      </w:r>
      <w:r w:rsidRPr="00E76ED2">
        <w:rPr>
          <w:rFonts w:asciiTheme="majorBidi" w:hAnsiTheme="majorBidi"/>
          <w:lang w:val="ru-RU"/>
        </w:rPr>
        <w:t xml:space="preserve">потребность в периодическом </w:t>
      </w:r>
      <w:r w:rsidR="0085748E">
        <w:rPr>
          <w:rFonts w:asciiTheme="majorBidi" w:hAnsiTheme="majorBidi"/>
          <w:lang w:val="ru-RU"/>
        </w:rPr>
        <w:t>определении</w:t>
      </w:r>
      <w:r w:rsidRPr="00E76ED2">
        <w:rPr>
          <w:rFonts w:asciiTheme="majorBidi" w:hAnsiTheme="majorBidi"/>
          <w:lang w:val="ru-RU"/>
        </w:rPr>
        <w:t xml:space="preserve"> приоритетов для планирования и </w:t>
      </w:r>
      <w:r w:rsidR="0085748E">
        <w:rPr>
          <w:rFonts w:asciiTheme="majorBidi" w:hAnsiTheme="majorBidi"/>
          <w:lang w:val="ru-RU"/>
        </w:rPr>
        <w:t>разработки программы</w:t>
      </w:r>
      <w:r w:rsidRPr="00E76ED2">
        <w:rPr>
          <w:rFonts w:asciiTheme="majorBidi" w:hAnsiTheme="majorBidi"/>
          <w:lang w:val="ru-RU"/>
        </w:rPr>
        <w:t xml:space="preserve"> работы, которая должна быть проведена в рамках периода, охваченного планом осуществления,</w:t>
      </w:r>
    </w:p>
    <w:p w:rsidR="00D86DC5" w:rsidRPr="00D86DC5" w:rsidRDefault="00960372" w:rsidP="00F4432D">
      <w:pPr>
        <w:spacing w:before="115" w:after="115"/>
        <w:ind w:firstLine="720"/>
        <w:rPr>
          <w:rFonts w:asciiTheme="majorBidi" w:hAnsiTheme="majorBidi" w:cstheme="majorBidi"/>
          <w:i/>
          <w:spacing w:val="-2"/>
          <w:lang w:val="ru-RU"/>
        </w:rPr>
      </w:pPr>
      <w:r>
        <w:rPr>
          <w:rFonts w:asciiTheme="majorBidi" w:hAnsiTheme="majorBidi"/>
          <w:i/>
          <w:iCs/>
          <w:lang w:val="ru-RU"/>
        </w:rPr>
        <w:lastRenderedPageBreak/>
        <w:t>отмечая</w:t>
      </w:r>
      <w:r w:rsidR="00D86DC5">
        <w:rPr>
          <w:rFonts w:asciiTheme="majorBidi" w:hAnsiTheme="majorBidi"/>
          <w:lang w:val="ru-RU"/>
        </w:rPr>
        <w:t xml:space="preserve"> решение </w:t>
      </w:r>
      <w:r w:rsidR="00D86DC5">
        <w:rPr>
          <w:rFonts w:asciiTheme="majorBidi" w:hAnsiTheme="majorBidi"/>
          <w:lang w:val="en-US"/>
        </w:rPr>
        <w:t>CP</w:t>
      </w:r>
      <w:r w:rsidR="00D86DC5" w:rsidRPr="00D86DC5">
        <w:rPr>
          <w:rFonts w:asciiTheme="majorBidi" w:hAnsiTheme="majorBidi"/>
          <w:lang w:val="ru-RU"/>
        </w:rPr>
        <w:t>-10/</w:t>
      </w:r>
      <w:r>
        <w:rPr>
          <w:rFonts w:asciiTheme="majorBidi" w:hAnsiTheme="majorBidi"/>
          <w:lang w:val="ru-RU"/>
        </w:rPr>
        <w:t>6</w:t>
      </w:r>
      <w:r w:rsidR="00D86DC5">
        <w:rPr>
          <w:rFonts w:asciiTheme="majorBidi" w:hAnsiTheme="majorBidi"/>
          <w:lang w:val="ru-RU"/>
        </w:rPr>
        <w:t xml:space="preserve"> о вопросах, </w:t>
      </w:r>
      <w:r w:rsidR="00070D14">
        <w:rPr>
          <w:rFonts w:asciiTheme="majorBidi" w:hAnsiTheme="majorBidi"/>
          <w:lang w:val="ru-RU"/>
        </w:rPr>
        <w:t xml:space="preserve">касающихся механизма финансирования и </w:t>
      </w:r>
      <w:r w:rsidR="00380CC9">
        <w:rPr>
          <w:rFonts w:asciiTheme="majorBidi" w:hAnsiTheme="majorBidi"/>
          <w:lang w:val="ru-RU"/>
        </w:rPr>
        <w:t xml:space="preserve">финансовых </w:t>
      </w:r>
      <w:r w:rsidR="00070D14">
        <w:rPr>
          <w:rFonts w:asciiTheme="majorBidi" w:hAnsiTheme="majorBidi"/>
          <w:lang w:val="ru-RU"/>
        </w:rPr>
        <w:t>ресурсов,</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lang w:val="ru-RU"/>
        </w:rPr>
        <w:t>1.</w:t>
      </w:r>
      <w:r w:rsidRPr="00E76ED2">
        <w:rPr>
          <w:rFonts w:asciiTheme="majorBidi" w:hAnsiTheme="majorBidi"/>
          <w:lang w:val="ru-RU"/>
        </w:rPr>
        <w:tab/>
      </w:r>
      <w:r w:rsidRPr="00E76ED2">
        <w:rPr>
          <w:rFonts w:asciiTheme="majorBidi" w:hAnsiTheme="majorBidi"/>
          <w:i/>
          <w:iCs/>
          <w:lang w:val="ru-RU"/>
        </w:rPr>
        <w:t>принимает</w:t>
      </w:r>
      <w:r w:rsidRPr="00E76ED2">
        <w:rPr>
          <w:rFonts w:asciiTheme="majorBidi" w:hAnsiTheme="majorBidi"/>
          <w:lang w:val="ru-RU"/>
        </w:rPr>
        <w:t xml:space="preserve"> </w:t>
      </w:r>
      <w:r w:rsidR="001457E1">
        <w:rPr>
          <w:kern w:val="22"/>
          <w:szCs w:val="22"/>
          <w:lang w:val="ru-RU"/>
        </w:rPr>
        <w:t>План осуществления Картахенского протокола по биобезопасности</w:t>
      </w:r>
      <w:r w:rsidRPr="00E76ED2">
        <w:rPr>
          <w:rFonts w:asciiTheme="majorBidi" w:hAnsiTheme="majorBidi"/>
          <w:lang w:val="ru-RU"/>
        </w:rPr>
        <w:t>, приведенный в приложении к настоящему решению;</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lang w:val="ru-RU"/>
        </w:rPr>
        <w:t>2.</w:t>
      </w:r>
      <w:r w:rsidRPr="00E76ED2">
        <w:rPr>
          <w:rFonts w:asciiTheme="majorBidi" w:hAnsiTheme="majorBidi"/>
          <w:lang w:val="ru-RU"/>
        </w:rPr>
        <w:tab/>
      </w:r>
      <w:r w:rsidRPr="00E76ED2">
        <w:rPr>
          <w:rFonts w:asciiTheme="majorBidi" w:hAnsiTheme="majorBidi"/>
          <w:i/>
          <w:lang w:val="ru-RU"/>
        </w:rPr>
        <w:t>приветствует</w:t>
      </w:r>
      <w:r w:rsidRPr="00E76ED2">
        <w:rPr>
          <w:rFonts w:asciiTheme="majorBidi" w:hAnsiTheme="majorBidi"/>
          <w:lang w:val="ru-RU"/>
        </w:rPr>
        <w:t xml:space="preserve"> </w:t>
      </w:r>
      <w:proofErr w:type="spellStart"/>
      <w:r w:rsidR="00C12E9F" w:rsidRPr="00C12E9F">
        <w:rPr>
          <w:rFonts w:asciiTheme="majorBidi" w:hAnsiTheme="majorBidi"/>
          <w:lang w:val="ru-RU"/>
        </w:rPr>
        <w:t>Куньминско-Монреальскую</w:t>
      </w:r>
      <w:proofErr w:type="spellEnd"/>
      <w:r w:rsidR="00C12E9F" w:rsidRPr="00C12E9F">
        <w:rPr>
          <w:rFonts w:asciiTheme="majorBidi" w:hAnsiTheme="majorBidi"/>
          <w:lang w:val="ru-RU"/>
        </w:rPr>
        <w:t xml:space="preserve"> глобальную рамочную программу в области биоразнообразия</w:t>
      </w:r>
      <w:r w:rsidRPr="00E76ED2">
        <w:rPr>
          <w:rFonts w:asciiTheme="majorBidi" w:hAnsiTheme="majorBidi"/>
          <w:lang w:val="ru-RU"/>
        </w:rPr>
        <w:t>, принятую в решении 15/</w:t>
      </w:r>
      <w:r w:rsidR="005B54F1">
        <w:rPr>
          <w:rFonts w:asciiTheme="majorBidi" w:hAnsiTheme="majorBidi"/>
          <w:lang w:val="ru-RU"/>
        </w:rPr>
        <w:t>4</w:t>
      </w:r>
      <w:r w:rsidRPr="00E76ED2">
        <w:rPr>
          <w:rFonts w:asciiTheme="majorBidi" w:hAnsiTheme="majorBidi"/>
          <w:lang w:val="ru-RU"/>
        </w:rPr>
        <w:t>;</w:t>
      </w:r>
    </w:p>
    <w:p w:rsidR="00237C67" w:rsidRPr="00E76ED2" w:rsidRDefault="00237C67" w:rsidP="00F4432D">
      <w:pPr>
        <w:spacing w:before="115" w:after="115"/>
        <w:ind w:firstLine="720"/>
        <w:rPr>
          <w:rFonts w:asciiTheme="majorBidi" w:hAnsiTheme="majorBidi" w:cstheme="majorBidi"/>
          <w:lang w:val="ru-RU"/>
        </w:rPr>
      </w:pPr>
      <w:r w:rsidRPr="00E76ED2">
        <w:rPr>
          <w:rFonts w:asciiTheme="majorBidi" w:hAnsiTheme="majorBidi"/>
          <w:lang w:val="ru-RU"/>
        </w:rPr>
        <w:t>3.</w:t>
      </w:r>
      <w:r w:rsidRPr="00E76ED2">
        <w:rPr>
          <w:rFonts w:asciiTheme="majorBidi" w:hAnsiTheme="majorBidi"/>
          <w:lang w:val="ru-RU"/>
        </w:rPr>
        <w:tab/>
      </w:r>
      <w:r w:rsidRPr="00E76ED2">
        <w:rPr>
          <w:rFonts w:asciiTheme="majorBidi" w:hAnsiTheme="majorBidi"/>
          <w:i/>
          <w:lang w:val="ru-RU"/>
        </w:rPr>
        <w:t>признает</w:t>
      </w:r>
      <w:r w:rsidRPr="00E76ED2">
        <w:rPr>
          <w:rFonts w:asciiTheme="majorBidi" w:hAnsiTheme="majorBidi"/>
          <w:lang w:val="ru-RU"/>
        </w:rPr>
        <w:t xml:space="preserve"> дополняющую роль </w:t>
      </w:r>
      <w:r w:rsidR="00D62178">
        <w:rPr>
          <w:kern w:val="22"/>
          <w:szCs w:val="22"/>
          <w:lang w:val="ru-RU"/>
        </w:rPr>
        <w:t>Плана осуществления Картахенского протокола по биобезопасности</w:t>
      </w:r>
      <w:r w:rsidR="00D62178" w:rsidRPr="00E76ED2">
        <w:rPr>
          <w:rFonts w:asciiTheme="majorBidi" w:hAnsiTheme="majorBidi"/>
          <w:lang w:val="ru-RU"/>
        </w:rPr>
        <w:t xml:space="preserve"> </w:t>
      </w:r>
      <w:r w:rsidRPr="00E76ED2">
        <w:rPr>
          <w:rFonts w:asciiTheme="majorBidi" w:hAnsiTheme="majorBidi"/>
          <w:lang w:val="ru-RU"/>
        </w:rPr>
        <w:t xml:space="preserve">по отношению к </w:t>
      </w:r>
      <w:proofErr w:type="spellStart"/>
      <w:r w:rsidR="00D62178" w:rsidRPr="00C12E9F">
        <w:rPr>
          <w:rFonts w:asciiTheme="majorBidi" w:hAnsiTheme="majorBidi"/>
          <w:lang w:val="ru-RU"/>
        </w:rPr>
        <w:t>Куньминско-Монреальск</w:t>
      </w:r>
      <w:r w:rsidR="00D62178">
        <w:rPr>
          <w:rFonts w:asciiTheme="majorBidi" w:hAnsiTheme="majorBidi"/>
          <w:lang w:val="ru-RU"/>
        </w:rPr>
        <w:t>ой</w:t>
      </w:r>
      <w:proofErr w:type="spellEnd"/>
      <w:r w:rsidR="00D62178" w:rsidRPr="00C12E9F">
        <w:rPr>
          <w:rFonts w:asciiTheme="majorBidi" w:hAnsiTheme="majorBidi"/>
          <w:lang w:val="ru-RU"/>
        </w:rPr>
        <w:t xml:space="preserve"> глобальн</w:t>
      </w:r>
      <w:r w:rsidR="00D62178">
        <w:rPr>
          <w:rFonts w:asciiTheme="majorBidi" w:hAnsiTheme="majorBidi"/>
          <w:lang w:val="ru-RU"/>
        </w:rPr>
        <w:t>ой</w:t>
      </w:r>
      <w:r w:rsidR="00D62178" w:rsidRPr="00C12E9F">
        <w:rPr>
          <w:rFonts w:asciiTheme="majorBidi" w:hAnsiTheme="majorBidi"/>
          <w:lang w:val="ru-RU"/>
        </w:rPr>
        <w:t xml:space="preserve"> рамочн</w:t>
      </w:r>
      <w:r w:rsidR="00D62178">
        <w:rPr>
          <w:rFonts w:asciiTheme="majorBidi" w:hAnsiTheme="majorBidi"/>
          <w:lang w:val="ru-RU"/>
        </w:rPr>
        <w:t>ой</w:t>
      </w:r>
      <w:r w:rsidR="00D62178" w:rsidRPr="00C12E9F">
        <w:rPr>
          <w:rFonts w:asciiTheme="majorBidi" w:hAnsiTheme="majorBidi"/>
          <w:lang w:val="ru-RU"/>
        </w:rPr>
        <w:t xml:space="preserve"> программ</w:t>
      </w:r>
      <w:r w:rsidR="00D62178">
        <w:rPr>
          <w:rFonts w:asciiTheme="majorBidi" w:hAnsiTheme="majorBidi"/>
          <w:lang w:val="ru-RU"/>
        </w:rPr>
        <w:t>е</w:t>
      </w:r>
      <w:r w:rsidR="00D62178" w:rsidRPr="00C12E9F">
        <w:rPr>
          <w:rFonts w:asciiTheme="majorBidi" w:hAnsiTheme="majorBidi"/>
          <w:lang w:val="ru-RU"/>
        </w:rPr>
        <w:t xml:space="preserve"> в области биоразнообразия</w:t>
      </w:r>
      <w:r w:rsidRPr="00E76ED2">
        <w:rPr>
          <w:rFonts w:asciiTheme="majorBidi" w:hAnsiTheme="majorBidi"/>
          <w:lang w:val="ru-RU"/>
        </w:rPr>
        <w:t xml:space="preserve">, а также тот факт, что </w:t>
      </w:r>
      <w:r w:rsidR="00D62178">
        <w:rPr>
          <w:rFonts w:asciiTheme="majorBidi" w:hAnsiTheme="majorBidi"/>
          <w:lang w:val="ru-RU"/>
        </w:rPr>
        <w:t>П</w:t>
      </w:r>
      <w:r w:rsidRPr="00E76ED2">
        <w:rPr>
          <w:rFonts w:asciiTheme="majorBidi" w:hAnsiTheme="majorBidi"/>
          <w:lang w:val="ru-RU"/>
        </w:rPr>
        <w:t xml:space="preserve">лан осуществления может способствовать достижению </w:t>
      </w:r>
      <w:r w:rsidR="009B669E">
        <w:rPr>
          <w:rFonts w:asciiTheme="majorBidi" w:hAnsiTheme="majorBidi"/>
          <w:lang w:val="ru-RU"/>
        </w:rPr>
        <w:t xml:space="preserve">связанных с биобезопасностью </w:t>
      </w:r>
      <w:r w:rsidR="00070D14">
        <w:rPr>
          <w:rFonts w:asciiTheme="majorBidi" w:hAnsiTheme="majorBidi"/>
          <w:lang w:val="ru-RU"/>
        </w:rPr>
        <w:t>целей и задач</w:t>
      </w:r>
      <w:r w:rsidR="009B669E">
        <w:rPr>
          <w:rFonts w:asciiTheme="majorBidi" w:hAnsiTheme="majorBidi"/>
          <w:lang w:val="ru-RU"/>
        </w:rPr>
        <w:t xml:space="preserve"> </w:t>
      </w:r>
      <w:proofErr w:type="spellStart"/>
      <w:r w:rsidR="00D62178" w:rsidRPr="00C12E9F">
        <w:rPr>
          <w:rFonts w:asciiTheme="majorBidi" w:hAnsiTheme="majorBidi"/>
          <w:lang w:val="ru-RU"/>
        </w:rPr>
        <w:t>Куньминско-Монреальск</w:t>
      </w:r>
      <w:r w:rsidR="00D62178">
        <w:rPr>
          <w:rFonts w:asciiTheme="majorBidi" w:hAnsiTheme="majorBidi"/>
          <w:lang w:val="ru-RU"/>
        </w:rPr>
        <w:t>ой</w:t>
      </w:r>
      <w:proofErr w:type="spellEnd"/>
      <w:r w:rsidR="00D62178" w:rsidRPr="00C12E9F">
        <w:rPr>
          <w:rFonts w:asciiTheme="majorBidi" w:hAnsiTheme="majorBidi"/>
          <w:lang w:val="ru-RU"/>
        </w:rPr>
        <w:t xml:space="preserve"> глобальн</w:t>
      </w:r>
      <w:r w:rsidR="00D62178">
        <w:rPr>
          <w:rFonts w:asciiTheme="majorBidi" w:hAnsiTheme="majorBidi"/>
          <w:lang w:val="ru-RU"/>
        </w:rPr>
        <w:t>ой</w:t>
      </w:r>
      <w:r w:rsidR="00D62178" w:rsidRPr="00C12E9F">
        <w:rPr>
          <w:rFonts w:asciiTheme="majorBidi" w:hAnsiTheme="majorBidi"/>
          <w:lang w:val="ru-RU"/>
        </w:rPr>
        <w:t xml:space="preserve"> рамочн</w:t>
      </w:r>
      <w:r w:rsidR="00D62178">
        <w:rPr>
          <w:rFonts w:asciiTheme="majorBidi" w:hAnsiTheme="majorBidi"/>
          <w:lang w:val="ru-RU"/>
        </w:rPr>
        <w:t>ой</w:t>
      </w:r>
      <w:r w:rsidR="00D62178" w:rsidRPr="00C12E9F">
        <w:rPr>
          <w:rFonts w:asciiTheme="majorBidi" w:hAnsiTheme="majorBidi"/>
          <w:lang w:val="ru-RU"/>
        </w:rPr>
        <w:t xml:space="preserve"> программ</w:t>
      </w:r>
      <w:r w:rsidR="00D04759">
        <w:rPr>
          <w:rFonts w:asciiTheme="majorBidi" w:hAnsiTheme="majorBidi"/>
          <w:lang w:val="ru-RU"/>
        </w:rPr>
        <w:t>ы</w:t>
      </w:r>
      <w:r w:rsidR="00D62178" w:rsidRPr="00C12E9F">
        <w:rPr>
          <w:rFonts w:asciiTheme="majorBidi" w:hAnsiTheme="majorBidi"/>
          <w:lang w:val="ru-RU"/>
        </w:rPr>
        <w:t xml:space="preserve"> в области биоразнообразия</w:t>
      </w:r>
      <w:r w:rsidRPr="00E76ED2">
        <w:rPr>
          <w:rFonts w:asciiTheme="majorBidi" w:hAnsiTheme="majorBidi"/>
          <w:lang w:val="ru-RU"/>
        </w:rPr>
        <w:t xml:space="preserve">, особенно для </w:t>
      </w:r>
      <w:r w:rsidR="00D62178">
        <w:rPr>
          <w:rFonts w:asciiTheme="majorBidi" w:hAnsiTheme="majorBidi"/>
          <w:lang w:val="ru-RU"/>
        </w:rPr>
        <w:t>С</w:t>
      </w:r>
      <w:r w:rsidRPr="00E76ED2">
        <w:rPr>
          <w:rFonts w:asciiTheme="majorBidi" w:hAnsiTheme="majorBidi"/>
          <w:lang w:val="ru-RU"/>
        </w:rPr>
        <w:t xml:space="preserve">торон Конвенции, которые также являются </w:t>
      </w:r>
      <w:r w:rsidR="00D62178">
        <w:rPr>
          <w:rFonts w:asciiTheme="majorBidi" w:hAnsiTheme="majorBidi"/>
          <w:lang w:val="ru-RU"/>
        </w:rPr>
        <w:t>С</w:t>
      </w:r>
      <w:r w:rsidRPr="00E76ED2">
        <w:rPr>
          <w:rFonts w:asciiTheme="majorBidi" w:hAnsiTheme="majorBidi"/>
          <w:lang w:val="ru-RU"/>
        </w:rPr>
        <w:t>торонами Картахенского протокола;</w:t>
      </w:r>
    </w:p>
    <w:p w:rsidR="00237C67" w:rsidRDefault="00237C67" w:rsidP="00F4432D">
      <w:pPr>
        <w:spacing w:before="115" w:after="115"/>
        <w:ind w:firstLine="720"/>
        <w:rPr>
          <w:rFonts w:asciiTheme="majorBidi" w:hAnsiTheme="majorBidi"/>
          <w:lang w:val="ru-RU"/>
        </w:rPr>
      </w:pPr>
      <w:r w:rsidRPr="00E76ED2">
        <w:rPr>
          <w:rFonts w:asciiTheme="majorBidi" w:hAnsiTheme="majorBidi"/>
          <w:lang w:val="ru-RU"/>
        </w:rPr>
        <w:t>4.</w:t>
      </w:r>
      <w:r w:rsidRPr="00E76ED2">
        <w:rPr>
          <w:rFonts w:asciiTheme="majorBidi" w:hAnsiTheme="majorBidi"/>
          <w:lang w:val="ru-RU"/>
        </w:rPr>
        <w:tab/>
      </w:r>
      <w:r w:rsidRPr="00E76ED2">
        <w:rPr>
          <w:rFonts w:asciiTheme="majorBidi" w:hAnsiTheme="majorBidi"/>
          <w:i/>
          <w:lang w:val="ru-RU"/>
        </w:rPr>
        <w:t xml:space="preserve">настоятельно призывает </w:t>
      </w:r>
      <w:r w:rsidRPr="00E76ED2">
        <w:rPr>
          <w:rFonts w:asciiTheme="majorBidi" w:hAnsiTheme="majorBidi"/>
          <w:lang w:val="ru-RU"/>
        </w:rPr>
        <w:t xml:space="preserve">Стороны и </w:t>
      </w:r>
      <w:r w:rsidRPr="004E2105">
        <w:rPr>
          <w:rFonts w:asciiTheme="majorBidi" w:hAnsiTheme="majorBidi"/>
          <w:iCs/>
          <w:lang w:val="ru-RU"/>
        </w:rPr>
        <w:t>предлагает</w:t>
      </w:r>
      <w:r w:rsidRPr="00E76ED2">
        <w:rPr>
          <w:rFonts w:asciiTheme="majorBidi" w:hAnsiTheme="majorBidi"/>
          <w:i/>
          <w:lang w:val="ru-RU"/>
        </w:rPr>
        <w:t xml:space="preserve"> </w:t>
      </w:r>
      <w:r w:rsidRPr="00E76ED2">
        <w:rPr>
          <w:rFonts w:asciiTheme="majorBidi" w:hAnsiTheme="majorBidi"/>
          <w:lang w:val="ru-RU"/>
        </w:rPr>
        <w:t xml:space="preserve">другим правительствам пересмотреть и при необходимости согласовать </w:t>
      </w:r>
      <w:r w:rsidR="00B35F3C" w:rsidRPr="00E76ED2">
        <w:rPr>
          <w:rFonts w:asciiTheme="majorBidi" w:hAnsiTheme="majorBidi"/>
          <w:lang w:val="ru-RU"/>
        </w:rPr>
        <w:t xml:space="preserve">с </w:t>
      </w:r>
      <w:r w:rsidR="00B35F3C">
        <w:rPr>
          <w:rFonts w:asciiTheme="majorBidi" w:hAnsiTheme="majorBidi"/>
          <w:lang w:val="ru-RU"/>
        </w:rPr>
        <w:t>П</w:t>
      </w:r>
      <w:r w:rsidR="00B35F3C" w:rsidRPr="00E76ED2">
        <w:rPr>
          <w:rFonts w:asciiTheme="majorBidi" w:hAnsiTheme="majorBidi"/>
          <w:lang w:val="ru-RU"/>
        </w:rPr>
        <w:t xml:space="preserve">ланом осуществления </w:t>
      </w:r>
      <w:r w:rsidRPr="00E76ED2">
        <w:rPr>
          <w:rFonts w:asciiTheme="majorBidi" w:hAnsiTheme="majorBidi"/>
          <w:lang w:val="ru-RU"/>
        </w:rPr>
        <w:t>их национальные планы действий и программы, имеющие отношение к осуществлению Протокола, включая их национальные стратегии и планы действий по сохранению биоразнообразия;</w:t>
      </w:r>
    </w:p>
    <w:p w:rsidR="00237C67" w:rsidRPr="00A6443F" w:rsidRDefault="00A6443F" w:rsidP="00A6443F">
      <w:pPr>
        <w:spacing w:before="120" w:after="120"/>
        <w:ind w:firstLine="720"/>
        <w:rPr>
          <w:rFonts w:asciiTheme="majorBidi" w:hAnsiTheme="majorBidi" w:cstheme="majorBidi"/>
          <w:szCs w:val="22"/>
          <w:lang w:val="ru-RU"/>
        </w:rPr>
      </w:pPr>
      <w:r>
        <w:rPr>
          <w:rFonts w:asciiTheme="majorBidi" w:hAnsiTheme="majorBidi" w:cstheme="majorBidi"/>
          <w:szCs w:val="22"/>
          <w:lang w:val="ru-RU"/>
        </w:rPr>
        <w:t>5</w:t>
      </w:r>
      <w:r w:rsidR="00237C67" w:rsidRPr="00A6443F">
        <w:rPr>
          <w:rFonts w:asciiTheme="majorBidi" w:hAnsiTheme="majorBidi" w:cstheme="majorBidi"/>
          <w:szCs w:val="22"/>
          <w:lang w:val="ru-RU"/>
        </w:rPr>
        <w:t>.</w:t>
      </w:r>
      <w:r w:rsidR="00237C67" w:rsidRPr="00A6443F">
        <w:rPr>
          <w:rFonts w:asciiTheme="majorBidi" w:hAnsiTheme="majorBidi" w:cstheme="majorBidi"/>
          <w:szCs w:val="22"/>
          <w:lang w:val="ru-RU"/>
        </w:rPr>
        <w:tab/>
      </w:r>
      <w:r w:rsidR="00237C67" w:rsidRPr="00A6443F">
        <w:rPr>
          <w:rFonts w:asciiTheme="majorBidi" w:hAnsiTheme="majorBidi" w:cstheme="majorBidi"/>
          <w:i/>
          <w:iCs/>
          <w:szCs w:val="22"/>
          <w:lang w:val="ru-RU"/>
        </w:rPr>
        <w:t>постановляет</w:t>
      </w:r>
      <w:r w:rsidR="00237C67" w:rsidRPr="00A6443F">
        <w:rPr>
          <w:rFonts w:asciiTheme="majorBidi" w:hAnsiTheme="majorBidi" w:cstheme="majorBidi"/>
          <w:szCs w:val="22"/>
          <w:lang w:val="ru-RU"/>
        </w:rPr>
        <w:t xml:space="preserve">, что базовые показатели </w:t>
      </w:r>
      <w:r w:rsidR="009F3E82">
        <w:rPr>
          <w:rFonts w:asciiTheme="majorBidi" w:hAnsiTheme="majorBidi" w:cstheme="majorBidi"/>
          <w:szCs w:val="22"/>
          <w:lang w:val="ru-RU"/>
        </w:rPr>
        <w:t>П</w:t>
      </w:r>
      <w:r w:rsidR="00237C67" w:rsidRPr="00A6443F">
        <w:rPr>
          <w:rFonts w:asciiTheme="majorBidi" w:hAnsiTheme="majorBidi" w:cstheme="majorBidi"/>
          <w:szCs w:val="22"/>
          <w:lang w:val="ru-RU"/>
        </w:rPr>
        <w:t>лана осуществления должны включать в себя информацию, собранную в ходе четвертого цикла представления отчетности</w:t>
      </w:r>
      <w:r w:rsidR="00237C67" w:rsidRPr="00D62178">
        <w:rPr>
          <w:vertAlign w:val="superscript"/>
        </w:rPr>
        <w:footnoteReference w:id="4"/>
      </w:r>
      <w:r w:rsidR="00237C67" w:rsidRPr="00A6443F">
        <w:rPr>
          <w:rFonts w:asciiTheme="majorBidi" w:hAnsiTheme="majorBidi" w:cstheme="majorBidi"/>
          <w:szCs w:val="22"/>
          <w:lang w:val="ru-RU"/>
        </w:rPr>
        <w:t>;</w:t>
      </w:r>
    </w:p>
    <w:p w:rsidR="00237C67" w:rsidRPr="00A6443F" w:rsidRDefault="00A6443F" w:rsidP="00A6443F">
      <w:pPr>
        <w:spacing w:before="120" w:after="120"/>
        <w:ind w:firstLine="720"/>
        <w:rPr>
          <w:rFonts w:asciiTheme="majorBidi" w:hAnsiTheme="majorBidi" w:cstheme="majorBidi"/>
          <w:szCs w:val="22"/>
          <w:lang w:val="ru-RU"/>
        </w:rPr>
      </w:pPr>
      <w:r>
        <w:rPr>
          <w:rFonts w:asciiTheme="majorBidi" w:hAnsiTheme="majorBidi" w:cstheme="majorBidi"/>
          <w:szCs w:val="22"/>
          <w:lang w:val="ru-RU"/>
        </w:rPr>
        <w:t>6</w:t>
      </w:r>
      <w:r w:rsidR="00237C67" w:rsidRPr="00A6443F">
        <w:rPr>
          <w:rFonts w:asciiTheme="majorBidi" w:hAnsiTheme="majorBidi" w:cstheme="majorBidi"/>
          <w:szCs w:val="22"/>
          <w:lang w:val="ru-RU"/>
        </w:rPr>
        <w:t>.</w:t>
      </w:r>
      <w:r w:rsidR="00237C67" w:rsidRPr="00A6443F">
        <w:rPr>
          <w:rFonts w:asciiTheme="majorBidi" w:hAnsiTheme="majorBidi" w:cstheme="majorBidi"/>
          <w:szCs w:val="22"/>
          <w:lang w:val="ru-RU"/>
        </w:rPr>
        <w:tab/>
      </w:r>
      <w:r w:rsidR="00237C67" w:rsidRPr="00A6443F">
        <w:rPr>
          <w:rFonts w:asciiTheme="majorBidi" w:hAnsiTheme="majorBidi" w:cstheme="majorBidi"/>
          <w:i/>
          <w:iCs/>
          <w:szCs w:val="22"/>
          <w:lang w:val="ru-RU"/>
        </w:rPr>
        <w:t>также постановляет</w:t>
      </w:r>
      <w:r w:rsidR="00237C67" w:rsidRPr="00A6443F">
        <w:rPr>
          <w:rFonts w:asciiTheme="majorBidi" w:hAnsiTheme="majorBidi" w:cstheme="majorBidi"/>
          <w:szCs w:val="22"/>
          <w:lang w:val="ru-RU"/>
        </w:rPr>
        <w:t xml:space="preserve"> провести промежуточную оценку </w:t>
      </w:r>
      <w:r w:rsidR="009F3E82">
        <w:rPr>
          <w:rFonts w:asciiTheme="majorBidi" w:hAnsiTheme="majorBidi" w:cstheme="majorBidi"/>
          <w:szCs w:val="22"/>
          <w:lang w:val="ru-RU"/>
        </w:rPr>
        <w:t>П</w:t>
      </w:r>
      <w:r w:rsidR="00237C67" w:rsidRPr="00A6443F">
        <w:rPr>
          <w:rFonts w:asciiTheme="majorBidi" w:hAnsiTheme="majorBidi" w:cstheme="majorBidi"/>
          <w:szCs w:val="22"/>
          <w:lang w:val="ru-RU"/>
        </w:rPr>
        <w:t xml:space="preserve">лана осуществления одновременно с проведением пятой оценки и обзора </w:t>
      </w:r>
      <w:r w:rsidR="009F3E82">
        <w:rPr>
          <w:rFonts w:asciiTheme="majorBidi" w:hAnsiTheme="majorBidi" w:cstheme="majorBidi"/>
          <w:szCs w:val="22"/>
          <w:lang w:val="ru-RU"/>
        </w:rPr>
        <w:t xml:space="preserve">эффективности </w:t>
      </w:r>
      <w:r w:rsidR="00237C67" w:rsidRPr="00A6443F">
        <w:rPr>
          <w:rFonts w:asciiTheme="majorBidi" w:hAnsiTheme="majorBidi" w:cstheme="majorBidi"/>
          <w:szCs w:val="22"/>
          <w:lang w:val="ru-RU"/>
        </w:rPr>
        <w:t>Протокола</w:t>
      </w:r>
      <w:r w:rsidR="008C4DB6">
        <w:rPr>
          <w:rFonts w:asciiTheme="majorBidi" w:hAnsiTheme="majorBidi" w:cstheme="majorBidi"/>
          <w:szCs w:val="22"/>
          <w:lang w:val="ru-RU"/>
        </w:rPr>
        <w:t>;</w:t>
      </w:r>
    </w:p>
    <w:p w:rsidR="00237C67" w:rsidRPr="00A81A4C" w:rsidRDefault="00A6443F" w:rsidP="00A6443F">
      <w:pPr>
        <w:spacing w:before="120" w:after="120"/>
        <w:ind w:firstLine="720"/>
        <w:rPr>
          <w:rFonts w:asciiTheme="majorBidi" w:hAnsiTheme="majorBidi" w:cstheme="majorBidi"/>
          <w:szCs w:val="22"/>
          <w:lang w:val="ru-RU"/>
        </w:rPr>
      </w:pPr>
      <w:r>
        <w:rPr>
          <w:rFonts w:asciiTheme="majorBidi" w:hAnsiTheme="majorBidi" w:cstheme="majorBidi"/>
          <w:szCs w:val="22"/>
          <w:lang w:val="ru-RU"/>
        </w:rPr>
        <w:t>7</w:t>
      </w:r>
      <w:r w:rsidR="00237C67" w:rsidRPr="00A81A4C">
        <w:rPr>
          <w:rFonts w:asciiTheme="majorBidi" w:hAnsiTheme="majorBidi" w:cstheme="majorBidi"/>
          <w:szCs w:val="22"/>
          <w:lang w:val="ru-RU"/>
        </w:rPr>
        <w:t>.</w:t>
      </w:r>
      <w:r w:rsidR="00237C67" w:rsidRPr="00A81A4C">
        <w:rPr>
          <w:rFonts w:asciiTheme="majorBidi" w:hAnsiTheme="majorBidi" w:cstheme="majorBidi"/>
          <w:szCs w:val="22"/>
          <w:lang w:val="ru-RU"/>
        </w:rPr>
        <w:tab/>
      </w:r>
      <w:r w:rsidR="00237C67" w:rsidRPr="00A81A4C">
        <w:rPr>
          <w:rFonts w:asciiTheme="majorBidi" w:hAnsiTheme="majorBidi" w:cstheme="majorBidi"/>
          <w:i/>
          <w:iCs/>
          <w:szCs w:val="22"/>
          <w:lang w:val="ru-RU"/>
        </w:rPr>
        <w:t>поручает</w:t>
      </w:r>
      <w:r w:rsidR="00237C67" w:rsidRPr="00A81A4C">
        <w:rPr>
          <w:rFonts w:asciiTheme="majorBidi" w:hAnsiTheme="majorBidi" w:cstheme="majorBidi"/>
          <w:szCs w:val="22"/>
          <w:lang w:val="ru-RU"/>
        </w:rPr>
        <w:t xml:space="preserve"> Исполнительному секретарю (</w:t>
      </w:r>
      <w:r w:rsidR="00237C67" w:rsidRPr="00A6443F">
        <w:rPr>
          <w:rFonts w:asciiTheme="majorBidi" w:hAnsiTheme="majorBidi" w:cstheme="majorBidi"/>
          <w:szCs w:val="22"/>
        </w:rPr>
        <w:t>a</w:t>
      </w:r>
      <w:r w:rsidR="00237C67" w:rsidRPr="00A81A4C">
        <w:rPr>
          <w:rFonts w:asciiTheme="majorBidi" w:hAnsiTheme="majorBidi" w:cstheme="majorBidi"/>
          <w:szCs w:val="22"/>
          <w:lang w:val="ru-RU"/>
        </w:rPr>
        <w:t xml:space="preserve">) включить в форму представления отчетности в рамках пятого национального доклада об осуществлении Картахенского протокола по биобезопасности вопросы, предназначенные для получения информации по индикаторам, предусмотренным в </w:t>
      </w:r>
      <w:r w:rsidR="009C3D95">
        <w:rPr>
          <w:rFonts w:asciiTheme="majorBidi" w:hAnsiTheme="majorBidi" w:cstheme="majorBidi"/>
          <w:szCs w:val="22"/>
          <w:lang w:val="ru-RU"/>
        </w:rPr>
        <w:t>П</w:t>
      </w:r>
      <w:r w:rsidR="00237C67" w:rsidRPr="00A81A4C">
        <w:rPr>
          <w:rFonts w:asciiTheme="majorBidi" w:hAnsiTheme="majorBidi" w:cstheme="majorBidi"/>
          <w:szCs w:val="22"/>
          <w:lang w:val="ru-RU"/>
        </w:rPr>
        <w:t>лане осуществления; и (</w:t>
      </w:r>
      <w:r w:rsidR="00237C67" w:rsidRPr="00A6443F">
        <w:rPr>
          <w:rFonts w:asciiTheme="majorBidi" w:hAnsiTheme="majorBidi" w:cstheme="majorBidi"/>
          <w:szCs w:val="22"/>
        </w:rPr>
        <w:t>b</w:t>
      </w:r>
      <w:r w:rsidR="00237C67" w:rsidRPr="00A81A4C">
        <w:rPr>
          <w:rFonts w:asciiTheme="majorBidi" w:hAnsiTheme="majorBidi" w:cstheme="majorBidi"/>
          <w:szCs w:val="22"/>
          <w:lang w:val="ru-RU"/>
        </w:rPr>
        <w:t xml:space="preserve">) проанализировать и обобщить информацию для </w:t>
      </w:r>
      <w:r w:rsidR="008C4DB6">
        <w:rPr>
          <w:rFonts w:asciiTheme="majorBidi" w:hAnsiTheme="majorBidi" w:cstheme="majorBidi"/>
          <w:szCs w:val="22"/>
          <w:lang w:val="ru-RU"/>
        </w:rPr>
        <w:t>содействия</w:t>
      </w:r>
      <w:r w:rsidR="00237C67" w:rsidRPr="00A81A4C">
        <w:rPr>
          <w:rFonts w:asciiTheme="majorBidi" w:hAnsiTheme="majorBidi" w:cstheme="majorBidi"/>
          <w:szCs w:val="22"/>
          <w:lang w:val="ru-RU"/>
        </w:rPr>
        <w:t xml:space="preserve"> проведени</w:t>
      </w:r>
      <w:r w:rsidR="008C4DB6">
        <w:rPr>
          <w:rFonts w:asciiTheme="majorBidi" w:hAnsiTheme="majorBidi" w:cstheme="majorBidi"/>
          <w:szCs w:val="22"/>
          <w:lang w:val="ru-RU"/>
        </w:rPr>
        <w:t>ю</w:t>
      </w:r>
      <w:r w:rsidR="00237C67" w:rsidRPr="00A81A4C">
        <w:rPr>
          <w:rFonts w:asciiTheme="majorBidi" w:hAnsiTheme="majorBidi" w:cstheme="majorBidi"/>
          <w:szCs w:val="22"/>
          <w:lang w:val="ru-RU"/>
        </w:rPr>
        <w:t xml:space="preserve"> промежуточной оценки одновременно с пятой оценкой и обзором </w:t>
      </w:r>
      <w:r w:rsidR="009C3D95">
        <w:rPr>
          <w:rFonts w:asciiTheme="majorBidi" w:hAnsiTheme="majorBidi" w:cstheme="majorBidi"/>
          <w:szCs w:val="22"/>
          <w:lang w:val="ru-RU"/>
        </w:rPr>
        <w:t xml:space="preserve">эффективности </w:t>
      </w:r>
      <w:r w:rsidR="00237C67" w:rsidRPr="00A81A4C">
        <w:rPr>
          <w:rFonts w:asciiTheme="majorBidi" w:hAnsiTheme="majorBidi" w:cstheme="majorBidi"/>
          <w:szCs w:val="22"/>
          <w:lang w:val="ru-RU"/>
        </w:rPr>
        <w:t>Картахенского протокола и предоставить эту информацию Контактной группе по Картахенскому протоколу и в необходимых случаях Комитету по соблюдению;</w:t>
      </w:r>
    </w:p>
    <w:p w:rsidR="00237C67" w:rsidRPr="00A6443F" w:rsidRDefault="00A6443F" w:rsidP="00A6443F">
      <w:pPr>
        <w:spacing w:before="120" w:after="120"/>
        <w:ind w:firstLine="720"/>
        <w:rPr>
          <w:rFonts w:asciiTheme="majorBidi" w:hAnsiTheme="majorBidi" w:cstheme="majorBidi"/>
          <w:szCs w:val="22"/>
          <w:lang w:val="ru-RU"/>
        </w:rPr>
      </w:pPr>
      <w:r>
        <w:rPr>
          <w:rFonts w:asciiTheme="majorBidi" w:hAnsiTheme="majorBidi" w:cstheme="majorBidi"/>
          <w:szCs w:val="22"/>
          <w:lang w:val="ru-RU"/>
        </w:rPr>
        <w:t>8</w:t>
      </w:r>
      <w:r w:rsidR="00237C67" w:rsidRPr="00A6443F">
        <w:rPr>
          <w:rFonts w:asciiTheme="majorBidi" w:hAnsiTheme="majorBidi" w:cstheme="majorBidi"/>
          <w:szCs w:val="22"/>
          <w:lang w:val="ru-RU"/>
        </w:rPr>
        <w:t>.</w:t>
      </w:r>
      <w:r w:rsidR="00237C67" w:rsidRPr="00A6443F">
        <w:rPr>
          <w:rFonts w:asciiTheme="majorBidi" w:hAnsiTheme="majorBidi" w:cstheme="majorBidi"/>
          <w:szCs w:val="22"/>
          <w:lang w:val="ru-RU"/>
        </w:rPr>
        <w:tab/>
      </w:r>
      <w:r w:rsidR="00237C67" w:rsidRPr="00A6443F">
        <w:rPr>
          <w:rFonts w:asciiTheme="majorBidi" w:hAnsiTheme="majorBidi" w:cstheme="majorBidi"/>
          <w:i/>
          <w:iCs/>
          <w:szCs w:val="22"/>
          <w:lang w:val="ru-RU"/>
        </w:rPr>
        <w:t>поручает</w:t>
      </w:r>
      <w:r w:rsidR="00237C67" w:rsidRPr="00A6443F">
        <w:rPr>
          <w:rFonts w:asciiTheme="majorBidi" w:hAnsiTheme="majorBidi" w:cstheme="majorBidi"/>
          <w:szCs w:val="22"/>
          <w:lang w:val="ru-RU"/>
        </w:rPr>
        <w:t xml:space="preserve"> Контактной группе по Картахенскому протоколу по биобезопасности и Комитету по соблюдению сообразно обстоятельствам, дополняя и не дублируя работу друг друга, содействовать проведению промежуточной оценки </w:t>
      </w:r>
      <w:r w:rsidR="009C3D95">
        <w:rPr>
          <w:rFonts w:asciiTheme="majorBidi" w:hAnsiTheme="majorBidi" w:cstheme="majorBidi"/>
          <w:szCs w:val="22"/>
          <w:lang w:val="ru-RU"/>
        </w:rPr>
        <w:t>П</w:t>
      </w:r>
      <w:r w:rsidR="00237C67" w:rsidRPr="00A6443F">
        <w:rPr>
          <w:rFonts w:asciiTheme="majorBidi" w:hAnsiTheme="majorBidi" w:cstheme="majorBidi"/>
          <w:szCs w:val="22"/>
          <w:lang w:val="ru-RU"/>
        </w:rPr>
        <w:t xml:space="preserve">лана осуществления и представить свои выводы </w:t>
      </w:r>
      <w:r w:rsidR="008C4DB6">
        <w:rPr>
          <w:rFonts w:asciiTheme="majorBidi" w:hAnsiTheme="majorBidi" w:cstheme="majorBidi"/>
          <w:szCs w:val="22"/>
          <w:lang w:val="ru-RU"/>
        </w:rPr>
        <w:t>на</w:t>
      </w:r>
      <w:r w:rsidR="00237C67" w:rsidRPr="00A6443F">
        <w:rPr>
          <w:rFonts w:asciiTheme="majorBidi" w:hAnsiTheme="majorBidi" w:cstheme="majorBidi"/>
          <w:szCs w:val="22"/>
          <w:lang w:val="ru-RU"/>
        </w:rPr>
        <w:t xml:space="preserve"> рассмотрени</w:t>
      </w:r>
      <w:r w:rsidR="008C4DB6">
        <w:rPr>
          <w:rFonts w:asciiTheme="majorBidi" w:hAnsiTheme="majorBidi" w:cstheme="majorBidi"/>
          <w:szCs w:val="22"/>
          <w:lang w:val="ru-RU"/>
        </w:rPr>
        <w:t>е</w:t>
      </w:r>
      <w:r w:rsidR="00237C67" w:rsidRPr="00A6443F">
        <w:rPr>
          <w:rFonts w:asciiTheme="majorBidi" w:hAnsiTheme="majorBidi" w:cstheme="majorBidi"/>
          <w:szCs w:val="22"/>
          <w:lang w:val="ru-RU"/>
        </w:rPr>
        <w:t xml:space="preserve"> Вспомогательн</w:t>
      </w:r>
      <w:r w:rsidR="008C4DB6">
        <w:rPr>
          <w:rFonts w:asciiTheme="majorBidi" w:hAnsiTheme="majorBidi" w:cstheme="majorBidi"/>
          <w:szCs w:val="22"/>
          <w:lang w:val="ru-RU"/>
        </w:rPr>
        <w:t>ому</w:t>
      </w:r>
      <w:r w:rsidR="00237C67" w:rsidRPr="00A6443F">
        <w:rPr>
          <w:rFonts w:asciiTheme="majorBidi" w:hAnsiTheme="majorBidi" w:cstheme="majorBidi"/>
          <w:szCs w:val="22"/>
          <w:lang w:val="ru-RU"/>
        </w:rPr>
        <w:t xml:space="preserve"> орган</w:t>
      </w:r>
      <w:r w:rsidR="008C4DB6">
        <w:rPr>
          <w:rFonts w:asciiTheme="majorBidi" w:hAnsiTheme="majorBidi" w:cstheme="majorBidi"/>
          <w:szCs w:val="22"/>
          <w:lang w:val="ru-RU"/>
        </w:rPr>
        <w:t>у</w:t>
      </w:r>
      <w:r w:rsidR="00237C67" w:rsidRPr="00A6443F">
        <w:rPr>
          <w:rFonts w:asciiTheme="majorBidi" w:hAnsiTheme="majorBidi" w:cstheme="majorBidi"/>
          <w:szCs w:val="22"/>
          <w:lang w:val="ru-RU"/>
        </w:rPr>
        <w:t xml:space="preserve"> по осуществлению;</w:t>
      </w:r>
    </w:p>
    <w:p w:rsidR="00237C67" w:rsidRPr="00A6443F" w:rsidRDefault="00A6443F" w:rsidP="00A6443F">
      <w:pPr>
        <w:spacing w:before="120" w:after="120"/>
        <w:ind w:firstLine="720"/>
        <w:rPr>
          <w:rFonts w:asciiTheme="majorBidi" w:hAnsiTheme="majorBidi" w:cstheme="majorBidi"/>
          <w:szCs w:val="22"/>
          <w:lang w:val="ru-RU"/>
        </w:rPr>
      </w:pPr>
      <w:r>
        <w:rPr>
          <w:rFonts w:asciiTheme="majorBidi" w:hAnsiTheme="majorBidi" w:cstheme="majorBidi"/>
          <w:szCs w:val="22"/>
          <w:lang w:val="ru-RU"/>
        </w:rPr>
        <w:t>9</w:t>
      </w:r>
      <w:r w:rsidR="00237C67" w:rsidRPr="00A6443F">
        <w:rPr>
          <w:rFonts w:asciiTheme="majorBidi" w:hAnsiTheme="majorBidi" w:cstheme="majorBidi"/>
          <w:szCs w:val="22"/>
          <w:lang w:val="ru-RU"/>
        </w:rPr>
        <w:t>.</w:t>
      </w:r>
      <w:r w:rsidR="00237C67" w:rsidRPr="00A6443F">
        <w:rPr>
          <w:rFonts w:asciiTheme="majorBidi" w:hAnsiTheme="majorBidi" w:cstheme="majorBidi"/>
          <w:szCs w:val="22"/>
          <w:lang w:val="ru-RU"/>
        </w:rPr>
        <w:tab/>
      </w:r>
      <w:r w:rsidR="00237C67" w:rsidRPr="00A6443F">
        <w:rPr>
          <w:rFonts w:asciiTheme="majorBidi" w:hAnsiTheme="majorBidi" w:cstheme="majorBidi"/>
          <w:i/>
          <w:iCs/>
          <w:szCs w:val="22"/>
          <w:lang w:val="ru-RU"/>
        </w:rPr>
        <w:t>поручает</w:t>
      </w:r>
      <w:r w:rsidR="00237C67" w:rsidRPr="00A6443F">
        <w:rPr>
          <w:rFonts w:asciiTheme="majorBidi" w:hAnsiTheme="majorBidi" w:cstheme="majorBidi"/>
          <w:szCs w:val="22"/>
          <w:lang w:val="ru-RU"/>
        </w:rPr>
        <w:t xml:space="preserve"> Вспомогательному органу по осуществлению на его совещании</w:t>
      </w:r>
      <w:r w:rsidR="00335463">
        <w:rPr>
          <w:rFonts w:asciiTheme="majorBidi" w:hAnsiTheme="majorBidi" w:cstheme="majorBidi"/>
          <w:szCs w:val="22"/>
          <w:lang w:val="ru-RU"/>
        </w:rPr>
        <w:t>,</w:t>
      </w:r>
      <w:r w:rsidR="00335463" w:rsidRPr="00335463">
        <w:t xml:space="preserve"> </w:t>
      </w:r>
      <w:r w:rsidR="00335463" w:rsidRPr="00335463">
        <w:rPr>
          <w:rFonts w:asciiTheme="majorBidi" w:hAnsiTheme="majorBidi" w:cstheme="majorBidi"/>
          <w:szCs w:val="22"/>
          <w:lang w:val="ru-RU"/>
        </w:rPr>
        <w:t xml:space="preserve">которое состоится </w:t>
      </w:r>
      <w:r w:rsidR="00335463">
        <w:rPr>
          <w:rFonts w:asciiTheme="majorBidi" w:hAnsiTheme="majorBidi" w:cstheme="majorBidi"/>
          <w:szCs w:val="22"/>
          <w:lang w:val="ru-RU"/>
        </w:rPr>
        <w:t>до</w:t>
      </w:r>
      <w:r w:rsidR="00335463" w:rsidRPr="00335463">
        <w:rPr>
          <w:rFonts w:asciiTheme="majorBidi" w:hAnsiTheme="majorBidi" w:cstheme="majorBidi"/>
          <w:szCs w:val="22"/>
          <w:lang w:val="ru-RU"/>
        </w:rPr>
        <w:t xml:space="preserve"> 12-</w:t>
      </w:r>
      <w:r w:rsidR="00335463">
        <w:rPr>
          <w:rFonts w:asciiTheme="majorBidi" w:hAnsiTheme="majorBidi" w:cstheme="majorBidi"/>
          <w:szCs w:val="22"/>
          <w:lang w:val="ru-RU"/>
        </w:rPr>
        <w:t>го</w:t>
      </w:r>
      <w:r w:rsidR="00335463" w:rsidRPr="00335463">
        <w:rPr>
          <w:rFonts w:asciiTheme="majorBidi" w:hAnsiTheme="majorBidi" w:cstheme="majorBidi"/>
          <w:szCs w:val="22"/>
          <w:lang w:val="ru-RU"/>
        </w:rPr>
        <w:t xml:space="preserve"> совещани</w:t>
      </w:r>
      <w:r w:rsidR="00335463">
        <w:rPr>
          <w:rFonts w:asciiTheme="majorBidi" w:hAnsiTheme="majorBidi" w:cstheme="majorBidi"/>
          <w:szCs w:val="22"/>
          <w:lang w:val="ru-RU"/>
        </w:rPr>
        <w:t>я</w:t>
      </w:r>
      <w:r w:rsidR="00335463" w:rsidRPr="00335463">
        <w:rPr>
          <w:rFonts w:asciiTheme="majorBidi" w:hAnsiTheme="majorBidi" w:cstheme="majorBidi"/>
          <w:szCs w:val="22"/>
          <w:lang w:val="ru-RU"/>
        </w:rPr>
        <w:t xml:space="preserve"> Конференции Сторон, выступающей в качестве совещания Сторон Картахенского протокола,</w:t>
      </w:r>
      <w:r w:rsidR="00237C67" w:rsidRPr="00A6443F">
        <w:rPr>
          <w:rFonts w:asciiTheme="majorBidi" w:hAnsiTheme="majorBidi" w:cstheme="majorBidi"/>
          <w:szCs w:val="22"/>
          <w:lang w:val="ru-RU"/>
        </w:rPr>
        <w:t xml:space="preserve"> изучить информацию и выводы, представленные Контактной группой и Комитетом по соблюдению, и представить свои выводы и рекомендации Конференции Сторон, выступающей в качестве совещания Сторон Картахенского протокола, на ее</w:t>
      </w:r>
      <w:r w:rsidR="001A27B5" w:rsidRPr="00A6443F">
        <w:rPr>
          <w:rFonts w:asciiTheme="majorBidi" w:hAnsiTheme="majorBidi" w:cstheme="majorBidi"/>
          <w:szCs w:val="22"/>
          <w:lang w:val="ru-RU"/>
        </w:rPr>
        <w:t xml:space="preserve"> 12</w:t>
      </w:r>
      <w:r w:rsidR="00237C67" w:rsidRPr="00A6443F">
        <w:rPr>
          <w:rFonts w:asciiTheme="majorBidi" w:hAnsiTheme="majorBidi" w:cstheme="majorBidi"/>
          <w:szCs w:val="22"/>
          <w:lang w:val="ru-RU"/>
        </w:rPr>
        <w:t xml:space="preserve">-м совещании, с </w:t>
      </w:r>
      <w:proofErr w:type="gramStart"/>
      <w:r w:rsidR="00237C67" w:rsidRPr="00A6443F">
        <w:rPr>
          <w:rFonts w:asciiTheme="majorBidi" w:hAnsiTheme="majorBidi" w:cstheme="majorBidi"/>
          <w:szCs w:val="22"/>
          <w:lang w:val="ru-RU"/>
        </w:rPr>
        <w:t>тем</w:t>
      </w:r>
      <w:proofErr w:type="gramEnd"/>
      <w:r w:rsidR="00237C67" w:rsidRPr="00A6443F">
        <w:rPr>
          <w:rFonts w:asciiTheme="majorBidi" w:hAnsiTheme="majorBidi" w:cstheme="majorBidi"/>
          <w:szCs w:val="22"/>
          <w:lang w:val="ru-RU"/>
        </w:rPr>
        <w:t xml:space="preserve"> чтобы способствовать проведению промежуточной оценки </w:t>
      </w:r>
      <w:r w:rsidR="00EC68AD">
        <w:rPr>
          <w:rFonts w:asciiTheme="majorBidi" w:hAnsiTheme="majorBidi" w:cstheme="majorBidi"/>
          <w:szCs w:val="22"/>
          <w:lang w:val="ru-RU"/>
        </w:rPr>
        <w:t>П</w:t>
      </w:r>
      <w:r w:rsidR="00237C67" w:rsidRPr="00A6443F">
        <w:rPr>
          <w:rFonts w:asciiTheme="majorBidi" w:hAnsiTheme="majorBidi" w:cstheme="majorBidi"/>
          <w:szCs w:val="22"/>
          <w:lang w:val="ru-RU"/>
        </w:rPr>
        <w:t>лана осуществления.</w:t>
      </w:r>
    </w:p>
    <w:p w:rsidR="001A27B5" w:rsidRDefault="001A27B5">
      <w:pPr>
        <w:jc w:val="left"/>
        <w:rPr>
          <w:rFonts w:asciiTheme="majorBidi" w:hAnsiTheme="majorBidi"/>
          <w:i/>
          <w:sz w:val="20"/>
          <w:szCs w:val="20"/>
          <w:lang w:val="ru-RU"/>
        </w:rPr>
      </w:pPr>
      <w:r>
        <w:rPr>
          <w:rFonts w:asciiTheme="majorBidi" w:hAnsiTheme="majorBidi"/>
          <w:i/>
          <w:sz w:val="20"/>
          <w:szCs w:val="20"/>
          <w:lang w:val="ru-RU"/>
        </w:rPr>
        <w:br w:type="page"/>
      </w:r>
    </w:p>
    <w:p w:rsidR="001A27B5" w:rsidRPr="00EF4F4B" w:rsidRDefault="00237C67" w:rsidP="008E79DD">
      <w:pPr>
        <w:spacing w:before="115" w:after="115"/>
        <w:ind w:left="720"/>
        <w:jc w:val="center"/>
        <w:rPr>
          <w:rFonts w:asciiTheme="majorBidi" w:hAnsiTheme="majorBidi"/>
          <w:i/>
          <w:szCs w:val="22"/>
          <w:lang w:val="ru-RU"/>
        </w:rPr>
      </w:pPr>
      <w:r w:rsidRPr="00EF4F4B">
        <w:rPr>
          <w:rFonts w:asciiTheme="majorBidi" w:hAnsiTheme="majorBidi"/>
          <w:i/>
          <w:szCs w:val="22"/>
          <w:lang w:val="ru-RU"/>
        </w:rPr>
        <w:lastRenderedPageBreak/>
        <w:t xml:space="preserve">Приложение </w:t>
      </w:r>
    </w:p>
    <w:p w:rsidR="001A27B5" w:rsidRPr="00EF4F4B" w:rsidRDefault="00237C67" w:rsidP="00335463">
      <w:pPr>
        <w:spacing w:before="240" w:after="120"/>
        <w:jc w:val="center"/>
        <w:outlineLvl w:val="0"/>
        <w:rPr>
          <w:rFonts w:asciiTheme="majorBidi" w:hAnsiTheme="majorBidi"/>
          <w:b/>
          <w:szCs w:val="22"/>
          <w:lang w:val="ru-RU"/>
        </w:rPr>
      </w:pPr>
      <w:bookmarkStart w:id="1" w:name="_Toc105416242"/>
      <w:bookmarkStart w:id="2" w:name="_Toc105443076"/>
      <w:bookmarkStart w:id="3" w:name="_Toc118834317"/>
      <w:r w:rsidRPr="00EF4F4B">
        <w:rPr>
          <w:rFonts w:asciiTheme="majorBidi" w:hAnsiTheme="majorBidi"/>
          <w:b/>
          <w:szCs w:val="22"/>
          <w:lang w:val="ru-RU"/>
        </w:rPr>
        <w:t>ПЛАН ОСУЩЕСТВЛЕНИЯ КАРТАХЕНСКОГО ПРОТОКОЛА</w:t>
      </w:r>
      <w:bookmarkEnd w:id="1"/>
      <w:bookmarkEnd w:id="2"/>
      <w:bookmarkEnd w:id="3"/>
      <w:r w:rsidR="00EC68AD" w:rsidRPr="00EF4F4B">
        <w:rPr>
          <w:rFonts w:asciiTheme="majorBidi" w:hAnsiTheme="majorBidi"/>
          <w:b/>
          <w:szCs w:val="22"/>
          <w:lang w:val="ru-RU"/>
        </w:rPr>
        <w:t xml:space="preserve"> ПО БИОБЕЗОПАСНОСТИ</w:t>
      </w:r>
    </w:p>
    <w:p w:rsidR="001A27B5" w:rsidRPr="00EF4F4B" w:rsidRDefault="00237C67" w:rsidP="00335463">
      <w:pPr>
        <w:pStyle w:val="aff0"/>
        <w:numPr>
          <w:ilvl w:val="0"/>
          <w:numId w:val="22"/>
        </w:numPr>
        <w:tabs>
          <w:tab w:val="left" w:pos="993"/>
        </w:tabs>
        <w:spacing w:before="120" w:after="120"/>
        <w:ind w:left="0" w:firstLine="0"/>
        <w:contextualSpacing w:val="0"/>
        <w:jc w:val="center"/>
        <w:rPr>
          <w:rFonts w:asciiTheme="majorBidi" w:hAnsiTheme="majorBidi"/>
          <w:b/>
          <w:szCs w:val="22"/>
          <w:lang w:val="ru-RU"/>
        </w:rPr>
      </w:pPr>
      <w:r w:rsidRPr="00EF4F4B">
        <w:rPr>
          <w:rFonts w:asciiTheme="majorBidi" w:hAnsiTheme="majorBidi"/>
          <w:b/>
          <w:szCs w:val="22"/>
          <w:lang w:val="ru-RU"/>
        </w:rPr>
        <w:t>ЦЕЛЬ ПЛАНА ОСУЩЕСТВЛЕНИЯ</w:t>
      </w:r>
      <w:r w:rsidR="000178EB">
        <w:rPr>
          <w:rFonts w:asciiTheme="majorBidi" w:hAnsiTheme="majorBidi"/>
          <w:b/>
          <w:szCs w:val="22"/>
          <w:lang w:val="ru-RU"/>
        </w:rPr>
        <w:t xml:space="preserve"> </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1.</w:t>
      </w:r>
      <w:r w:rsidRPr="00EF4F4B">
        <w:rPr>
          <w:rFonts w:asciiTheme="majorBidi" w:hAnsiTheme="majorBidi"/>
          <w:szCs w:val="22"/>
          <w:lang w:val="ru-RU"/>
        </w:rPr>
        <w:tab/>
        <w:t xml:space="preserve">План осуществления </w:t>
      </w:r>
      <w:r w:rsidR="00EC68AD" w:rsidRPr="00EF4F4B">
        <w:rPr>
          <w:rFonts w:asciiTheme="majorBidi" w:hAnsiTheme="majorBidi"/>
          <w:szCs w:val="22"/>
          <w:lang w:val="ru-RU"/>
        </w:rPr>
        <w:t xml:space="preserve">Картахенского протокола по биобезопасности (далее «План осуществления») </w:t>
      </w:r>
      <w:r w:rsidRPr="00EF4F4B">
        <w:rPr>
          <w:rFonts w:asciiTheme="majorBidi" w:hAnsiTheme="majorBidi"/>
          <w:szCs w:val="22"/>
          <w:lang w:val="ru-RU"/>
        </w:rPr>
        <w:t>разработан в качестве рамочной основы, охватывающей широкий спектр желательных достижений и результатов, с тем чтобы оказать Сторонам содействие в осуществлении ими Протокола и измерении прогресса в этой области в период</w:t>
      </w:r>
      <w:r w:rsidR="00A6443F" w:rsidRPr="00EF4F4B">
        <w:rPr>
          <w:rFonts w:asciiTheme="majorBidi" w:hAnsiTheme="majorBidi"/>
          <w:szCs w:val="22"/>
          <w:lang w:val="ru-RU"/>
        </w:rPr>
        <w:t xml:space="preserve"> до </w:t>
      </w:r>
      <w:r w:rsidRPr="00EF4F4B">
        <w:rPr>
          <w:rFonts w:asciiTheme="majorBidi" w:hAnsiTheme="majorBidi"/>
          <w:szCs w:val="22"/>
          <w:lang w:val="ru-RU"/>
        </w:rPr>
        <w:t>2030 год</w:t>
      </w:r>
      <w:r w:rsidR="00A6443F" w:rsidRPr="00EF4F4B">
        <w:rPr>
          <w:rFonts w:asciiTheme="majorBidi" w:hAnsiTheme="majorBidi"/>
          <w:szCs w:val="22"/>
          <w:lang w:val="ru-RU"/>
        </w:rPr>
        <w:t>а</w:t>
      </w:r>
      <w:r w:rsidRPr="00EF4F4B">
        <w:rPr>
          <w:rFonts w:asciiTheme="majorBidi" w:hAnsiTheme="majorBidi"/>
          <w:szCs w:val="22"/>
          <w:lang w:val="ru-RU"/>
        </w:rPr>
        <w:t>.</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2.</w:t>
      </w:r>
      <w:r w:rsidRPr="00EF4F4B">
        <w:rPr>
          <w:rFonts w:asciiTheme="majorBidi" w:hAnsiTheme="majorBidi"/>
          <w:szCs w:val="22"/>
          <w:lang w:val="ru-RU"/>
        </w:rPr>
        <w:tab/>
        <w:t xml:space="preserve">План осуществления дополняется </w:t>
      </w:r>
      <w:r w:rsidR="00EC68AD" w:rsidRPr="00EF4F4B">
        <w:rPr>
          <w:rFonts w:asciiTheme="majorBidi" w:hAnsiTheme="majorBidi"/>
          <w:szCs w:val="22"/>
          <w:lang w:val="ru-RU"/>
        </w:rPr>
        <w:t>и Планом действий по созданию потенциала для Картахенского протокола по биобезопасности</w:t>
      </w:r>
      <w:r w:rsidR="00EC68AD" w:rsidRPr="00EF4F4B">
        <w:rPr>
          <w:iCs/>
          <w:szCs w:val="22"/>
          <w:vertAlign w:val="superscript"/>
          <w:lang w:val="ru-RU"/>
        </w:rPr>
        <w:footnoteReference w:id="5"/>
      </w:r>
      <w:r w:rsidRPr="00EF4F4B">
        <w:rPr>
          <w:rFonts w:asciiTheme="majorBidi" w:hAnsiTheme="majorBidi"/>
          <w:szCs w:val="22"/>
          <w:lang w:val="ru-RU"/>
        </w:rPr>
        <w:t>, с тем чтобы способствовать развитию и укреплению потенциала Сторон для реализации Протокола, в том числе путем содействия привлечению партнеров, включая доноров, и стимулирования регионального и международного сотрудничества и координации. План действий по созданию потенциала охватывает тот же период, что и План осуществления:</w:t>
      </w:r>
      <w:r w:rsidR="00A6443F" w:rsidRPr="00EF4F4B">
        <w:rPr>
          <w:rFonts w:asciiTheme="majorBidi" w:hAnsiTheme="majorBidi"/>
          <w:szCs w:val="22"/>
          <w:lang w:val="ru-RU"/>
        </w:rPr>
        <w:t xml:space="preserve"> </w:t>
      </w:r>
      <w:r w:rsidR="009B669E" w:rsidRPr="00EF4F4B">
        <w:rPr>
          <w:rFonts w:asciiTheme="majorBidi" w:hAnsiTheme="majorBidi"/>
          <w:szCs w:val="22"/>
          <w:lang w:val="ru-RU"/>
        </w:rPr>
        <w:t xml:space="preserve">вплоть </w:t>
      </w:r>
      <w:r w:rsidR="00A6443F" w:rsidRPr="00EF4F4B">
        <w:rPr>
          <w:rFonts w:asciiTheme="majorBidi" w:hAnsiTheme="majorBidi"/>
          <w:szCs w:val="22"/>
          <w:lang w:val="ru-RU"/>
        </w:rPr>
        <w:t>до</w:t>
      </w:r>
      <w:r w:rsidRPr="00EF4F4B">
        <w:rPr>
          <w:rFonts w:asciiTheme="majorBidi" w:hAnsiTheme="majorBidi"/>
          <w:szCs w:val="22"/>
          <w:lang w:val="ru-RU"/>
        </w:rPr>
        <w:t xml:space="preserve"> 2030 год</w:t>
      </w:r>
      <w:r w:rsidR="009B669E" w:rsidRPr="00EF4F4B">
        <w:rPr>
          <w:rFonts w:asciiTheme="majorBidi" w:hAnsiTheme="majorBidi"/>
          <w:szCs w:val="22"/>
          <w:lang w:val="ru-RU"/>
        </w:rPr>
        <w:t>а</w:t>
      </w:r>
      <w:r w:rsidRPr="00EF4F4B">
        <w:rPr>
          <w:rFonts w:asciiTheme="majorBidi" w:hAnsiTheme="majorBidi"/>
          <w:szCs w:val="22"/>
          <w:lang w:val="ru-RU"/>
        </w:rPr>
        <w:t>.</w:t>
      </w:r>
    </w:p>
    <w:p w:rsidR="001A27B5" w:rsidRPr="00EF4F4B" w:rsidRDefault="00237C67" w:rsidP="008E79DD">
      <w:pPr>
        <w:spacing w:before="115" w:after="115"/>
        <w:rPr>
          <w:rFonts w:asciiTheme="majorBidi" w:hAnsiTheme="majorBidi"/>
          <w:szCs w:val="22"/>
          <w:lang w:val="ru-RU"/>
        </w:rPr>
      </w:pPr>
      <w:r w:rsidRPr="00EF4F4B">
        <w:rPr>
          <w:rFonts w:asciiTheme="majorBidi" w:hAnsiTheme="majorBidi"/>
          <w:szCs w:val="22"/>
          <w:lang w:val="ru-RU"/>
        </w:rPr>
        <w:t>3.</w:t>
      </w:r>
      <w:r w:rsidRPr="00EF4F4B">
        <w:rPr>
          <w:rFonts w:asciiTheme="majorBidi" w:hAnsiTheme="majorBidi"/>
          <w:szCs w:val="22"/>
          <w:lang w:val="ru-RU"/>
        </w:rPr>
        <w:tab/>
        <w:t>План осуществления адресован в первую очередь Сторонам. При этом следует признать, что государства, не являющиеся Сторонами, субъекты деятельности из различных секторов, организации, коренные народы и местные общины и доноры могут оказать поддержку осуществлению Протокола.</w:t>
      </w:r>
    </w:p>
    <w:p w:rsidR="001A27B5" w:rsidRPr="00EF4F4B" w:rsidRDefault="00F7635B" w:rsidP="00335463">
      <w:pPr>
        <w:pStyle w:val="aff0"/>
        <w:keepNext/>
        <w:numPr>
          <w:ilvl w:val="0"/>
          <w:numId w:val="22"/>
        </w:numPr>
        <w:spacing w:before="120" w:after="120"/>
        <w:ind w:left="1712" w:hanging="1003"/>
        <w:contextualSpacing w:val="0"/>
        <w:jc w:val="center"/>
        <w:outlineLvl w:val="0"/>
        <w:rPr>
          <w:rFonts w:asciiTheme="majorBidi" w:hAnsiTheme="majorBidi"/>
          <w:b/>
          <w:szCs w:val="22"/>
          <w:lang w:val="ru-RU"/>
        </w:rPr>
      </w:pPr>
      <w:bookmarkStart w:id="4" w:name="_Toc105416243"/>
      <w:bookmarkStart w:id="5" w:name="_Toc105443077"/>
      <w:bookmarkStart w:id="6" w:name="_Toc118834318"/>
      <w:r w:rsidRPr="00EF4F4B">
        <w:rPr>
          <w:rFonts w:asciiTheme="majorBidi" w:hAnsiTheme="majorBidi"/>
          <w:b/>
          <w:szCs w:val="22"/>
          <w:lang w:val="ru-RU"/>
        </w:rPr>
        <w:t>СВЯЗЬ С</w:t>
      </w:r>
      <w:bookmarkEnd w:id="4"/>
      <w:bookmarkEnd w:id="5"/>
      <w:bookmarkEnd w:id="6"/>
      <w:r w:rsidRPr="00EF4F4B">
        <w:rPr>
          <w:rFonts w:asciiTheme="majorBidi" w:hAnsiTheme="majorBidi"/>
          <w:b/>
          <w:szCs w:val="22"/>
          <w:lang w:val="ru-RU"/>
        </w:rPr>
        <w:t xml:space="preserve"> КУНЬМИНСКО-МОНРЕАЛЬСКОЙ ГЛОБАЛЬНОЙ РАМОЧНОЙ ПРОГРАММОЙ В ОБЛАСТИ БИОРАЗНООБРАЗИЯ</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4.</w:t>
      </w:r>
      <w:r w:rsidRPr="00EF4F4B">
        <w:rPr>
          <w:rFonts w:asciiTheme="majorBidi" w:hAnsiTheme="majorBidi"/>
          <w:szCs w:val="22"/>
          <w:lang w:val="ru-RU"/>
        </w:rPr>
        <w:tab/>
        <w:t xml:space="preserve">План осуществления основывается на </w:t>
      </w:r>
      <w:proofErr w:type="spellStart"/>
      <w:r w:rsidR="00F7635B" w:rsidRPr="00EF4F4B">
        <w:rPr>
          <w:rFonts w:asciiTheme="majorBidi" w:hAnsiTheme="majorBidi"/>
          <w:szCs w:val="22"/>
          <w:lang w:val="ru-RU"/>
        </w:rPr>
        <w:t>Куньминско-Монреальской</w:t>
      </w:r>
      <w:proofErr w:type="spellEnd"/>
      <w:r w:rsidR="00F7635B" w:rsidRPr="00EF4F4B">
        <w:rPr>
          <w:rFonts w:asciiTheme="majorBidi" w:hAnsiTheme="majorBidi"/>
          <w:szCs w:val="22"/>
          <w:lang w:val="ru-RU"/>
        </w:rPr>
        <w:t xml:space="preserve"> глобальной рамочной программе в области биоразнообразия</w:t>
      </w:r>
      <w:r w:rsidRPr="00EF4F4B">
        <w:rPr>
          <w:rFonts w:asciiTheme="majorBidi" w:hAnsiTheme="majorBidi"/>
          <w:szCs w:val="22"/>
          <w:lang w:val="ru-RU"/>
        </w:rPr>
        <w:t xml:space="preserve"> и дополняет ее, так как его цели, промежуточные цели и результаты способствуют реализации концепции на период до 2050 года, сформулированной в </w:t>
      </w:r>
      <w:r w:rsidR="00F7635B" w:rsidRPr="00EF4F4B">
        <w:rPr>
          <w:rFonts w:asciiTheme="majorBidi" w:hAnsiTheme="majorBidi"/>
          <w:szCs w:val="22"/>
          <w:lang w:val="ru-RU"/>
        </w:rPr>
        <w:t>Р</w:t>
      </w:r>
      <w:r w:rsidRPr="00EF4F4B">
        <w:rPr>
          <w:rFonts w:asciiTheme="majorBidi" w:hAnsiTheme="majorBidi"/>
          <w:szCs w:val="22"/>
          <w:lang w:val="ru-RU"/>
        </w:rPr>
        <w:t>амочной программе — «К 2050 году биоразнообразие оценено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 — и ее миссии — «</w:t>
      </w:r>
      <w:r w:rsidR="00F7635B" w:rsidRPr="00EF4F4B">
        <w:rPr>
          <w:rFonts w:asciiTheme="majorBidi" w:hAnsiTheme="majorBidi"/>
          <w:szCs w:val="22"/>
          <w:lang w:val="ru-RU"/>
        </w:rPr>
        <w:t>Принять незамедлительные меры в целях прекращения и обращения вспять утраты биоразнообразия для выведения природы на путь восстановления в интересах людей и планеты путем сохранения и устойчивого использования биоразнообразия и обеспечения совместного использования выгод от применения генетических ресурсов на справедливой и равной основе, обеспечивая при этом необходимые средства осуществления</w:t>
      </w:r>
      <w:r w:rsidRPr="00EF4F4B">
        <w:rPr>
          <w:rFonts w:asciiTheme="majorBidi" w:hAnsiTheme="majorBidi"/>
          <w:szCs w:val="22"/>
          <w:lang w:val="ru-RU"/>
        </w:rPr>
        <w:t xml:space="preserve">». План осуществления призван способствовать осуществлению Картахенского протокола и адресован Сторонам Картахенского протокола. Кроме того, План осуществления может быть полезен Сторонам и послужить для них ориентиром в деле достижения целей и выполнения задач, имеющих отношение к биобезопасности, в рамках </w:t>
      </w:r>
      <w:proofErr w:type="spellStart"/>
      <w:r w:rsidR="003216AA" w:rsidRPr="00EF4F4B">
        <w:rPr>
          <w:rFonts w:asciiTheme="majorBidi" w:hAnsiTheme="majorBidi"/>
          <w:szCs w:val="22"/>
          <w:lang w:val="ru-RU"/>
        </w:rPr>
        <w:t>Куньминско-Монреальской</w:t>
      </w:r>
      <w:proofErr w:type="spellEnd"/>
      <w:r w:rsidR="003216AA" w:rsidRPr="00EF4F4B">
        <w:rPr>
          <w:rFonts w:asciiTheme="majorBidi" w:hAnsiTheme="majorBidi"/>
          <w:szCs w:val="22"/>
          <w:lang w:val="ru-RU"/>
        </w:rPr>
        <w:t xml:space="preserve"> глобальной рамочной программы в области биоразнообразия</w:t>
      </w:r>
      <w:r w:rsidRPr="00EF4F4B">
        <w:rPr>
          <w:rFonts w:asciiTheme="majorBidi" w:hAnsiTheme="majorBidi"/>
          <w:szCs w:val="22"/>
          <w:lang w:val="ru-RU"/>
        </w:rPr>
        <w:t>.</w:t>
      </w:r>
    </w:p>
    <w:p w:rsidR="00FD4A3F" w:rsidRPr="00EF4F4B" w:rsidRDefault="00237C67" w:rsidP="008E79DD">
      <w:pPr>
        <w:spacing w:before="115" w:after="115"/>
        <w:rPr>
          <w:rFonts w:asciiTheme="majorBidi" w:hAnsiTheme="majorBidi"/>
          <w:szCs w:val="22"/>
          <w:lang w:val="ru-RU"/>
        </w:rPr>
      </w:pPr>
      <w:r w:rsidRPr="00EF4F4B">
        <w:rPr>
          <w:rFonts w:asciiTheme="majorBidi" w:hAnsiTheme="majorBidi"/>
          <w:szCs w:val="22"/>
          <w:lang w:val="ru-RU"/>
        </w:rPr>
        <w:t>5.</w:t>
      </w:r>
      <w:r w:rsidRPr="00EF4F4B">
        <w:rPr>
          <w:rFonts w:asciiTheme="majorBidi" w:hAnsiTheme="majorBidi"/>
          <w:szCs w:val="22"/>
          <w:lang w:val="ru-RU"/>
        </w:rPr>
        <w:tab/>
        <w:t>Кроме того, План осуществления может способствовать достижению Сторонами целей в области устойчивого развития, включая в частности цель 2 (ликвидация голода, обеспечение продовольственной безопасности и улучшение питания и содействие устойчивому развитию сельского хозяйства) и цель 3 (обеспечение здорового образа жизни и содействие благополучию для всех в любом возрасте).</w:t>
      </w:r>
    </w:p>
    <w:p w:rsidR="00FD4A3F" w:rsidRPr="00EF4F4B" w:rsidRDefault="00237C67" w:rsidP="00A61866">
      <w:pPr>
        <w:pStyle w:val="aff0"/>
        <w:keepNext/>
        <w:numPr>
          <w:ilvl w:val="0"/>
          <w:numId w:val="22"/>
        </w:numPr>
        <w:tabs>
          <w:tab w:val="left" w:pos="993"/>
        </w:tabs>
        <w:spacing w:before="120" w:after="120"/>
        <w:ind w:left="1712"/>
        <w:contextualSpacing w:val="0"/>
        <w:jc w:val="center"/>
        <w:outlineLvl w:val="0"/>
        <w:rPr>
          <w:rFonts w:asciiTheme="majorBidi" w:hAnsiTheme="majorBidi"/>
          <w:b/>
          <w:szCs w:val="22"/>
          <w:lang w:val="ru-RU"/>
        </w:rPr>
      </w:pPr>
      <w:bookmarkStart w:id="7" w:name="_Toc105416244"/>
      <w:bookmarkStart w:id="8" w:name="_Toc105443078"/>
      <w:bookmarkStart w:id="9" w:name="_Toc118834319"/>
      <w:r w:rsidRPr="00EF4F4B">
        <w:rPr>
          <w:rFonts w:asciiTheme="majorBidi" w:hAnsiTheme="majorBidi"/>
          <w:b/>
          <w:szCs w:val="22"/>
          <w:lang w:val="ru-RU"/>
        </w:rPr>
        <w:t>СТРУКТУРА ПЛАНА ОСУЩЕСТВЛЕНИЯ</w:t>
      </w:r>
      <w:bookmarkEnd w:id="7"/>
      <w:bookmarkEnd w:id="8"/>
      <w:bookmarkEnd w:id="9"/>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6</w:t>
      </w:r>
      <w:r w:rsidRPr="00EF4F4B">
        <w:rPr>
          <w:rFonts w:asciiTheme="majorBidi" w:hAnsiTheme="majorBidi"/>
          <w:szCs w:val="22"/>
          <w:lang w:val="ru-RU"/>
        </w:rPr>
        <w:tab/>
      </w:r>
      <w:r w:rsidR="009D0307" w:rsidRPr="00EF4F4B">
        <w:rPr>
          <w:rFonts w:asciiTheme="majorBidi" w:hAnsiTheme="majorBidi"/>
          <w:szCs w:val="22"/>
          <w:lang w:val="ru-RU"/>
        </w:rPr>
        <w:t>Т</w:t>
      </w:r>
      <w:r w:rsidRPr="00EF4F4B">
        <w:rPr>
          <w:rFonts w:asciiTheme="majorBidi" w:hAnsiTheme="majorBidi"/>
          <w:szCs w:val="22"/>
          <w:lang w:val="ru-RU"/>
        </w:rPr>
        <w:t>аблиц</w:t>
      </w:r>
      <w:r w:rsidR="009D0307" w:rsidRPr="00EF4F4B">
        <w:rPr>
          <w:rFonts w:asciiTheme="majorBidi" w:hAnsiTheme="majorBidi"/>
          <w:szCs w:val="22"/>
          <w:lang w:val="ru-RU"/>
        </w:rPr>
        <w:t>а, содержащая</w:t>
      </w:r>
      <w:r w:rsidRPr="00EF4F4B">
        <w:rPr>
          <w:rFonts w:asciiTheme="majorBidi" w:hAnsiTheme="majorBidi"/>
          <w:szCs w:val="22"/>
          <w:lang w:val="ru-RU"/>
        </w:rPr>
        <w:t xml:space="preserve"> цел</w:t>
      </w:r>
      <w:r w:rsidR="009D0307" w:rsidRPr="00EF4F4B">
        <w:rPr>
          <w:rFonts w:asciiTheme="majorBidi" w:hAnsiTheme="majorBidi"/>
          <w:szCs w:val="22"/>
          <w:lang w:val="ru-RU"/>
        </w:rPr>
        <w:t>и</w:t>
      </w:r>
      <w:r w:rsidRPr="00EF4F4B">
        <w:rPr>
          <w:rFonts w:asciiTheme="majorBidi" w:hAnsiTheme="majorBidi"/>
          <w:szCs w:val="22"/>
          <w:lang w:val="ru-RU"/>
        </w:rPr>
        <w:t>, промежуточны</w:t>
      </w:r>
      <w:r w:rsidR="009D0307" w:rsidRPr="00EF4F4B">
        <w:rPr>
          <w:rFonts w:asciiTheme="majorBidi" w:hAnsiTheme="majorBidi"/>
          <w:szCs w:val="22"/>
          <w:lang w:val="ru-RU"/>
        </w:rPr>
        <w:t>е</w:t>
      </w:r>
      <w:r w:rsidRPr="00EF4F4B">
        <w:rPr>
          <w:rFonts w:asciiTheme="majorBidi" w:hAnsiTheme="majorBidi"/>
          <w:szCs w:val="22"/>
          <w:lang w:val="ru-RU"/>
        </w:rPr>
        <w:t xml:space="preserve"> цел</w:t>
      </w:r>
      <w:r w:rsidR="009D0307" w:rsidRPr="00EF4F4B">
        <w:rPr>
          <w:rFonts w:asciiTheme="majorBidi" w:hAnsiTheme="majorBidi"/>
          <w:szCs w:val="22"/>
          <w:lang w:val="ru-RU"/>
        </w:rPr>
        <w:t>и</w:t>
      </w:r>
      <w:r w:rsidRPr="00EF4F4B">
        <w:rPr>
          <w:rFonts w:asciiTheme="majorBidi" w:hAnsiTheme="majorBidi"/>
          <w:szCs w:val="22"/>
          <w:lang w:val="ru-RU"/>
        </w:rPr>
        <w:t>, индикатор</w:t>
      </w:r>
      <w:r w:rsidR="009D0307" w:rsidRPr="00EF4F4B">
        <w:rPr>
          <w:rFonts w:asciiTheme="majorBidi" w:hAnsiTheme="majorBidi"/>
          <w:szCs w:val="22"/>
          <w:lang w:val="ru-RU"/>
        </w:rPr>
        <w:t>ы</w:t>
      </w:r>
      <w:r w:rsidRPr="00EF4F4B">
        <w:rPr>
          <w:rFonts w:asciiTheme="majorBidi" w:hAnsiTheme="majorBidi"/>
          <w:szCs w:val="22"/>
          <w:lang w:val="ru-RU"/>
        </w:rPr>
        <w:t xml:space="preserve"> и результат</w:t>
      </w:r>
      <w:r w:rsidR="009D0307" w:rsidRPr="00EF4F4B">
        <w:rPr>
          <w:rFonts w:asciiTheme="majorBidi" w:hAnsiTheme="majorBidi"/>
          <w:szCs w:val="22"/>
          <w:lang w:val="ru-RU"/>
        </w:rPr>
        <w:t>ы</w:t>
      </w:r>
      <w:r w:rsidRPr="00EF4F4B">
        <w:rPr>
          <w:rFonts w:asciiTheme="majorBidi" w:hAnsiTheme="majorBidi"/>
          <w:szCs w:val="22"/>
          <w:lang w:val="ru-RU"/>
        </w:rPr>
        <w:t xml:space="preserve"> Плана осуществления</w:t>
      </w:r>
      <w:r w:rsidR="009D0307" w:rsidRPr="00EF4F4B">
        <w:rPr>
          <w:rFonts w:asciiTheme="majorBidi" w:hAnsiTheme="majorBidi"/>
          <w:szCs w:val="22"/>
          <w:lang w:val="ru-RU"/>
        </w:rPr>
        <w:t>, представлена в до</w:t>
      </w:r>
      <w:r w:rsidR="009E7D8B">
        <w:rPr>
          <w:rFonts w:asciiTheme="majorBidi" w:hAnsiTheme="majorBidi"/>
          <w:szCs w:val="22"/>
          <w:lang w:val="ru-RU"/>
        </w:rPr>
        <w:t>бавлении</w:t>
      </w:r>
      <w:r w:rsidR="009D0307" w:rsidRPr="00EF4F4B">
        <w:rPr>
          <w:rFonts w:asciiTheme="majorBidi" w:hAnsiTheme="majorBidi"/>
          <w:szCs w:val="22"/>
          <w:lang w:val="ru-RU"/>
        </w:rPr>
        <w:t xml:space="preserve"> ниже</w:t>
      </w:r>
      <w:r w:rsidRPr="00EF4F4B">
        <w:rPr>
          <w:rFonts w:asciiTheme="majorBidi" w:hAnsiTheme="majorBidi"/>
          <w:szCs w:val="22"/>
          <w:lang w:val="ru-RU"/>
        </w:rPr>
        <w:t>.</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lastRenderedPageBreak/>
        <w:t>7.</w:t>
      </w:r>
      <w:r w:rsidRPr="00EF4F4B">
        <w:rPr>
          <w:rFonts w:asciiTheme="majorBidi" w:hAnsiTheme="majorBidi"/>
          <w:szCs w:val="22"/>
          <w:lang w:val="ru-RU"/>
        </w:rPr>
        <w:tab/>
        <w:t>В Плане осуществления намечены цели, отражающие желательные общие результаты для достижения Сторонами. Цели Плана осуществления распределены по категориям «области осуществления» и «благоприятные условия». Раздел «области осуществления» включает в себя цели, касающиеся основных элементов осуществления Протокола. Раздел «благоприятные условия» включает в себя сквозные цели, имеющие отношение к оказанию поддержки в осуществлении, такие как создание потенциала, мобилизация ресурсов, сотрудничество, а также информирование, просвещение и участие общественности. Цели в рамках раздела «благоприятные условия» представляют сквозные достижения, имеющие положительные последствия для различных целей, связанных с осуществлением, и могут рассматриваться в увязке с целями, относящимися к разделу «области осуществления». Каждая цель включает соответствующие промежуточные цели, результаты и индикаторы.</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8.</w:t>
      </w:r>
      <w:r w:rsidRPr="00EF4F4B">
        <w:rPr>
          <w:rFonts w:asciiTheme="majorBidi" w:hAnsiTheme="majorBidi"/>
          <w:szCs w:val="22"/>
          <w:lang w:val="ru-RU"/>
        </w:rPr>
        <w:tab/>
        <w:t>Промежуточные цели описывают основные результаты, которые необходимо обеспечить для достижения той цели, к которой они относятся. Промежуточные цели не предназначены для того, чтобы обеспечивать исчерпывающий перечень результатов, которые могут быть значимыми для данной цели. Промежуточные цели соответствуют положениям Протокола, включая обязательства и другие положения, а также руководящим указаниям, сформулированным в решениях Конференции Сторон, выступающей в качестве совещания Сторон Протокола. Большинство целей включают в себя несколько промежуточных целей.</w:t>
      </w:r>
      <w:r w:rsidR="00F328AA">
        <w:rPr>
          <w:rFonts w:asciiTheme="majorBidi" w:hAnsiTheme="majorBidi"/>
          <w:szCs w:val="22"/>
          <w:lang w:val="ru-RU"/>
        </w:rPr>
        <w:t xml:space="preserve"> </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9.</w:t>
      </w:r>
      <w:r w:rsidRPr="00EF4F4B">
        <w:rPr>
          <w:rFonts w:asciiTheme="majorBidi" w:hAnsiTheme="majorBidi"/>
          <w:szCs w:val="22"/>
          <w:lang w:val="ru-RU"/>
        </w:rPr>
        <w:tab/>
        <w:t>Индикаторы предназначены для оценки достигнутых результатов на пути к выполнению цели. Индикаторы должны быть простыми, измеримыми и значимыми для соответствующей промежуточной цели.</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10.</w:t>
      </w:r>
      <w:r w:rsidRPr="00EF4F4B">
        <w:rPr>
          <w:rFonts w:asciiTheme="majorBidi" w:hAnsiTheme="majorBidi"/>
          <w:szCs w:val="22"/>
          <w:lang w:val="ru-RU"/>
        </w:rPr>
        <w:tab/>
        <w:t>Результаты описывают</w:t>
      </w:r>
      <w:r w:rsidR="00D5217B" w:rsidRPr="00EF4F4B">
        <w:rPr>
          <w:rFonts w:asciiTheme="majorBidi" w:hAnsiTheme="majorBidi"/>
          <w:szCs w:val="22"/>
          <w:lang w:val="ru-RU"/>
        </w:rPr>
        <w:t xml:space="preserve"> </w:t>
      </w:r>
      <w:r w:rsidRPr="00EF4F4B">
        <w:rPr>
          <w:rFonts w:asciiTheme="majorBidi" w:hAnsiTheme="majorBidi"/>
          <w:szCs w:val="22"/>
          <w:lang w:val="ru-RU"/>
        </w:rPr>
        <w:t>эффект от достижения цели.</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11.</w:t>
      </w:r>
      <w:r w:rsidRPr="00EF4F4B">
        <w:rPr>
          <w:rFonts w:asciiTheme="majorBidi" w:hAnsiTheme="majorBidi"/>
          <w:szCs w:val="22"/>
          <w:lang w:val="ru-RU"/>
        </w:rPr>
        <w:tab/>
      </w:r>
      <w:proofErr w:type="spellStart"/>
      <w:r w:rsidRPr="00EF4F4B">
        <w:rPr>
          <w:rFonts w:asciiTheme="majorBidi" w:hAnsiTheme="majorBidi"/>
          <w:szCs w:val="22"/>
          <w:lang w:val="ru-RU"/>
        </w:rPr>
        <w:t>Нагойско-Куала-лумпурский</w:t>
      </w:r>
      <w:proofErr w:type="spellEnd"/>
      <w:r w:rsidRPr="00EF4F4B">
        <w:rPr>
          <w:rFonts w:asciiTheme="majorBidi" w:hAnsiTheme="majorBidi"/>
          <w:szCs w:val="22"/>
          <w:lang w:val="ru-RU"/>
        </w:rPr>
        <w:t xml:space="preserve"> дополнительный протокол об ответственности и возмещении за ущерб был принят Конференцией Сторон, выступающей в качестве совещания Сторон Протокола, в 2010 году (решение BS-V/11). </w:t>
      </w:r>
      <w:r w:rsidR="001122A8" w:rsidRPr="00EF4F4B">
        <w:rPr>
          <w:rFonts w:asciiTheme="majorBidi" w:hAnsiTheme="majorBidi"/>
          <w:szCs w:val="22"/>
          <w:lang w:val="ru-RU"/>
        </w:rPr>
        <w:t>Стратегический план для Картахенского протокола по биобезопасности на период 2011-2020 годов</w:t>
      </w:r>
      <w:r w:rsidRPr="00EF4F4B">
        <w:rPr>
          <w:rFonts w:asciiTheme="majorBidi" w:hAnsiTheme="majorBidi"/>
          <w:szCs w:val="22"/>
          <w:lang w:val="ru-RU"/>
        </w:rPr>
        <w:t>, также принятый в 2010</w:t>
      </w:r>
      <w:r w:rsidR="001122A8" w:rsidRPr="00EF4F4B">
        <w:rPr>
          <w:rFonts w:asciiTheme="majorBidi" w:hAnsiTheme="majorBidi"/>
          <w:szCs w:val="22"/>
          <w:lang w:val="ru-RU"/>
        </w:rPr>
        <w:t xml:space="preserve"> </w:t>
      </w:r>
      <w:r w:rsidRPr="00EF4F4B">
        <w:rPr>
          <w:rFonts w:asciiTheme="majorBidi" w:hAnsiTheme="majorBidi"/>
          <w:szCs w:val="22"/>
          <w:lang w:val="ru-RU"/>
        </w:rPr>
        <w:t>году, включает в себя элементы, касающиеся ответственности и возмещения за ущерб, а также Дополнительный протокол. Дополнительный протокол вступил в силу 5 марта 2018 года.</w:t>
      </w:r>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12.</w:t>
      </w:r>
      <w:r w:rsidRPr="00EF4F4B">
        <w:rPr>
          <w:rFonts w:asciiTheme="majorBidi" w:hAnsiTheme="majorBidi"/>
          <w:szCs w:val="22"/>
          <w:lang w:val="ru-RU"/>
        </w:rPr>
        <w:tab/>
        <w:t xml:space="preserve">В приведенное ниже Дополнение включен компонент, касающийся </w:t>
      </w:r>
      <w:r w:rsidR="001122A8" w:rsidRPr="00EF4F4B">
        <w:rPr>
          <w:rFonts w:asciiTheme="majorBidi" w:hAnsiTheme="majorBidi"/>
          <w:szCs w:val="22"/>
          <w:lang w:val="ru-RU"/>
        </w:rPr>
        <w:t>д</w:t>
      </w:r>
      <w:r w:rsidRPr="00EF4F4B">
        <w:rPr>
          <w:rFonts w:asciiTheme="majorBidi" w:hAnsiTheme="majorBidi"/>
          <w:szCs w:val="22"/>
          <w:lang w:val="ru-RU"/>
        </w:rPr>
        <w:t>ополнительного протокола. Включение компонента, посвященного Дополнительному протоколу, призвано способствовать осуществлению Картахенского протокола и содействовать эффективному осуществлению Дополнительного протокола при одновременном признании того, что они являются отдельными документами и обязательства, вытекающие из этих документов, распространяются только на государства, являющиеся Сторонами соответствующего документа.</w:t>
      </w:r>
    </w:p>
    <w:p w:rsidR="00FD4A3F" w:rsidRPr="00EF4F4B" w:rsidRDefault="00237C67" w:rsidP="00A61866">
      <w:pPr>
        <w:keepNext/>
        <w:tabs>
          <w:tab w:val="left" w:pos="1134"/>
        </w:tabs>
        <w:spacing w:before="120" w:after="120"/>
        <w:jc w:val="center"/>
        <w:outlineLvl w:val="0"/>
        <w:rPr>
          <w:rFonts w:asciiTheme="majorBidi" w:hAnsiTheme="majorBidi"/>
          <w:b/>
          <w:szCs w:val="22"/>
          <w:lang w:val="ru-RU"/>
        </w:rPr>
      </w:pPr>
      <w:bookmarkStart w:id="10" w:name="_Toc105416245"/>
      <w:bookmarkStart w:id="11" w:name="_Toc105443079"/>
      <w:bookmarkStart w:id="12" w:name="_Toc118834320"/>
      <w:r w:rsidRPr="00EF4F4B">
        <w:rPr>
          <w:rFonts w:asciiTheme="majorBidi" w:hAnsiTheme="majorBidi"/>
          <w:b/>
          <w:szCs w:val="22"/>
          <w:lang w:val="ru-RU"/>
        </w:rPr>
        <w:t>IV.</w:t>
      </w:r>
      <w:r w:rsidRPr="00EF4F4B">
        <w:rPr>
          <w:rFonts w:asciiTheme="majorBidi" w:hAnsiTheme="majorBidi"/>
          <w:b/>
          <w:szCs w:val="22"/>
          <w:lang w:val="ru-RU"/>
        </w:rPr>
        <w:tab/>
        <w:t>ОЦЕНКА И ОБЗОР</w:t>
      </w:r>
      <w:bookmarkEnd w:id="10"/>
      <w:bookmarkEnd w:id="11"/>
      <w:bookmarkEnd w:id="12"/>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13.</w:t>
      </w:r>
      <w:r w:rsidRPr="00EF4F4B">
        <w:rPr>
          <w:rFonts w:asciiTheme="majorBidi" w:hAnsiTheme="majorBidi"/>
          <w:szCs w:val="22"/>
          <w:lang w:val="ru-RU"/>
        </w:rPr>
        <w:tab/>
        <w:t>Конференция Сторон, выступающая в качестве совещания Сторон Картахенского протокола, должна провести промежуточную оценку и может принять решение о проведении заключительной оценки Плана осуществления. Эти оценки могут опираться в том числе на информацию, предоставленную Сторонами в их национальных докладах, и информацию, содержащуюся в Механизме посредничества по биобезопасности. Эта информация может использоваться для оценки того, в какой степени достигнуты цели Плана осуществления.</w:t>
      </w:r>
    </w:p>
    <w:p w:rsidR="00FD4A3F" w:rsidRPr="00EF4F4B" w:rsidRDefault="00237C67" w:rsidP="008E79DD">
      <w:pPr>
        <w:spacing w:before="115" w:after="115"/>
        <w:rPr>
          <w:rFonts w:asciiTheme="majorBidi" w:hAnsiTheme="majorBidi"/>
          <w:szCs w:val="22"/>
          <w:lang w:val="ru-RU"/>
        </w:rPr>
      </w:pPr>
      <w:r w:rsidRPr="00EF4F4B">
        <w:rPr>
          <w:rFonts w:asciiTheme="majorBidi" w:hAnsiTheme="majorBidi"/>
          <w:szCs w:val="22"/>
          <w:lang w:val="ru-RU"/>
        </w:rPr>
        <w:t>14.</w:t>
      </w:r>
      <w:r w:rsidRPr="00EF4F4B">
        <w:rPr>
          <w:rFonts w:asciiTheme="majorBidi" w:hAnsiTheme="majorBidi"/>
          <w:szCs w:val="22"/>
          <w:lang w:val="ru-RU"/>
        </w:rPr>
        <w:tab/>
        <w:t xml:space="preserve">Результаты четвертой оценки и обзора эффективности Картахенского протокола и </w:t>
      </w:r>
      <w:r w:rsidR="0036078C" w:rsidRPr="00EF4F4B">
        <w:rPr>
          <w:rFonts w:asciiTheme="majorBidi" w:hAnsiTheme="majorBidi"/>
          <w:szCs w:val="22"/>
          <w:lang w:val="ru-RU"/>
        </w:rPr>
        <w:t>итогов</w:t>
      </w:r>
      <w:r w:rsidR="00F276C3">
        <w:rPr>
          <w:rFonts w:asciiTheme="majorBidi" w:hAnsiTheme="majorBidi"/>
          <w:szCs w:val="22"/>
          <w:lang w:val="ru-RU"/>
        </w:rPr>
        <w:t>ой</w:t>
      </w:r>
      <w:r w:rsidRPr="00EF4F4B">
        <w:rPr>
          <w:rFonts w:asciiTheme="majorBidi" w:hAnsiTheme="majorBidi"/>
          <w:szCs w:val="22"/>
          <w:lang w:val="ru-RU"/>
        </w:rPr>
        <w:t xml:space="preserve"> оценк</w:t>
      </w:r>
      <w:r w:rsidR="00F276C3">
        <w:rPr>
          <w:rFonts w:asciiTheme="majorBidi" w:hAnsiTheme="majorBidi"/>
          <w:szCs w:val="22"/>
          <w:lang w:val="ru-RU"/>
        </w:rPr>
        <w:t>и</w:t>
      </w:r>
      <w:r w:rsidRPr="00EF4F4B">
        <w:rPr>
          <w:rFonts w:asciiTheme="majorBidi" w:hAnsiTheme="majorBidi"/>
          <w:szCs w:val="22"/>
          <w:lang w:val="ru-RU"/>
        </w:rPr>
        <w:t xml:space="preserve"> Стратегического плана </w:t>
      </w:r>
      <w:r w:rsidR="0036078C" w:rsidRPr="00EF4F4B">
        <w:rPr>
          <w:rFonts w:asciiTheme="majorBidi" w:hAnsiTheme="majorBidi"/>
          <w:szCs w:val="22"/>
          <w:lang w:val="ru-RU"/>
        </w:rPr>
        <w:t>для Картахенского протокола по биобезопасности на период 2011-2020 годов</w:t>
      </w:r>
      <w:r w:rsidRPr="00EF4F4B">
        <w:rPr>
          <w:rFonts w:asciiTheme="majorBidi" w:hAnsiTheme="majorBidi"/>
          <w:szCs w:val="22"/>
          <w:lang w:val="ru-RU"/>
        </w:rPr>
        <w:t xml:space="preserve"> будут использоваться для установления базовых показателей для оценки прогресса в деле достижения целей Плана осуществления.</w:t>
      </w:r>
    </w:p>
    <w:p w:rsidR="00FD4A3F" w:rsidRPr="00EF4F4B" w:rsidRDefault="00237C67" w:rsidP="00A61866">
      <w:pPr>
        <w:keepNext/>
        <w:tabs>
          <w:tab w:val="left" w:pos="1134"/>
        </w:tabs>
        <w:spacing w:before="120" w:after="120"/>
        <w:jc w:val="center"/>
        <w:outlineLvl w:val="0"/>
        <w:rPr>
          <w:rFonts w:asciiTheme="majorBidi" w:hAnsiTheme="majorBidi"/>
          <w:b/>
          <w:szCs w:val="22"/>
          <w:lang w:val="ru-RU"/>
        </w:rPr>
      </w:pPr>
      <w:r w:rsidRPr="00EF4F4B">
        <w:rPr>
          <w:rFonts w:asciiTheme="majorBidi" w:hAnsiTheme="majorBidi"/>
          <w:b/>
          <w:szCs w:val="22"/>
          <w:lang w:val="ru-RU"/>
        </w:rPr>
        <w:lastRenderedPageBreak/>
        <w:t>V.</w:t>
      </w:r>
      <w:r w:rsidRPr="00EF4F4B">
        <w:rPr>
          <w:rFonts w:asciiTheme="majorBidi" w:hAnsiTheme="majorBidi"/>
          <w:b/>
          <w:szCs w:val="22"/>
          <w:lang w:val="ru-RU"/>
        </w:rPr>
        <w:tab/>
      </w:r>
      <w:bookmarkStart w:id="13" w:name="_Toc105416246"/>
      <w:bookmarkStart w:id="14" w:name="_Toc105443080"/>
      <w:bookmarkStart w:id="15" w:name="_Toc118834321"/>
      <w:r w:rsidRPr="00EF4F4B">
        <w:rPr>
          <w:rFonts w:asciiTheme="majorBidi" w:hAnsiTheme="majorBidi"/>
          <w:b/>
          <w:szCs w:val="22"/>
          <w:lang w:val="ru-RU"/>
        </w:rPr>
        <w:t>ПРИОРИТЕТЫ И ПРОГРАММИРОВАНИЕ</w:t>
      </w:r>
      <w:bookmarkEnd w:id="13"/>
      <w:bookmarkEnd w:id="14"/>
      <w:bookmarkEnd w:id="15"/>
    </w:p>
    <w:p w:rsidR="00237C67" w:rsidRPr="00EF4F4B" w:rsidRDefault="00237C67" w:rsidP="008E79DD">
      <w:pPr>
        <w:spacing w:before="115" w:after="115"/>
        <w:rPr>
          <w:rFonts w:asciiTheme="majorBidi" w:hAnsiTheme="majorBidi" w:cstheme="majorBidi"/>
          <w:szCs w:val="22"/>
          <w:lang w:val="ru-RU"/>
        </w:rPr>
      </w:pPr>
      <w:r w:rsidRPr="00EF4F4B">
        <w:rPr>
          <w:rFonts w:asciiTheme="majorBidi" w:hAnsiTheme="majorBidi"/>
          <w:szCs w:val="22"/>
          <w:lang w:val="ru-RU"/>
        </w:rPr>
        <w:t>15.</w:t>
      </w:r>
      <w:r w:rsidRPr="00EF4F4B">
        <w:rPr>
          <w:rFonts w:asciiTheme="majorBidi" w:hAnsiTheme="majorBidi"/>
          <w:szCs w:val="22"/>
          <w:lang w:val="ru-RU"/>
        </w:rPr>
        <w:tab/>
        <w:t>Конференция Сторон, выступающая в качестве совещания Сторон Картахенского протокола, может периодически формулировать приоритеты для планирования и программирования работы, которая должна быть проведена в рамках периода, охваченного Планом осуществления. Это может включать выявление промежуточных этапов, ведущих к достижению целей Плана осуществления.</w:t>
      </w:r>
    </w:p>
    <w:p w:rsidR="00F32B8A" w:rsidRPr="00EF4F4B" w:rsidRDefault="00237C67" w:rsidP="008E79DD">
      <w:pPr>
        <w:spacing w:before="115" w:after="115"/>
        <w:rPr>
          <w:rFonts w:asciiTheme="majorBidi" w:hAnsiTheme="majorBidi"/>
          <w:szCs w:val="22"/>
          <w:lang w:val="ru-RU"/>
        </w:rPr>
      </w:pPr>
      <w:r w:rsidRPr="00EF4F4B">
        <w:rPr>
          <w:rFonts w:asciiTheme="majorBidi" w:hAnsiTheme="majorBidi"/>
          <w:szCs w:val="22"/>
          <w:lang w:val="ru-RU"/>
        </w:rPr>
        <w:t>16.</w:t>
      </w:r>
      <w:r w:rsidRPr="00EF4F4B">
        <w:rPr>
          <w:rFonts w:asciiTheme="majorBidi" w:hAnsiTheme="majorBidi"/>
          <w:szCs w:val="22"/>
          <w:lang w:val="ru-RU"/>
        </w:rPr>
        <w:tab/>
        <w:t>Принимая решения о приоритетах и программировании, Конференция Сторон, выступающая в качестве совещания Сторон Картахенского протокола, может принять к сведению изменения и достижения в области биобезопасности и биотехнологий. В этой связи в Плане осуществления применяется подход, который заключается в том, что в тех случаях, когда организмы, полученные с помощью новых технологий, являются «живыми измененными организмами» в соответствии с определением, приведенным в Протоколе, эти организмы рассматриваются в Плане.</w:t>
      </w:r>
    </w:p>
    <w:p w:rsidR="00F32B8A" w:rsidRPr="00EF4F4B" w:rsidRDefault="00237C67" w:rsidP="00A61866">
      <w:pPr>
        <w:keepNext/>
        <w:tabs>
          <w:tab w:val="left" w:pos="1134"/>
        </w:tabs>
        <w:spacing w:before="120" w:after="120"/>
        <w:jc w:val="center"/>
        <w:outlineLvl w:val="0"/>
        <w:rPr>
          <w:rFonts w:asciiTheme="majorBidi" w:hAnsiTheme="majorBidi"/>
          <w:b/>
          <w:szCs w:val="22"/>
          <w:lang w:val="ru-RU"/>
        </w:rPr>
      </w:pPr>
      <w:bookmarkStart w:id="16" w:name="_Toc105416247"/>
      <w:bookmarkStart w:id="17" w:name="_Toc105443081"/>
      <w:bookmarkStart w:id="18" w:name="_Toc118834322"/>
      <w:r w:rsidRPr="00EF4F4B">
        <w:rPr>
          <w:rFonts w:asciiTheme="majorBidi" w:hAnsiTheme="majorBidi"/>
          <w:b/>
          <w:szCs w:val="22"/>
          <w:lang w:val="ru-RU"/>
        </w:rPr>
        <w:t>VI.</w:t>
      </w:r>
      <w:r w:rsidRPr="00EF4F4B">
        <w:rPr>
          <w:rFonts w:asciiTheme="majorBidi" w:hAnsiTheme="majorBidi"/>
          <w:b/>
          <w:szCs w:val="22"/>
          <w:lang w:val="ru-RU"/>
        </w:rPr>
        <w:tab/>
        <w:t>РЕСУРСЫ</w:t>
      </w:r>
      <w:bookmarkEnd w:id="16"/>
      <w:bookmarkEnd w:id="17"/>
      <w:bookmarkEnd w:id="18"/>
    </w:p>
    <w:p w:rsidR="00F32B8A" w:rsidRPr="00EF4F4B" w:rsidRDefault="00237C67" w:rsidP="008E79DD">
      <w:pPr>
        <w:spacing w:before="115" w:after="115"/>
        <w:rPr>
          <w:rFonts w:asciiTheme="majorBidi" w:hAnsiTheme="majorBidi"/>
          <w:szCs w:val="22"/>
          <w:lang w:val="ru-RU"/>
        </w:rPr>
      </w:pPr>
      <w:r w:rsidRPr="00EF4F4B">
        <w:rPr>
          <w:rFonts w:asciiTheme="majorBidi" w:hAnsiTheme="majorBidi"/>
          <w:szCs w:val="22"/>
          <w:lang w:val="ru-RU"/>
        </w:rPr>
        <w:t>17.</w:t>
      </w:r>
      <w:r w:rsidRPr="00EF4F4B">
        <w:rPr>
          <w:rFonts w:asciiTheme="majorBidi" w:hAnsiTheme="majorBidi"/>
          <w:szCs w:val="22"/>
          <w:lang w:val="ru-RU"/>
        </w:rPr>
        <w:tab/>
        <w:t>Успешное осуществление Протокола в значительной степени зависит от доступа к достаточным людским, техническим и финансовым ресурсам и эффективного сотрудничества в соответствии со статьями 22 и 28 Протокола. План осуществления направлен на оказание поддержки Сторонам в этой области, в том числе, в частности, в рамках целей, касающихся создания стимулирующей среды.</w:t>
      </w:r>
      <w:r w:rsidR="00313B96">
        <w:rPr>
          <w:rFonts w:asciiTheme="majorBidi" w:hAnsiTheme="majorBidi"/>
          <w:szCs w:val="22"/>
          <w:lang w:val="ru-RU"/>
        </w:rPr>
        <w:t xml:space="preserve"> </w:t>
      </w:r>
    </w:p>
    <w:p w:rsidR="00F32B8A" w:rsidRPr="00EF4F4B" w:rsidRDefault="00237C67" w:rsidP="00A61866">
      <w:pPr>
        <w:keepNext/>
        <w:tabs>
          <w:tab w:val="left" w:pos="1276"/>
        </w:tabs>
        <w:spacing w:before="120" w:after="120"/>
        <w:jc w:val="center"/>
        <w:outlineLvl w:val="0"/>
        <w:rPr>
          <w:rFonts w:asciiTheme="majorBidi" w:hAnsiTheme="majorBidi"/>
          <w:b/>
          <w:szCs w:val="22"/>
          <w:lang w:val="ru-RU"/>
        </w:rPr>
      </w:pPr>
      <w:bookmarkStart w:id="19" w:name="_Toc105416248"/>
      <w:bookmarkStart w:id="20" w:name="_Toc105443082"/>
      <w:bookmarkStart w:id="21" w:name="_Toc118834323"/>
      <w:r w:rsidRPr="00EF4F4B">
        <w:rPr>
          <w:rFonts w:asciiTheme="majorBidi" w:hAnsiTheme="majorBidi"/>
          <w:b/>
          <w:szCs w:val="22"/>
          <w:lang w:val="ru-RU"/>
        </w:rPr>
        <w:t>VII.</w:t>
      </w:r>
      <w:r w:rsidRPr="00EF4F4B">
        <w:rPr>
          <w:rFonts w:asciiTheme="majorBidi" w:hAnsiTheme="majorBidi"/>
          <w:b/>
          <w:szCs w:val="22"/>
          <w:lang w:val="ru-RU"/>
        </w:rPr>
        <w:tab/>
        <w:t>РОЛЬ СЕКРЕТАРИАТА</w:t>
      </w:r>
      <w:bookmarkEnd w:id="19"/>
      <w:bookmarkEnd w:id="20"/>
      <w:bookmarkEnd w:id="21"/>
    </w:p>
    <w:p w:rsidR="004A6099" w:rsidRDefault="00237C67" w:rsidP="008E79DD">
      <w:pPr>
        <w:spacing w:before="115" w:after="115"/>
        <w:rPr>
          <w:sz w:val="20"/>
          <w:szCs w:val="20"/>
          <w:lang w:val="ru-RU"/>
        </w:rPr>
      </w:pPr>
      <w:r w:rsidRPr="00EF4F4B">
        <w:rPr>
          <w:rFonts w:asciiTheme="majorBidi" w:hAnsiTheme="majorBidi"/>
          <w:szCs w:val="22"/>
          <w:lang w:val="ru-RU"/>
        </w:rPr>
        <w:t>18.</w:t>
      </w:r>
      <w:r w:rsidRPr="00EF4F4B">
        <w:rPr>
          <w:rFonts w:asciiTheme="majorBidi" w:hAnsiTheme="majorBidi"/>
          <w:szCs w:val="22"/>
          <w:lang w:val="ru-RU"/>
        </w:rPr>
        <w:tab/>
      </w:r>
      <w:r w:rsidRPr="00EF4F4B">
        <w:rPr>
          <w:szCs w:val="22"/>
          <w:lang w:val="ru-RU"/>
        </w:rPr>
        <w:t>В то время как План осуществления адресован в первую очередь Сторонам, секретариат Конвенции о биологическом разнообразии будет оказывать поддержку Сторонам в их усилиях, направленных на осуществление Протокола, в соответствии с руководящими указаниями Конференции Сторон, выступающей в качестве совещания Сторон Картахенского протокола, статьей 31 Картахенского протокола и статьей 24 Конвенции о биологическом разнообразии. Эта поддержка включает в себя управление Механизмом посредничества по биобезопасности и его обслуживание, а также осуществление мероприятий, в том числе мероприятий по созданию потенциала, в соответствии с поручениями Конференции Сторон, выступающей в качестве совещания Сторон Протокола.</w:t>
      </w:r>
    </w:p>
    <w:p w:rsidR="00237C67" w:rsidRPr="00E76ED2" w:rsidRDefault="00237C67" w:rsidP="004A6099">
      <w:pPr>
        <w:jc w:val="left"/>
        <w:rPr>
          <w:sz w:val="20"/>
          <w:szCs w:val="20"/>
          <w:lang w:val="ru-RU"/>
        </w:rPr>
      </w:pPr>
    </w:p>
    <w:p w:rsidR="00237C67" w:rsidRPr="00952B6B" w:rsidRDefault="00237C67" w:rsidP="0011569E">
      <w:pPr>
        <w:spacing w:before="240" w:after="120"/>
        <w:jc w:val="center"/>
        <w:rPr>
          <w:i/>
          <w:iCs/>
          <w:szCs w:val="22"/>
          <w:lang w:val="ru-RU"/>
        </w:rPr>
      </w:pPr>
      <w:r w:rsidRPr="00952B6B">
        <w:rPr>
          <w:i/>
          <w:iCs/>
          <w:szCs w:val="22"/>
          <w:lang w:val="ru-RU"/>
        </w:rPr>
        <w:t>До</w:t>
      </w:r>
      <w:r w:rsidR="00F14196" w:rsidRPr="00952B6B">
        <w:rPr>
          <w:i/>
          <w:iCs/>
          <w:szCs w:val="22"/>
          <w:lang w:val="ru-RU"/>
        </w:rPr>
        <w:t>бавление</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2122"/>
        <w:gridCol w:w="2551"/>
        <w:gridCol w:w="2835"/>
        <w:gridCol w:w="2001"/>
      </w:tblGrid>
      <w:tr w:rsidR="00237C67" w:rsidRPr="00952B6B" w:rsidTr="007917DB">
        <w:trPr>
          <w:trHeight w:val="503"/>
          <w:tblHeader/>
        </w:trPr>
        <w:tc>
          <w:tcPr>
            <w:tcW w:w="9509" w:type="dxa"/>
            <w:gridSpan w:val="4"/>
            <w:tcBorders>
              <w:bottom w:val="single" w:sz="4" w:space="0" w:color="auto"/>
            </w:tcBorders>
            <w:shd w:val="clear" w:color="auto" w:fill="auto"/>
          </w:tcPr>
          <w:p w:rsidR="00237C67" w:rsidRPr="00952B6B" w:rsidRDefault="00237C67" w:rsidP="00952B6B">
            <w:pPr>
              <w:spacing w:before="60" w:after="120"/>
              <w:jc w:val="center"/>
              <w:rPr>
                <w:b/>
                <w:bCs/>
                <w:szCs w:val="22"/>
                <w:lang w:val="ru-RU"/>
              </w:rPr>
            </w:pPr>
            <w:r w:rsidRPr="00952B6B">
              <w:rPr>
                <w:rFonts w:eastAsia="MS Mincho"/>
                <w:b/>
                <w:bCs/>
                <w:kern w:val="22"/>
                <w:szCs w:val="22"/>
                <w:lang w:val="ru-RU"/>
              </w:rPr>
              <w:t>План осуществления</w:t>
            </w:r>
            <w:r w:rsidR="002F0742" w:rsidRPr="00952B6B">
              <w:rPr>
                <w:rFonts w:eastAsia="MS Mincho"/>
                <w:b/>
                <w:bCs/>
                <w:kern w:val="22"/>
                <w:szCs w:val="22"/>
                <w:lang w:val="ru-RU"/>
              </w:rPr>
              <w:t xml:space="preserve"> Картахенского протокола по биобезопасности</w:t>
            </w:r>
          </w:p>
        </w:tc>
      </w:tr>
      <w:tr w:rsidR="00237C67" w:rsidRPr="00952B6B" w:rsidTr="00CC34DE">
        <w:trPr>
          <w:trHeight w:val="1445"/>
        </w:trPr>
        <w:tc>
          <w:tcPr>
            <w:tcW w:w="2122" w:type="dxa"/>
            <w:tcBorders>
              <w:top w:val="single" w:sz="4" w:space="0" w:color="auto"/>
              <w:left w:val="single" w:sz="4" w:space="0" w:color="auto"/>
              <w:right w:val="single" w:sz="4" w:space="0" w:color="auto"/>
            </w:tcBorders>
            <w:shd w:val="clear" w:color="auto" w:fill="auto"/>
          </w:tcPr>
          <w:p w:rsidR="00237C67" w:rsidRPr="00952B6B" w:rsidRDefault="00237C67" w:rsidP="002F0742">
            <w:pPr>
              <w:spacing w:before="60" w:after="120"/>
              <w:jc w:val="center"/>
              <w:rPr>
                <w:rFonts w:eastAsia="MS Mincho"/>
                <w:bCs/>
                <w:kern w:val="22"/>
                <w:szCs w:val="22"/>
                <w:lang w:val="ru-RU"/>
              </w:rPr>
            </w:pPr>
            <w:r w:rsidRPr="00952B6B">
              <w:rPr>
                <w:b/>
                <w:szCs w:val="22"/>
                <w:lang w:val="ru-RU"/>
              </w:rPr>
              <w:t>Цели</w:t>
            </w:r>
          </w:p>
          <w:p w:rsidR="00237C67" w:rsidRPr="00952B6B" w:rsidRDefault="00237C67" w:rsidP="002F0742">
            <w:pPr>
              <w:spacing w:before="60" w:after="120"/>
              <w:jc w:val="center"/>
              <w:rPr>
                <w:rFonts w:eastAsia="MS Mincho"/>
                <w:bCs/>
                <w:kern w:val="22"/>
                <w:szCs w:val="22"/>
                <w:lang w:val="ru-RU"/>
              </w:rPr>
            </w:pPr>
            <w:r w:rsidRPr="00952B6B">
              <w:rPr>
                <w:i/>
                <w:szCs w:val="22"/>
                <w:lang w:val="ru-RU"/>
              </w:rPr>
              <w:t>(Желательные результаты)</w:t>
            </w:r>
          </w:p>
        </w:tc>
        <w:tc>
          <w:tcPr>
            <w:tcW w:w="2551" w:type="dxa"/>
            <w:tcBorders>
              <w:top w:val="single" w:sz="4" w:space="0" w:color="auto"/>
              <w:left w:val="single" w:sz="4" w:space="0" w:color="auto"/>
              <w:right w:val="single" w:sz="4" w:space="0" w:color="auto"/>
            </w:tcBorders>
            <w:shd w:val="clear" w:color="auto" w:fill="auto"/>
          </w:tcPr>
          <w:p w:rsidR="00237C67" w:rsidRPr="00952B6B" w:rsidRDefault="00237C67" w:rsidP="002F0742">
            <w:pPr>
              <w:spacing w:before="60" w:after="120"/>
              <w:jc w:val="center"/>
              <w:rPr>
                <w:rFonts w:eastAsia="MS Mincho"/>
                <w:b/>
                <w:iCs/>
                <w:kern w:val="22"/>
                <w:szCs w:val="22"/>
                <w:lang w:val="ru-RU"/>
              </w:rPr>
            </w:pPr>
            <w:r w:rsidRPr="00952B6B">
              <w:rPr>
                <w:b/>
                <w:szCs w:val="22"/>
                <w:lang w:val="ru-RU"/>
              </w:rPr>
              <w:t>Промежуточные цели</w:t>
            </w:r>
          </w:p>
          <w:p w:rsidR="00237C67" w:rsidRPr="00952B6B" w:rsidRDefault="00237C67" w:rsidP="002F0742">
            <w:pPr>
              <w:spacing w:before="60" w:after="120"/>
              <w:jc w:val="center"/>
              <w:rPr>
                <w:rFonts w:eastAsia="MS Mincho"/>
                <w:b/>
                <w:iCs/>
                <w:kern w:val="22"/>
                <w:szCs w:val="22"/>
                <w:lang w:val="ru-RU"/>
              </w:rPr>
            </w:pPr>
            <w:r w:rsidRPr="00952B6B">
              <w:rPr>
                <w:i/>
                <w:szCs w:val="22"/>
                <w:lang w:val="ru-RU"/>
              </w:rPr>
              <w:t>(Что должно быть сделано для достижения цел</w:t>
            </w:r>
            <w:r w:rsidR="0011569E">
              <w:rPr>
                <w:i/>
                <w:szCs w:val="22"/>
                <w:lang w:val="ru-RU"/>
              </w:rPr>
              <w:t>и</w:t>
            </w:r>
            <w:r w:rsidRPr="00952B6B">
              <w:rPr>
                <w:i/>
                <w:szCs w:val="22"/>
                <w:lang w:val="ru-RU"/>
              </w:rPr>
              <w:t>)</w:t>
            </w:r>
          </w:p>
        </w:tc>
        <w:tc>
          <w:tcPr>
            <w:tcW w:w="2835" w:type="dxa"/>
            <w:tcBorders>
              <w:top w:val="single" w:sz="4" w:space="0" w:color="auto"/>
              <w:left w:val="single" w:sz="4" w:space="0" w:color="auto"/>
              <w:right w:val="single" w:sz="4" w:space="0" w:color="auto"/>
            </w:tcBorders>
            <w:shd w:val="clear" w:color="auto" w:fill="auto"/>
          </w:tcPr>
          <w:p w:rsidR="00237C67" w:rsidRPr="00952B6B" w:rsidRDefault="00237C67" w:rsidP="002F0742">
            <w:pPr>
              <w:spacing w:before="60" w:after="120"/>
              <w:jc w:val="center"/>
              <w:rPr>
                <w:rFonts w:eastAsia="MS Mincho"/>
                <w:b/>
                <w:iCs/>
                <w:kern w:val="22"/>
                <w:szCs w:val="22"/>
                <w:lang w:val="ru-RU"/>
              </w:rPr>
            </w:pPr>
            <w:r w:rsidRPr="00952B6B">
              <w:rPr>
                <w:b/>
                <w:szCs w:val="22"/>
                <w:lang w:val="ru-RU"/>
              </w:rPr>
              <w:t>Индикаторы</w:t>
            </w:r>
          </w:p>
          <w:p w:rsidR="00237C67" w:rsidRPr="00952B6B" w:rsidRDefault="00237C67" w:rsidP="002F0742">
            <w:pPr>
              <w:spacing w:before="60" w:after="120"/>
              <w:jc w:val="center"/>
              <w:rPr>
                <w:rFonts w:eastAsia="MS Mincho"/>
                <w:b/>
                <w:iCs/>
                <w:kern w:val="22"/>
                <w:szCs w:val="22"/>
                <w:lang w:val="ru-RU"/>
              </w:rPr>
            </w:pPr>
            <w:r w:rsidRPr="00952B6B">
              <w:rPr>
                <w:i/>
                <w:szCs w:val="22"/>
                <w:lang w:val="ru-RU"/>
              </w:rPr>
              <w:t>(Измерение прогресса в достижении промежуточных целей)</w:t>
            </w:r>
          </w:p>
        </w:tc>
        <w:tc>
          <w:tcPr>
            <w:tcW w:w="2001" w:type="dxa"/>
            <w:tcBorders>
              <w:top w:val="single" w:sz="4" w:space="0" w:color="auto"/>
              <w:left w:val="single" w:sz="4" w:space="0" w:color="auto"/>
              <w:right w:val="single" w:sz="4" w:space="0" w:color="auto"/>
            </w:tcBorders>
            <w:shd w:val="clear" w:color="auto" w:fill="auto"/>
          </w:tcPr>
          <w:p w:rsidR="00237C67" w:rsidRPr="00952B6B" w:rsidRDefault="00237C67" w:rsidP="002F0742">
            <w:pPr>
              <w:spacing w:before="60" w:after="120"/>
              <w:jc w:val="center"/>
              <w:rPr>
                <w:rFonts w:eastAsia="MS Mincho"/>
                <w:b/>
                <w:bCs/>
                <w:kern w:val="22"/>
                <w:szCs w:val="22"/>
                <w:lang w:val="ru-RU"/>
              </w:rPr>
            </w:pPr>
            <w:r w:rsidRPr="00952B6B">
              <w:rPr>
                <w:b/>
                <w:szCs w:val="22"/>
                <w:lang w:val="ru-RU"/>
              </w:rPr>
              <w:t>Результаты</w:t>
            </w:r>
          </w:p>
          <w:p w:rsidR="00237C67" w:rsidRPr="00952B6B" w:rsidRDefault="00237C67" w:rsidP="002F0742">
            <w:pPr>
              <w:spacing w:before="60" w:after="120"/>
              <w:jc w:val="center"/>
              <w:rPr>
                <w:rFonts w:eastAsia="MS Mincho"/>
                <w:b/>
                <w:bCs/>
                <w:kern w:val="22"/>
                <w:szCs w:val="22"/>
                <w:lang w:val="ru-RU"/>
              </w:rPr>
            </w:pPr>
            <w:r w:rsidRPr="00952B6B">
              <w:rPr>
                <w:i/>
                <w:szCs w:val="22"/>
                <w:lang w:val="ru-RU"/>
              </w:rPr>
              <w:t>(Эффект от достижения цели)</w:t>
            </w:r>
          </w:p>
        </w:tc>
      </w:tr>
      <w:tr w:rsidR="00237C67" w:rsidRPr="00952B6B" w:rsidTr="00A22837">
        <w:tc>
          <w:tcPr>
            <w:tcW w:w="9509" w:type="dxa"/>
            <w:gridSpan w:val="4"/>
            <w:tcBorders>
              <w:top w:val="single" w:sz="4" w:space="0" w:color="auto"/>
            </w:tcBorders>
            <w:shd w:val="clear" w:color="auto" w:fill="auto"/>
          </w:tcPr>
          <w:p w:rsidR="00237C67" w:rsidRPr="00952B6B" w:rsidRDefault="00237C67" w:rsidP="00237C67">
            <w:pPr>
              <w:numPr>
                <w:ilvl w:val="0"/>
                <w:numId w:val="20"/>
              </w:numPr>
              <w:spacing w:before="60" w:after="60"/>
              <w:ind w:left="0" w:firstLine="0"/>
              <w:jc w:val="center"/>
              <w:rPr>
                <w:rFonts w:eastAsia="MS Mincho"/>
                <w:kern w:val="22"/>
                <w:szCs w:val="22"/>
                <w:lang w:val="ru-RU"/>
              </w:rPr>
            </w:pPr>
            <w:r w:rsidRPr="00952B6B">
              <w:rPr>
                <w:b/>
                <w:szCs w:val="22"/>
                <w:lang w:val="ru-RU"/>
              </w:rPr>
              <w:t>Области осуществления</w:t>
            </w:r>
          </w:p>
        </w:tc>
      </w:tr>
      <w:tr w:rsidR="00237C67" w:rsidRPr="00952B6B" w:rsidTr="00CC34DE">
        <w:tc>
          <w:tcPr>
            <w:tcW w:w="2122" w:type="dxa"/>
            <w:shd w:val="clear" w:color="auto" w:fill="auto"/>
          </w:tcPr>
          <w:p w:rsidR="00237C67" w:rsidRPr="00952B6B" w:rsidRDefault="00237C67" w:rsidP="00BA72AF">
            <w:pPr>
              <w:spacing w:before="60" w:after="60"/>
              <w:jc w:val="left"/>
              <w:rPr>
                <w:rFonts w:eastAsia="MS Mincho"/>
                <w:b/>
                <w:kern w:val="22"/>
                <w:szCs w:val="22"/>
                <w:lang w:val="ru-RU"/>
              </w:rPr>
            </w:pPr>
            <w:r w:rsidRPr="00952B6B">
              <w:rPr>
                <w:b/>
                <w:szCs w:val="22"/>
                <w:lang w:val="ru-RU"/>
              </w:rPr>
              <w:t xml:space="preserve">A.1. Стороны располагают функционирующими национальными механизмами по обеспечению </w:t>
            </w:r>
            <w:r w:rsidRPr="00952B6B">
              <w:rPr>
                <w:b/>
                <w:szCs w:val="22"/>
                <w:lang w:val="ru-RU"/>
              </w:rPr>
              <w:lastRenderedPageBreak/>
              <w:t>биобезопасности</w:t>
            </w:r>
          </w:p>
          <w:p w:rsidR="00237C67" w:rsidRPr="00952B6B" w:rsidRDefault="00237C67" w:rsidP="00BA72AF">
            <w:pPr>
              <w:spacing w:before="60" w:after="60"/>
              <w:jc w:val="left"/>
              <w:rPr>
                <w:rFonts w:eastAsia="MS Mincho"/>
                <w:kern w:val="22"/>
                <w:szCs w:val="22"/>
                <w:lang w:val="ru-RU"/>
              </w:rPr>
            </w:pP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A.1.1. Стороны приняли и внедрили правовые, административные и другие меры по выполнению своих обязательств в рамках </w:t>
            </w:r>
            <w:r w:rsidRPr="00952B6B">
              <w:rPr>
                <w:szCs w:val="22"/>
                <w:lang w:val="ru-RU"/>
              </w:rPr>
              <w:lastRenderedPageBreak/>
              <w:t>Протокола;</w:t>
            </w:r>
          </w:p>
          <w:p w:rsidR="00237C67" w:rsidRPr="00952B6B" w:rsidRDefault="00237C67" w:rsidP="00BA72AF">
            <w:pPr>
              <w:spacing w:before="60" w:after="60"/>
              <w:jc w:val="left"/>
              <w:rPr>
                <w:rFonts w:eastAsia="MS Mincho"/>
                <w:kern w:val="22"/>
                <w:szCs w:val="22"/>
                <w:lang w:val="ru-RU"/>
              </w:rPr>
            </w:pPr>
            <w:r w:rsidRPr="00952B6B">
              <w:rPr>
                <w:szCs w:val="22"/>
                <w:lang w:val="ru-RU"/>
              </w:rPr>
              <w:t>A.1.2. Стороны назначили национальные компетентные органы и национальные координационные центры по Протоколу, а также контактные пункты по чрезвычайным мерам (статья 17);</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A.1.3. Компетентные национальные органы располагают для осуществления своих задач должным образом подготовленными кадрами. </w:t>
            </w: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(a) процентная доля Сторон, внедривших меры по осуществлению положений Протокола;</w:t>
            </w:r>
          </w:p>
          <w:p w:rsidR="00237C67" w:rsidRPr="00952B6B" w:rsidRDefault="00237C67" w:rsidP="00BA72AF">
            <w:pPr>
              <w:jc w:val="left"/>
              <w:rPr>
                <w:rFonts w:eastAsia="MS Mincho"/>
                <w:kern w:val="22"/>
                <w:szCs w:val="22"/>
                <w:lang w:val="ru-RU"/>
              </w:rPr>
            </w:pPr>
            <w:r w:rsidRPr="00952B6B">
              <w:rPr>
                <w:szCs w:val="22"/>
                <w:lang w:val="ru-RU"/>
              </w:rPr>
              <w:t xml:space="preserve">(b) процентная доля Сторон, назначивших </w:t>
            </w:r>
            <w:r w:rsidRPr="00952B6B">
              <w:rPr>
                <w:szCs w:val="22"/>
                <w:lang w:val="ru-RU"/>
              </w:rPr>
              <w:lastRenderedPageBreak/>
              <w:t>национальный координационный центр и компетентные национальные органы по Протоколу, а также контактный пункт по чрезвычайным мерам (статья 17) и соответствующим образом уведомивших об этом Секретариат;</w:t>
            </w:r>
          </w:p>
          <w:p w:rsidR="00237C67" w:rsidRPr="00952B6B" w:rsidRDefault="00237C67" w:rsidP="00BA72AF">
            <w:pPr>
              <w:spacing w:before="60" w:after="60"/>
              <w:jc w:val="left"/>
              <w:rPr>
                <w:rFonts w:eastAsia="MS Mincho"/>
                <w:kern w:val="22"/>
                <w:szCs w:val="22"/>
                <w:lang w:val="ru-RU"/>
              </w:rPr>
            </w:pPr>
            <w:r w:rsidRPr="00952B6B">
              <w:rPr>
                <w:szCs w:val="22"/>
                <w:lang w:val="ru-RU"/>
              </w:rPr>
              <w:t>(с) процентная доля Сторон, располагающих квалифицированными кадрами для обеспечения функционирования своих национальных механизмов по обеспечению биобезопасности.</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Функционирующие национальные механизмы по обеспечению биобезопасности позволяют компетентным </w:t>
            </w:r>
            <w:r w:rsidRPr="00952B6B">
              <w:rPr>
                <w:szCs w:val="22"/>
                <w:lang w:val="ru-RU"/>
              </w:rPr>
              <w:lastRenderedPageBreak/>
              <w:t>органам, национальным координационным центрам и контактным пунктам в соответствии со статьей 17 всех Сторон плодотворно и эффективно выполнять свои обязательства в рамках Протокола</w:t>
            </w:r>
          </w:p>
        </w:tc>
      </w:tr>
      <w:tr w:rsidR="00237C67" w:rsidRPr="00952B6B" w:rsidTr="00CC34DE">
        <w:tc>
          <w:tcPr>
            <w:tcW w:w="2122" w:type="dxa"/>
            <w:shd w:val="clear" w:color="auto" w:fill="auto"/>
          </w:tcPr>
          <w:p w:rsidR="00237C67" w:rsidRPr="00952B6B" w:rsidRDefault="00237C67" w:rsidP="00987235">
            <w:pPr>
              <w:spacing w:before="60" w:after="60"/>
              <w:jc w:val="left"/>
              <w:rPr>
                <w:rFonts w:eastAsia="MS Mincho"/>
                <w:b/>
                <w:kern w:val="22"/>
                <w:szCs w:val="22"/>
                <w:lang w:val="ru-RU"/>
              </w:rPr>
            </w:pPr>
            <w:r w:rsidRPr="00952B6B">
              <w:rPr>
                <w:b/>
                <w:szCs w:val="22"/>
                <w:lang w:val="ru-RU"/>
              </w:rPr>
              <w:lastRenderedPageBreak/>
              <w:t xml:space="preserve">A.2. Стороны расширили наличие соответствующей информации и активизировали обмен ею через </w:t>
            </w:r>
            <w:r w:rsidR="00A93059" w:rsidRPr="00952B6B">
              <w:rPr>
                <w:b/>
                <w:szCs w:val="22"/>
                <w:lang w:val="ru-RU"/>
              </w:rPr>
              <w:t>Механизм посредничества по биобезопасности (</w:t>
            </w:r>
            <w:r w:rsidRPr="00952B6B">
              <w:rPr>
                <w:b/>
                <w:szCs w:val="22"/>
                <w:lang w:val="ru-RU"/>
              </w:rPr>
              <w:t>МПБ</w:t>
            </w:r>
            <w:r w:rsidR="00A93059" w:rsidRPr="00952B6B">
              <w:rPr>
                <w:b/>
                <w:szCs w:val="22"/>
                <w:lang w:val="ru-RU"/>
              </w:rPr>
              <w:t>)</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A.2.1. Стороны предоставляют достоверную и полную обязательную информацию в МПБ в соответствии со своими обязательствами в рамках Протокола;</w:t>
            </w:r>
          </w:p>
          <w:p w:rsidR="00237C67" w:rsidRPr="00952B6B" w:rsidRDefault="00237C67" w:rsidP="00BA72AF">
            <w:pPr>
              <w:spacing w:before="60" w:after="60"/>
              <w:jc w:val="left"/>
              <w:rPr>
                <w:rFonts w:eastAsia="MS Mincho"/>
                <w:kern w:val="22"/>
                <w:szCs w:val="22"/>
                <w:lang w:val="ru-RU"/>
              </w:rPr>
            </w:pPr>
            <w:r w:rsidRPr="00952B6B">
              <w:rPr>
                <w:szCs w:val="22"/>
                <w:lang w:val="ru-RU"/>
              </w:rPr>
              <w:t>A.2.2. Стороны публикуют через МПБ любую необязательную информацию, имеющую отношение к биобезопасности.</w:t>
            </w: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(а) процентная доля Сторон, предоставляющих обязательную информацию через МПБ;</w:t>
            </w:r>
          </w:p>
          <w:p w:rsidR="00237C67" w:rsidRPr="00952B6B" w:rsidRDefault="00237C67" w:rsidP="00BA72AF">
            <w:pPr>
              <w:spacing w:before="60" w:after="60"/>
              <w:jc w:val="left"/>
              <w:rPr>
                <w:rFonts w:eastAsia="MS Mincho"/>
                <w:kern w:val="22"/>
                <w:szCs w:val="22"/>
                <w:lang w:val="ru-RU"/>
              </w:rPr>
            </w:pPr>
            <w:r w:rsidRPr="00952B6B">
              <w:rPr>
                <w:szCs w:val="22"/>
                <w:lang w:val="ru-RU"/>
              </w:rPr>
              <w:t>(b) процентная доля Сторон, публикующих через МПБ любую необязательную информацию, имеющую отношение к биобезопасности;</w:t>
            </w:r>
          </w:p>
          <w:p w:rsidR="00237C67" w:rsidRPr="00952B6B" w:rsidRDefault="00237C67" w:rsidP="00BA72AF">
            <w:pPr>
              <w:spacing w:before="60" w:after="60"/>
              <w:jc w:val="left"/>
              <w:rPr>
                <w:szCs w:val="22"/>
                <w:lang w:val="ru-RU"/>
              </w:rPr>
            </w:pPr>
            <w:r w:rsidRPr="00952B6B">
              <w:rPr>
                <w:szCs w:val="22"/>
                <w:lang w:val="ru-RU"/>
              </w:rPr>
              <w:t xml:space="preserve">(c) число активных пользователей и </w:t>
            </w:r>
            <w:r w:rsidR="00E653F8">
              <w:rPr>
                <w:szCs w:val="22"/>
                <w:lang w:val="ru-RU"/>
              </w:rPr>
              <w:t>посещений</w:t>
            </w:r>
            <w:r w:rsidRPr="00952B6B">
              <w:rPr>
                <w:szCs w:val="22"/>
                <w:lang w:val="ru-RU"/>
              </w:rPr>
              <w:t xml:space="preserve"> МПБ;</w:t>
            </w:r>
          </w:p>
          <w:p w:rsidR="00237C67" w:rsidRPr="00952B6B" w:rsidRDefault="00237C67" w:rsidP="00BA72AF">
            <w:pPr>
              <w:spacing w:before="60" w:after="60"/>
              <w:jc w:val="left"/>
              <w:rPr>
                <w:rFonts w:eastAsia="MS Mincho"/>
                <w:kern w:val="22"/>
                <w:szCs w:val="22"/>
                <w:lang w:val="ru-RU"/>
              </w:rPr>
            </w:pPr>
            <w:r w:rsidRPr="00952B6B">
              <w:rPr>
                <w:rFonts w:eastAsia="MS Mincho"/>
                <w:szCs w:val="22"/>
                <w:lang w:val="ru-RU"/>
              </w:rPr>
              <w:t xml:space="preserve">(d) </w:t>
            </w:r>
            <w:r w:rsidRPr="00952B6B">
              <w:rPr>
                <w:szCs w:val="22"/>
                <w:lang w:val="ru-RU"/>
              </w:rPr>
              <w:t xml:space="preserve">процентная доля решений в МПБ с соответствующими докладами по оценке рисков. </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 xml:space="preserve">МПБ обеспечивает наличие информации, имеющей отношение к биобезопасности, и обмен такой информацией и позволяет Сторонам принимать обоснованные решения </w:t>
            </w:r>
          </w:p>
        </w:tc>
      </w:tr>
      <w:tr w:rsidR="00237C67" w:rsidRPr="00952B6B" w:rsidTr="00CC34DE">
        <w:tc>
          <w:tcPr>
            <w:tcW w:w="2122" w:type="dxa"/>
            <w:shd w:val="clear" w:color="auto" w:fill="auto"/>
          </w:tcPr>
          <w:p w:rsidR="00237C67" w:rsidRPr="00952B6B" w:rsidRDefault="00237C67" w:rsidP="00987235">
            <w:pPr>
              <w:spacing w:before="60" w:after="60"/>
              <w:jc w:val="left"/>
              <w:rPr>
                <w:rFonts w:eastAsia="MS Mincho"/>
                <w:b/>
                <w:kern w:val="22"/>
                <w:szCs w:val="22"/>
                <w:lang w:val="ru-RU"/>
              </w:rPr>
            </w:pPr>
            <w:r w:rsidRPr="00952B6B">
              <w:rPr>
                <w:b/>
                <w:szCs w:val="22"/>
                <w:lang w:val="ru-RU"/>
              </w:rPr>
              <w:t>A.3. Стороны своевременно предоставляют полную информацию об осуществлении Протокола</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A.3.1. Стороны представляют полные национальные доклады в соответствии с установленными сроками.</w:t>
            </w: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(a) процентная доля Сторон, представивших полный национальный доклад в установленные сроки;</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 процентная доля Сторон, имеющих право на получение помощи, которые получили доступ к </w:t>
            </w:r>
            <w:r w:rsidRPr="00952B6B">
              <w:rPr>
                <w:szCs w:val="22"/>
                <w:lang w:val="ru-RU"/>
              </w:rPr>
              <w:lastRenderedPageBreak/>
              <w:t>финансированию Г</w:t>
            </w:r>
            <w:r w:rsidR="007917DB" w:rsidRPr="00952B6B">
              <w:rPr>
                <w:szCs w:val="22"/>
                <w:lang w:val="ru-RU"/>
              </w:rPr>
              <w:t xml:space="preserve">лобального экологического фонда </w:t>
            </w:r>
            <w:r w:rsidRPr="00952B6B">
              <w:rPr>
                <w:szCs w:val="22"/>
                <w:lang w:val="ru-RU"/>
              </w:rPr>
              <w:t>для своевременной подготовки своего национального доклада.</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Достоверная и своевременная информация об осуществлении Протокола позволяет Конференции Сторон, выступающей в качестве </w:t>
            </w:r>
            <w:r w:rsidR="00E653F8">
              <w:rPr>
                <w:szCs w:val="22"/>
                <w:lang w:val="ru-RU"/>
              </w:rPr>
              <w:lastRenderedPageBreak/>
              <w:t>с</w:t>
            </w:r>
            <w:r w:rsidRPr="00952B6B">
              <w:rPr>
                <w:szCs w:val="22"/>
                <w:lang w:val="ru-RU"/>
              </w:rPr>
              <w:t xml:space="preserve">овещания Сторон Протокола, определять приоритеты и выявлять области, в которых необходима поддержка </w:t>
            </w:r>
          </w:p>
        </w:tc>
      </w:tr>
      <w:tr w:rsidR="00237C67" w:rsidRPr="00952B6B" w:rsidTr="00CC34DE">
        <w:tc>
          <w:tcPr>
            <w:tcW w:w="2122" w:type="dxa"/>
            <w:shd w:val="clear" w:color="auto" w:fill="auto"/>
          </w:tcPr>
          <w:p w:rsidR="00237C67" w:rsidRPr="00952B6B" w:rsidRDefault="00237C67" w:rsidP="00987235">
            <w:pPr>
              <w:spacing w:before="60" w:after="60"/>
              <w:jc w:val="left"/>
              <w:rPr>
                <w:rFonts w:eastAsia="MS Mincho"/>
                <w:b/>
                <w:bCs/>
                <w:kern w:val="22"/>
                <w:szCs w:val="22"/>
                <w:lang w:val="ru-RU"/>
              </w:rPr>
            </w:pPr>
            <w:r w:rsidRPr="00952B6B">
              <w:rPr>
                <w:b/>
                <w:szCs w:val="22"/>
                <w:lang w:val="ru-RU"/>
              </w:rPr>
              <w:lastRenderedPageBreak/>
              <w:t>A.4. Стороны выполняют требования Протокола</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A.4.1. Стороны соблюдают свои обязательства в рамках Протокола;</w:t>
            </w:r>
          </w:p>
          <w:p w:rsidR="00237C67" w:rsidRPr="00952B6B" w:rsidRDefault="00237C67" w:rsidP="00BA72AF">
            <w:pPr>
              <w:spacing w:before="60" w:after="60"/>
              <w:jc w:val="left"/>
              <w:rPr>
                <w:rFonts w:eastAsia="MS Mincho"/>
                <w:b/>
                <w:bCs/>
                <w:kern w:val="22"/>
                <w:szCs w:val="22"/>
                <w:lang w:val="ru-RU"/>
              </w:rPr>
            </w:pPr>
            <w:r w:rsidRPr="00952B6B">
              <w:rPr>
                <w:szCs w:val="22"/>
                <w:lang w:val="ru-RU"/>
              </w:rPr>
              <w:t>A.4.2. Стороны решают проблемы несоблюдения, выявленные Комитетом по соблюдению.</w:t>
            </w:r>
          </w:p>
        </w:tc>
        <w:tc>
          <w:tcPr>
            <w:tcW w:w="2835" w:type="dxa"/>
            <w:shd w:val="clear" w:color="auto" w:fill="auto"/>
          </w:tcPr>
          <w:p w:rsidR="00237C67" w:rsidRPr="00952B6B" w:rsidRDefault="00237C67" w:rsidP="00BA72AF">
            <w:pPr>
              <w:spacing w:before="60" w:after="60"/>
              <w:jc w:val="left"/>
              <w:rPr>
                <w:rFonts w:eastAsia="MS Mincho"/>
                <w:bCs/>
                <w:kern w:val="22"/>
                <w:szCs w:val="22"/>
                <w:lang w:val="ru-RU"/>
              </w:rPr>
            </w:pPr>
            <w:r w:rsidRPr="00952B6B">
              <w:rPr>
                <w:szCs w:val="22"/>
                <w:lang w:val="ru-RU"/>
              </w:rPr>
              <w:t>(а) процентная доля Сторон, соблюдающих свои обязательства в рамках Протокола;</w:t>
            </w:r>
          </w:p>
          <w:p w:rsidR="00237C67" w:rsidRPr="00952B6B" w:rsidRDefault="00237C67" w:rsidP="00BA72AF">
            <w:pPr>
              <w:spacing w:before="60" w:after="60"/>
              <w:jc w:val="left"/>
              <w:rPr>
                <w:rFonts w:eastAsia="MS Mincho"/>
                <w:b/>
                <w:bCs/>
                <w:kern w:val="22"/>
                <w:szCs w:val="22"/>
                <w:lang w:val="ru-RU"/>
              </w:rPr>
            </w:pPr>
            <w:r w:rsidRPr="00952B6B">
              <w:rPr>
                <w:szCs w:val="22"/>
                <w:lang w:val="ru-RU"/>
              </w:rPr>
              <w:t xml:space="preserve">(b) процентная доля Сторон, решивших проблемы несоблюдения, выявленные Комитетом по соблюдению. </w:t>
            </w:r>
          </w:p>
        </w:tc>
        <w:tc>
          <w:tcPr>
            <w:tcW w:w="2001" w:type="dxa"/>
            <w:shd w:val="clear" w:color="auto" w:fill="auto"/>
          </w:tcPr>
          <w:p w:rsidR="00237C67" w:rsidRPr="00952B6B" w:rsidRDefault="00237C67" w:rsidP="00BA72AF">
            <w:pPr>
              <w:spacing w:before="60" w:after="60"/>
              <w:jc w:val="left"/>
              <w:rPr>
                <w:rFonts w:eastAsia="MS Mincho"/>
                <w:b/>
                <w:bCs/>
                <w:kern w:val="22"/>
                <w:szCs w:val="22"/>
                <w:lang w:val="ru-RU"/>
              </w:rPr>
            </w:pPr>
            <w:r w:rsidRPr="00952B6B">
              <w:rPr>
                <w:szCs w:val="22"/>
                <w:lang w:val="ru-RU"/>
              </w:rPr>
              <w:t>Эффективный механизм обеспечения соблюдения способствует осуществлению Протокола</w:t>
            </w:r>
          </w:p>
        </w:tc>
      </w:tr>
      <w:tr w:rsidR="00237C67" w:rsidRPr="00952B6B" w:rsidTr="00CC34DE">
        <w:trPr>
          <w:trHeight w:val="1322"/>
        </w:trPr>
        <w:tc>
          <w:tcPr>
            <w:tcW w:w="2122" w:type="dxa"/>
            <w:shd w:val="clear" w:color="auto" w:fill="auto"/>
          </w:tcPr>
          <w:p w:rsidR="00237C67" w:rsidRPr="00952B6B" w:rsidRDefault="00237C67" w:rsidP="00BA72AF">
            <w:pPr>
              <w:spacing w:before="60" w:after="60"/>
              <w:jc w:val="left"/>
              <w:rPr>
                <w:rFonts w:eastAsia="MS Mincho"/>
                <w:b/>
                <w:kern w:val="22"/>
                <w:szCs w:val="22"/>
                <w:lang w:val="ru-RU"/>
              </w:rPr>
            </w:pPr>
            <w:r w:rsidRPr="00952B6B">
              <w:rPr>
                <w:b/>
                <w:szCs w:val="22"/>
                <w:lang w:val="ru-RU"/>
              </w:rPr>
              <w:t xml:space="preserve">A.5. Стороны осуществляют научно обоснованную оценку рисков в отношении </w:t>
            </w:r>
            <w:r w:rsidR="007917DB" w:rsidRPr="00952B6B">
              <w:rPr>
                <w:b/>
                <w:szCs w:val="22"/>
                <w:lang w:val="ru-RU"/>
              </w:rPr>
              <w:t>живых измененных организмов (</w:t>
            </w:r>
            <w:r w:rsidRPr="00952B6B">
              <w:rPr>
                <w:b/>
                <w:szCs w:val="22"/>
                <w:lang w:val="ru-RU"/>
              </w:rPr>
              <w:t>ЖИО</w:t>
            </w:r>
            <w:r w:rsidR="007917DB" w:rsidRPr="00952B6B">
              <w:rPr>
                <w:b/>
                <w:szCs w:val="22"/>
                <w:lang w:val="ru-RU"/>
              </w:rPr>
              <w:t>)</w:t>
            </w:r>
            <w:r w:rsidRPr="00952B6B">
              <w:rPr>
                <w:b/>
                <w:szCs w:val="22"/>
                <w:lang w:val="ru-RU"/>
              </w:rPr>
              <w:t>, а также управление и контроль в отношении выявленных рисков для предотвращения неблагоприятного воздействия ЖИО на сохранение и устойчивое использование биологического разнообразия, учитывая при этом риски для здоровья человека</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A.5.1. Стороны применяют надлежащие научно обоснованные процедуры оценки рисков и регулирования рисков в отношении ЖИО в соответствии с Приложением III к Протоколу;</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A.5.2. Стороны разрабатывают (при необходимости), имеют доступ и используют </w:t>
            </w:r>
            <w:r w:rsidR="00D45C7F">
              <w:rPr>
                <w:szCs w:val="22"/>
                <w:lang w:val="ru-RU"/>
              </w:rPr>
              <w:t>соответствующие</w:t>
            </w:r>
            <w:r w:rsidRPr="00952B6B">
              <w:rPr>
                <w:szCs w:val="22"/>
                <w:lang w:val="ru-RU"/>
              </w:rPr>
              <w:t xml:space="preserve"> </w:t>
            </w:r>
            <w:r w:rsidR="00D45C7F">
              <w:rPr>
                <w:szCs w:val="22"/>
                <w:lang w:val="ru-RU"/>
              </w:rPr>
              <w:t>справочные</w:t>
            </w:r>
            <w:r w:rsidRPr="00952B6B">
              <w:rPr>
                <w:szCs w:val="22"/>
                <w:lang w:val="ru-RU"/>
              </w:rPr>
              <w:t xml:space="preserve"> материалы для проведения научно обоснованной оценки рисков и управления рисками.</w:t>
            </w: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 xml:space="preserve">(a) процентная доля Сторон, проводящих оценку рисков для принятия решений в отношении ЖИО, когда это необходимо в соответствии с Протоколом; </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 процентная доля Сторон, имеющих доступ и использующих соответствующие </w:t>
            </w:r>
            <w:r w:rsidR="00CC34DE">
              <w:rPr>
                <w:szCs w:val="22"/>
                <w:lang w:val="ru-RU"/>
              </w:rPr>
              <w:t>справочные</w:t>
            </w:r>
            <w:r w:rsidR="00CC34DE" w:rsidRPr="00952B6B">
              <w:rPr>
                <w:szCs w:val="22"/>
                <w:lang w:val="ru-RU"/>
              </w:rPr>
              <w:t xml:space="preserve"> </w:t>
            </w:r>
            <w:r w:rsidRPr="00952B6B">
              <w:rPr>
                <w:szCs w:val="22"/>
                <w:lang w:val="ru-RU"/>
              </w:rPr>
              <w:t>материалы для оценки рисков и управления рисками;</w:t>
            </w:r>
          </w:p>
          <w:p w:rsidR="00237C67" w:rsidRPr="00952B6B" w:rsidRDefault="00237C67" w:rsidP="00BA72AF">
            <w:pPr>
              <w:spacing w:before="60" w:after="60"/>
              <w:jc w:val="left"/>
              <w:rPr>
                <w:szCs w:val="22"/>
                <w:lang w:val="ru-RU"/>
              </w:rPr>
            </w:pPr>
            <w:r w:rsidRPr="00952B6B">
              <w:rPr>
                <w:szCs w:val="22"/>
                <w:lang w:val="ru-RU"/>
              </w:rPr>
              <w:t>(с) процентная доля Сторон, проводящих оценки рисков с учетом других имеющихся научных данных, упомянутых в статье 15;</w:t>
            </w:r>
          </w:p>
          <w:p w:rsidR="00237C67" w:rsidRPr="00952B6B" w:rsidRDefault="00237C67" w:rsidP="00F316B2">
            <w:pPr>
              <w:spacing w:before="60" w:after="60"/>
              <w:jc w:val="left"/>
              <w:rPr>
                <w:rFonts w:eastAsia="MS Mincho"/>
                <w:kern w:val="22"/>
                <w:szCs w:val="22"/>
                <w:lang w:val="ru-RU"/>
              </w:rPr>
            </w:pPr>
            <w:r w:rsidRPr="00952B6B">
              <w:rPr>
                <w:szCs w:val="22"/>
                <w:lang w:val="ru-RU"/>
              </w:rPr>
              <w:t xml:space="preserve">(d) процентная доля Сторон, которые приняли меры по выявлению ЖИО или специфических признаков, которые могут оказывать негативное воздействие на сохранение и устойчивое использование биологического разнообразия, а также </w:t>
            </w:r>
            <w:r w:rsidRPr="00952B6B">
              <w:rPr>
                <w:szCs w:val="22"/>
                <w:lang w:val="ru-RU"/>
              </w:rPr>
              <w:lastRenderedPageBreak/>
              <w:t>меры по смягчению рисков.</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Стороны выявляют, оценивают и надлежащим образом регулируют и контролируют риски, которые ЖИО несут для биоразнообразия, учитывая в том числе риски для здоровья человека. </w:t>
            </w:r>
          </w:p>
        </w:tc>
      </w:tr>
      <w:tr w:rsidR="00237C67" w:rsidRPr="00952B6B" w:rsidTr="00CC34DE">
        <w:tc>
          <w:tcPr>
            <w:tcW w:w="2122" w:type="dxa"/>
            <w:shd w:val="clear" w:color="auto" w:fill="auto"/>
          </w:tcPr>
          <w:p w:rsidR="00237C67" w:rsidRPr="00952B6B" w:rsidRDefault="00237C67" w:rsidP="00A81A4C">
            <w:pPr>
              <w:spacing w:before="60" w:after="60"/>
              <w:jc w:val="left"/>
              <w:rPr>
                <w:rFonts w:eastAsia="MS Mincho"/>
                <w:b/>
                <w:kern w:val="22"/>
                <w:szCs w:val="22"/>
                <w:lang w:val="ru-RU"/>
              </w:rPr>
            </w:pPr>
            <w:r w:rsidRPr="00952B6B">
              <w:rPr>
                <w:b/>
                <w:szCs w:val="22"/>
                <w:lang w:val="ru-RU"/>
              </w:rPr>
              <w:lastRenderedPageBreak/>
              <w:t>A.6. Стороны предотвращают и решают проблемы незаконных и непреднамеренных трансграничных перемещений ЖИО</w:t>
            </w:r>
          </w:p>
        </w:tc>
        <w:tc>
          <w:tcPr>
            <w:tcW w:w="2551" w:type="dxa"/>
          </w:tcPr>
          <w:p w:rsidR="00237C67" w:rsidRPr="00952B6B" w:rsidRDefault="00237C67" w:rsidP="00BA72AF">
            <w:pPr>
              <w:spacing w:before="60" w:after="60"/>
              <w:rPr>
                <w:rFonts w:eastAsia="MS Mincho"/>
                <w:kern w:val="22"/>
                <w:szCs w:val="22"/>
                <w:lang w:val="ru-RU"/>
              </w:rPr>
            </w:pPr>
            <w:r w:rsidRPr="00952B6B">
              <w:rPr>
                <w:szCs w:val="22"/>
                <w:lang w:val="ru-RU"/>
              </w:rPr>
              <w:t>A.6.1. Стороны приняли надлежащие меры для предотвращения решения проблем незаконных и непреднамеренных трансграничных перемещений ЖИО.</w:t>
            </w:r>
          </w:p>
        </w:tc>
        <w:tc>
          <w:tcPr>
            <w:tcW w:w="2835" w:type="dxa"/>
            <w:shd w:val="clear" w:color="auto" w:fill="auto"/>
          </w:tcPr>
          <w:p w:rsidR="00237C67" w:rsidRPr="00952B6B" w:rsidRDefault="00237C67" w:rsidP="00BA72AF">
            <w:pPr>
              <w:spacing w:before="60" w:after="60"/>
              <w:rPr>
                <w:rFonts w:eastAsia="MS Mincho"/>
                <w:kern w:val="22"/>
                <w:szCs w:val="22"/>
                <w:lang w:val="ru-RU"/>
              </w:rPr>
            </w:pPr>
            <w:r w:rsidRPr="00952B6B">
              <w:rPr>
                <w:szCs w:val="22"/>
                <w:lang w:val="ru-RU"/>
              </w:rPr>
              <w:t>(a) процентная доля Сторон, которые ввели в действие меры по предотвращению и решению проблем незаконных и непреднамеренных трансграничных перемещений ЖИО.</w:t>
            </w:r>
          </w:p>
        </w:tc>
        <w:tc>
          <w:tcPr>
            <w:tcW w:w="2001" w:type="dxa"/>
            <w:shd w:val="clear" w:color="auto" w:fill="auto"/>
          </w:tcPr>
          <w:p w:rsidR="00237C67" w:rsidRPr="00952B6B" w:rsidRDefault="00237C67" w:rsidP="00BA72AF">
            <w:pPr>
              <w:spacing w:before="60" w:after="60"/>
              <w:rPr>
                <w:rFonts w:eastAsia="MS Mincho"/>
                <w:kern w:val="22"/>
                <w:szCs w:val="22"/>
                <w:lang w:val="ru-RU"/>
              </w:rPr>
            </w:pPr>
            <w:r w:rsidRPr="00952B6B">
              <w:rPr>
                <w:szCs w:val="22"/>
                <w:lang w:val="ru-RU"/>
              </w:rPr>
              <w:t>Незаконные и непреднамеренные трансграничные перемещения ЖИО предотвращены или сведены к минимуму</w:t>
            </w:r>
          </w:p>
        </w:tc>
      </w:tr>
      <w:tr w:rsidR="00237C67" w:rsidRPr="00952B6B" w:rsidTr="00CC34DE">
        <w:tc>
          <w:tcPr>
            <w:tcW w:w="2122" w:type="dxa"/>
            <w:shd w:val="clear" w:color="auto" w:fill="auto"/>
          </w:tcPr>
          <w:p w:rsidR="00237C67" w:rsidRPr="00952B6B" w:rsidRDefault="00237C67" w:rsidP="00BA72AF">
            <w:pPr>
              <w:spacing w:before="60" w:after="60"/>
              <w:jc w:val="left"/>
              <w:rPr>
                <w:rFonts w:eastAsia="MS Mincho"/>
                <w:b/>
                <w:kern w:val="22"/>
                <w:szCs w:val="22"/>
                <w:lang w:val="ru-RU"/>
              </w:rPr>
            </w:pPr>
            <w:r w:rsidRPr="00952B6B">
              <w:rPr>
                <w:b/>
                <w:szCs w:val="22"/>
                <w:lang w:val="ru-RU"/>
              </w:rPr>
              <w:t xml:space="preserve">A.7. Стороны ввели в действие меры для обеспечения соблюдения требований статьи 18 Протокола в отношении обработки, транспортировки, упаковки и идентификации ЖИО </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A.7.1. Стороны приняли необходимые меры, в соответствии с которыми требуется, чтобы ЖИО, являющиеся объектом трансграничного перемещения, обрабатывались, упаковывались и транспортировались с соблюдением условий безопасности, принимая во внимание соответствующие международные правила и нормы сообразно обстоятельствам;</w:t>
            </w:r>
          </w:p>
          <w:p w:rsidR="00237C67" w:rsidRPr="00952B6B" w:rsidRDefault="00237C67" w:rsidP="00BA72AF">
            <w:pPr>
              <w:spacing w:before="60" w:after="60"/>
              <w:jc w:val="left"/>
              <w:rPr>
                <w:szCs w:val="22"/>
                <w:lang w:val="ru-RU"/>
              </w:rPr>
            </w:pPr>
            <w:r w:rsidRPr="00952B6B">
              <w:rPr>
                <w:szCs w:val="22"/>
                <w:lang w:val="ru-RU"/>
              </w:rPr>
              <w:t xml:space="preserve">A.7.2. Стороны ввели в действие меры для выполнения требований к документации в отношении ЖИО, предназначенных для непосредственного использования в качестве продовольствия или корма либо для обработки; ЖИО, предназначенных для использования в замкнутых системах; ЖИО, предназначенных </w:t>
            </w:r>
            <w:r w:rsidRPr="00952B6B">
              <w:rPr>
                <w:szCs w:val="22"/>
                <w:lang w:val="ru-RU"/>
              </w:rPr>
              <w:lastRenderedPageBreak/>
              <w:t>для преднамеренной интродукции в окружающую среду, и других ЖИО.</w:t>
            </w:r>
          </w:p>
          <w:p w:rsidR="00F316B2" w:rsidRPr="00952B6B" w:rsidRDefault="00F316B2" w:rsidP="00BA72AF">
            <w:pPr>
              <w:spacing w:before="60" w:after="60"/>
              <w:jc w:val="left"/>
              <w:rPr>
                <w:rFonts w:eastAsia="MS Mincho"/>
                <w:kern w:val="22"/>
                <w:szCs w:val="22"/>
                <w:lang w:val="ru-RU"/>
              </w:rPr>
            </w:pPr>
          </w:p>
          <w:p w:rsidR="00F316B2" w:rsidRPr="00952B6B" w:rsidRDefault="00F316B2" w:rsidP="00BA72AF">
            <w:pPr>
              <w:spacing w:before="60" w:after="60"/>
              <w:jc w:val="left"/>
              <w:rPr>
                <w:rFonts w:eastAsia="MS Mincho"/>
                <w:kern w:val="22"/>
                <w:szCs w:val="22"/>
                <w:lang w:val="ru-RU"/>
              </w:rPr>
            </w:pP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(a) процентная доля Сторон, принявших необходимые меры, в соответствии с которыми требуется, чтобы ЖИО, являющиеся объектом трансграничного перемещения, обрабатывались, упаковывались и транспортировались с соблюдением условий безопасности, принимая во внимание соответствующие международные правила и нормы сообразно обстоятельствам;</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 процентная доля Сторон, которые ввели в действие требования к документации в отношении ЖИО, предназначенных для непосредственного использования в качестве продовольствия или корма либо для </w:t>
            </w:r>
            <w:r w:rsidR="00CC34DE">
              <w:rPr>
                <w:szCs w:val="22"/>
                <w:lang w:val="ru-RU"/>
              </w:rPr>
              <w:t>пере</w:t>
            </w:r>
            <w:r w:rsidRPr="00952B6B">
              <w:rPr>
                <w:szCs w:val="22"/>
                <w:lang w:val="ru-RU"/>
              </w:rPr>
              <w:t>работки;</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(c) процентная доля Сторон, которые ввели в действие требования к документации в отношении ЖИО, предназначенных для использования </w:t>
            </w:r>
            <w:r w:rsidRPr="00952B6B">
              <w:rPr>
                <w:rFonts w:asciiTheme="majorBidi" w:eastAsia="MS Mincho" w:hAnsiTheme="majorBidi" w:cstheme="majorBidi"/>
                <w:kern w:val="22"/>
                <w:szCs w:val="22"/>
                <w:lang w:val="ru-RU"/>
              </w:rPr>
              <w:t>в замкнутых системах</w:t>
            </w:r>
            <w:r w:rsidRPr="00952B6B">
              <w:rPr>
                <w:szCs w:val="22"/>
                <w:lang w:val="ru-RU"/>
              </w:rPr>
              <w:t>;</w:t>
            </w:r>
          </w:p>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(d) процентная доля Сторон, которые ввели в действие требования к документации в отношении ЖИО, предназначенных для преднамеренной интродукции в окружающую среду, и других ЖИО.</w:t>
            </w:r>
          </w:p>
        </w:tc>
        <w:tc>
          <w:tcPr>
            <w:tcW w:w="2001" w:type="dxa"/>
            <w:shd w:val="clear" w:color="auto" w:fill="auto"/>
          </w:tcPr>
          <w:p w:rsidR="00237C67" w:rsidRPr="00952B6B" w:rsidRDefault="00237C67" w:rsidP="00BA72AF">
            <w:pPr>
              <w:spacing w:before="60" w:after="60"/>
              <w:rPr>
                <w:rFonts w:eastAsia="MS Mincho"/>
                <w:kern w:val="22"/>
                <w:szCs w:val="22"/>
                <w:lang w:val="ru-RU"/>
              </w:rPr>
            </w:pPr>
            <w:r w:rsidRPr="00952B6B">
              <w:rPr>
                <w:szCs w:val="22"/>
                <w:lang w:val="ru-RU"/>
              </w:rPr>
              <w:lastRenderedPageBreak/>
              <w:t xml:space="preserve">Благодаря надлежащей обработке, транспортировке, упаковке и идентификации ЖИО Стороны могут безопасно управлять преднамеренным трансграничным перемещением ЖИО  </w:t>
            </w:r>
          </w:p>
        </w:tc>
      </w:tr>
      <w:tr w:rsidR="00237C67" w:rsidRPr="00952B6B" w:rsidTr="00CC34DE">
        <w:tc>
          <w:tcPr>
            <w:tcW w:w="2122" w:type="dxa"/>
            <w:shd w:val="clear" w:color="auto" w:fill="auto"/>
          </w:tcPr>
          <w:p w:rsidR="00237C67" w:rsidRPr="00952B6B" w:rsidRDefault="00237C67" w:rsidP="00BA72AF">
            <w:pPr>
              <w:spacing w:before="60" w:after="60"/>
              <w:jc w:val="left"/>
              <w:rPr>
                <w:rFonts w:eastAsia="MS Mincho"/>
                <w:b/>
                <w:kern w:val="22"/>
                <w:szCs w:val="22"/>
                <w:lang w:val="ru-RU"/>
              </w:rPr>
            </w:pPr>
            <w:r w:rsidRPr="00952B6B">
              <w:rPr>
                <w:b/>
                <w:szCs w:val="22"/>
                <w:lang w:val="ru-RU"/>
              </w:rPr>
              <w:lastRenderedPageBreak/>
              <w:t>A.8. Стороны могут обнаруживать и идентифицировать ЖИО</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 xml:space="preserve">A.8.1. Стороны имеют доступ к необходимой технической инфраструктуре и экспертным знаниям для обнаружения и идентификации ЖИО; </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A.8.2. Стороны имеют доступ к надлежащим </w:t>
            </w:r>
            <w:r w:rsidR="00CC34DE">
              <w:rPr>
                <w:szCs w:val="22"/>
                <w:lang w:val="ru-RU"/>
              </w:rPr>
              <w:t>справочным</w:t>
            </w:r>
            <w:r w:rsidRPr="00952B6B">
              <w:rPr>
                <w:szCs w:val="22"/>
                <w:lang w:val="ru-RU"/>
              </w:rPr>
              <w:t xml:space="preserve"> материалам для обнаружения и идентификации ЖИО и используют их;</w:t>
            </w:r>
          </w:p>
          <w:p w:rsidR="00237C67" w:rsidRPr="00952B6B" w:rsidRDefault="00237C67" w:rsidP="00BA72AF">
            <w:pPr>
              <w:spacing w:before="60" w:after="60"/>
              <w:jc w:val="left"/>
              <w:rPr>
                <w:rFonts w:eastAsia="MS Mincho"/>
                <w:kern w:val="22"/>
                <w:szCs w:val="22"/>
                <w:lang w:val="ru-RU"/>
              </w:rPr>
            </w:pPr>
            <w:r w:rsidRPr="00952B6B">
              <w:rPr>
                <w:szCs w:val="22"/>
                <w:lang w:val="ru-RU"/>
              </w:rPr>
              <w:t>A.8.3. Стороны имеют доступ к информации, необходимой для обнаружения и идентификации ЖИО, включая методы обнаружения и сертифицированные справочные материалы, и используют ее.</w:t>
            </w: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(a) процентная доля ЖИО в МПБ, в отношении которых имеются методы обнаружения;</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 процентная доля Сторон, имеющих доступ к </w:t>
            </w:r>
            <w:r w:rsidR="00CC34DE">
              <w:rPr>
                <w:szCs w:val="22"/>
                <w:lang w:val="ru-RU"/>
              </w:rPr>
              <w:t>справочным</w:t>
            </w:r>
            <w:r w:rsidR="00CC34DE" w:rsidRPr="00952B6B">
              <w:rPr>
                <w:szCs w:val="22"/>
                <w:lang w:val="ru-RU"/>
              </w:rPr>
              <w:t xml:space="preserve"> </w:t>
            </w:r>
            <w:r w:rsidRPr="00952B6B">
              <w:rPr>
                <w:szCs w:val="22"/>
                <w:lang w:val="ru-RU"/>
              </w:rPr>
              <w:t>материалам и методам обнаружения и идентификации ЖИО и использующих их;</w:t>
            </w:r>
          </w:p>
          <w:p w:rsidR="00237C67" w:rsidRPr="00952B6B" w:rsidRDefault="00237C67" w:rsidP="00BA72AF">
            <w:pPr>
              <w:spacing w:before="60" w:after="60"/>
              <w:jc w:val="left"/>
              <w:rPr>
                <w:rFonts w:eastAsia="MS Mincho"/>
                <w:kern w:val="22"/>
                <w:szCs w:val="22"/>
                <w:lang w:val="ru-RU"/>
              </w:rPr>
            </w:pPr>
            <w:r w:rsidRPr="00952B6B">
              <w:rPr>
                <w:szCs w:val="22"/>
                <w:lang w:val="ru-RU"/>
              </w:rPr>
              <w:t>(c) процентная доля Сторон, имеющих доступ к сертифицированным справочным материалам, необходимым для обнаружения и идентификации ЖИО, и использующих такие материалы;</w:t>
            </w:r>
          </w:p>
          <w:p w:rsidR="00237C67" w:rsidRPr="00952B6B" w:rsidRDefault="00237C67" w:rsidP="00BA72AF">
            <w:pPr>
              <w:spacing w:before="60" w:after="60"/>
              <w:jc w:val="left"/>
              <w:rPr>
                <w:rFonts w:eastAsia="MS Mincho"/>
                <w:kern w:val="22"/>
                <w:szCs w:val="22"/>
                <w:lang w:val="ru-RU"/>
              </w:rPr>
            </w:pPr>
            <w:r w:rsidRPr="00952B6B">
              <w:rPr>
                <w:szCs w:val="22"/>
                <w:lang w:val="ru-RU"/>
              </w:rPr>
              <w:t>(d) процентная доля Сторон, имеющих доступ к технической инфраструктуре, необходимой для обнаружения и идентификации ЖИО.</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Благодаря обнаружению и идентификации ЖИО Стороны имеют возможность реагировать на непреднамеренные и незаконные трансграничные перемещения и внедрять требования к обработке, транспортировке, упаковке и идентификации в соответствии с Протоколом</w:t>
            </w:r>
          </w:p>
        </w:tc>
      </w:tr>
      <w:tr w:rsidR="00237C67" w:rsidRPr="00952B6B" w:rsidTr="00CC34DE">
        <w:trPr>
          <w:trHeight w:val="752"/>
        </w:trPr>
        <w:tc>
          <w:tcPr>
            <w:tcW w:w="2122" w:type="dxa"/>
            <w:shd w:val="clear" w:color="auto" w:fill="auto"/>
          </w:tcPr>
          <w:p w:rsidR="00237C67" w:rsidRPr="00952B6B" w:rsidRDefault="00237C67" w:rsidP="00987235">
            <w:pPr>
              <w:spacing w:before="60" w:after="60"/>
              <w:jc w:val="left"/>
              <w:rPr>
                <w:rFonts w:eastAsia="MS Mincho"/>
                <w:b/>
                <w:kern w:val="22"/>
                <w:szCs w:val="22"/>
                <w:lang w:val="ru-RU"/>
              </w:rPr>
            </w:pPr>
            <w:r w:rsidRPr="00952B6B">
              <w:rPr>
                <w:b/>
                <w:szCs w:val="22"/>
                <w:lang w:val="ru-RU"/>
              </w:rPr>
              <w:t xml:space="preserve">A.9. Стороны, принявшие такое решение, учитывают социально-экономические соображения при принятии решений об импорте ЖИО и сотрудничают в области научных исследований и </w:t>
            </w:r>
            <w:r w:rsidRPr="00952B6B">
              <w:rPr>
                <w:b/>
                <w:szCs w:val="22"/>
                <w:lang w:val="ru-RU"/>
              </w:rPr>
              <w:lastRenderedPageBreak/>
              <w:t xml:space="preserve">обмена информацией в соответствии со статьей 26 Протокола </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A.9.1. Стороны, принявшие такое решение, учитывают социально-экономические соображения при принятии решений в соответствии со статьей 26; </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A.9.2. Стороны, принявшие решение учитывать социально-экономические </w:t>
            </w:r>
            <w:r w:rsidRPr="00952B6B">
              <w:rPr>
                <w:szCs w:val="22"/>
                <w:lang w:val="ru-RU"/>
              </w:rPr>
              <w:lastRenderedPageBreak/>
              <w:t xml:space="preserve">соображения в соответствии со статьей 26, имеют доступ к </w:t>
            </w:r>
            <w:r w:rsidR="00C5414F" w:rsidRPr="00952B6B">
              <w:rPr>
                <w:szCs w:val="22"/>
                <w:lang w:val="ru-RU"/>
              </w:rPr>
              <w:t>справочны</w:t>
            </w:r>
            <w:r w:rsidR="00C5414F">
              <w:rPr>
                <w:szCs w:val="22"/>
                <w:lang w:val="ru-RU"/>
              </w:rPr>
              <w:t>м</w:t>
            </w:r>
            <w:r w:rsidR="00C5414F" w:rsidRPr="00952B6B">
              <w:rPr>
                <w:szCs w:val="22"/>
                <w:lang w:val="ru-RU"/>
              </w:rPr>
              <w:t xml:space="preserve"> </w:t>
            </w:r>
            <w:r w:rsidRPr="00952B6B">
              <w:rPr>
                <w:szCs w:val="22"/>
                <w:lang w:val="ru-RU"/>
              </w:rPr>
              <w:t>материалам и могут их использовать;</w:t>
            </w:r>
          </w:p>
          <w:p w:rsidR="00237C67" w:rsidRPr="00952B6B" w:rsidRDefault="00237C67" w:rsidP="00BA72AF">
            <w:pPr>
              <w:spacing w:before="60" w:after="60"/>
              <w:jc w:val="left"/>
              <w:rPr>
                <w:rFonts w:eastAsia="MS Mincho"/>
                <w:kern w:val="22"/>
                <w:szCs w:val="22"/>
                <w:lang w:val="ru-RU"/>
              </w:rPr>
            </w:pPr>
            <w:r w:rsidRPr="00952B6B">
              <w:rPr>
                <w:szCs w:val="22"/>
                <w:lang w:val="ru-RU"/>
              </w:rPr>
              <w:t>A.9.3. Стороны</w:t>
            </w:r>
            <w:r w:rsidR="001952EB" w:rsidRPr="00952B6B">
              <w:rPr>
                <w:szCs w:val="22"/>
                <w:lang w:val="ru-RU"/>
              </w:rPr>
              <w:t>, принявшие такое решение,</w:t>
            </w:r>
            <w:r w:rsidRPr="00952B6B">
              <w:rPr>
                <w:szCs w:val="22"/>
                <w:lang w:val="ru-RU"/>
              </w:rPr>
              <w:t xml:space="preserve"> сотрудничают в области научных исследований и обмена информацией о</w:t>
            </w:r>
            <w:r w:rsidR="001952EB" w:rsidRPr="00952B6B">
              <w:rPr>
                <w:szCs w:val="22"/>
                <w:lang w:val="ru-RU"/>
              </w:rPr>
              <w:t xml:space="preserve"> любых </w:t>
            </w:r>
            <w:r w:rsidRPr="00952B6B">
              <w:rPr>
                <w:szCs w:val="22"/>
                <w:lang w:val="ru-RU"/>
              </w:rPr>
              <w:t xml:space="preserve">социально-экономических последствиях для сохранения и устойчивого использования биологического разнообразия, связанных с </w:t>
            </w:r>
            <w:r w:rsidR="001952EB" w:rsidRPr="00952B6B">
              <w:rPr>
                <w:szCs w:val="22"/>
                <w:lang w:val="ru-RU"/>
              </w:rPr>
              <w:t>живыми измененными организмами</w:t>
            </w:r>
            <w:r w:rsidRPr="00952B6B">
              <w:rPr>
                <w:szCs w:val="22"/>
                <w:lang w:val="ru-RU"/>
              </w:rPr>
              <w:t>, прежде всего для коренных народов и местных общин</w:t>
            </w:r>
            <w:r w:rsidR="001952EB" w:rsidRPr="00952B6B">
              <w:rPr>
                <w:szCs w:val="22"/>
                <w:lang w:val="ru-RU"/>
              </w:rPr>
              <w:t>, в соответствии со статьей 26 Протокола</w:t>
            </w:r>
            <w:r w:rsidRPr="00952B6B">
              <w:rPr>
                <w:szCs w:val="22"/>
                <w:lang w:val="ru-RU"/>
              </w:rPr>
              <w:t>.</w:t>
            </w: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(a) процентная доля Сторон, учитывающих социально-экономические соображения при принятии решений в соответствии со статьей 26 Протокола;</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 процентная доля Сторон, </w:t>
            </w:r>
            <w:r w:rsidR="003C504F" w:rsidRPr="00952B6B">
              <w:rPr>
                <w:szCs w:val="22"/>
                <w:lang w:val="ru-RU"/>
              </w:rPr>
              <w:t xml:space="preserve">имеющих доступ и </w:t>
            </w:r>
            <w:r w:rsidRPr="00952B6B">
              <w:rPr>
                <w:szCs w:val="22"/>
                <w:lang w:val="ru-RU"/>
              </w:rPr>
              <w:t xml:space="preserve">использующих </w:t>
            </w:r>
            <w:r w:rsidR="00C5414F" w:rsidRPr="00952B6B">
              <w:rPr>
                <w:szCs w:val="22"/>
                <w:lang w:val="ru-RU"/>
              </w:rPr>
              <w:t xml:space="preserve">справочные </w:t>
            </w:r>
            <w:r w:rsidRPr="00952B6B">
              <w:rPr>
                <w:szCs w:val="22"/>
                <w:lang w:val="ru-RU"/>
              </w:rPr>
              <w:t>материалы для учета социально-экономических соображений;</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(с) процентная доля </w:t>
            </w:r>
            <w:r w:rsidRPr="00952B6B">
              <w:rPr>
                <w:szCs w:val="22"/>
                <w:lang w:val="ru-RU"/>
              </w:rPr>
              <w:lastRenderedPageBreak/>
              <w:t>Сторон, сотрудничающих в области научных исследований и обмена информацией о любых</w:t>
            </w:r>
            <w:r w:rsidR="003C504F" w:rsidRPr="00952B6B">
              <w:rPr>
                <w:szCs w:val="22"/>
                <w:lang w:val="ru-RU"/>
              </w:rPr>
              <w:t xml:space="preserve"> </w:t>
            </w:r>
            <w:r w:rsidRPr="00952B6B">
              <w:rPr>
                <w:szCs w:val="22"/>
                <w:lang w:val="ru-RU"/>
              </w:rPr>
              <w:t>социально-экономических последствиях для сохранения и устойчивого использования биологического разнообразия, связанных с ЖИО, прежде всего для коренных народов и местных общин</w:t>
            </w:r>
            <w:r w:rsidR="003C504F" w:rsidRPr="00952B6B">
              <w:rPr>
                <w:szCs w:val="22"/>
                <w:lang w:val="ru-RU"/>
              </w:rPr>
              <w:t>, в соответствии со статьей 26 Протокола</w:t>
            </w:r>
            <w:r w:rsidRPr="00952B6B">
              <w:rPr>
                <w:szCs w:val="22"/>
                <w:lang w:val="ru-RU"/>
              </w:rPr>
              <w:t>.</w:t>
            </w:r>
          </w:p>
          <w:p w:rsidR="00237C67" w:rsidRPr="00952B6B" w:rsidRDefault="00237C67" w:rsidP="00BA72AF">
            <w:pPr>
              <w:spacing w:before="60" w:after="60"/>
              <w:jc w:val="left"/>
              <w:rPr>
                <w:rFonts w:eastAsia="MS Mincho"/>
                <w:kern w:val="22"/>
                <w:szCs w:val="22"/>
                <w:lang w:val="ru-RU"/>
              </w:rPr>
            </w:pP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Стороны, принявшие соответствующее решение, учитывают социально-экономические соображения </w:t>
            </w:r>
            <w:r w:rsidR="003C504F" w:rsidRPr="00952B6B">
              <w:rPr>
                <w:szCs w:val="22"/>
                <w:lang w:val="ru-RU"/>
              </w:rPr>
              <w:t xml:space="preserve">при принятии решений в отношении импорта ЖМО и сотрудничают в области научных </w:t>
            </w:r>
            <w:r w:rsidR="003C504F" w:rsidRPr="00952B6B">
              <w:rPr>
                <w:szCs w:val="22"/>
                <w:lang w:val="ru-RU"/>
              </w:rPr>
              <w:lastRenderedPageBreak/>
              <w:t xml:space="preserve">исследований и обмена информацией, </w:t>
            </w:r>
            <w:r w:rsidRPr="00952B6B">
              <w:rPr>
                <w:szCs w:val="22"/>
                <w:lang w:val="ru-RU"/>
              </w:rPr>
              <w:t xml:space="preserve">в соответствии со статьей 26 </w:t>
            </w:r>
          </w:p>
          <w:p w:rsidR="00237C67" w:rsidRPr="00952B6B" w:rsidRDefault="00237C67" w:rsidP="00BA72AF">
            <w:pPr>
              <w:spacing w:before="60" w:after="60"/>
              <w:jc w:val="left"/>
              <w:rPr>
                <w:rFonts w:eastAsia="MS Mincho"/>
                <w:kern w:val="22"/>
                <w:szCs w:val="22"/>
                <w:lang w:val="ru-RU"/>
              </w:rPr>
            </w:pPr>
          </w:p>
        </w:tc>
      </w:tr>
      <w:tr w:rsidR="00237C67" w:rsidRPr="00952B6B" w:rsidTr="00CC34DE">
        <w:tc>
          <w:tcPr>
            <w:tcW w:w="2122" w:type="dxa"/>
            <w:shd w:val="clear" w:color="auto" w:fill="auto"/>
          </w:tcPr>
          <w:p w:rsidR="00237C67" w:rsidRPr="00952B6B" w:rsidRDefault="00237C67" w:rsidP="00987235">
            <w:pPr>
              <w:spacing w:before="60" w:after="60"/>
              <w:jc w:val="left"/>
              <w:rPr>
                <w:rFonts w:eastAsia="MS Mincho"/>
                <w:b/>
                <w:kern w:val="22"/>
                <w:szCs w:val="22"/>
                <w:lang w:val="ru-RU"/>
              </w:rPr>
            </w:pPr>
            <w:r w:rsidRPr="00952B6B">
              <w:rPr>
                <w:b/>
                <w:szCs w:val="22"/>
                <w:lang w:val="ru-RU"/>
              </w:rPr>
              <w:lastRenderedPageBreak/>
              <w:t xml:space="preserve">A.10. Стороны Картахенского протокола становятся Сторонами </w:t>
            </w:r>
            <w:proofErr w:type="spellStart"/>
            <w:r w:rsidRPr="00952B6B">
              <w:rPr>
                <w:b/>
                <w:szCs w:val="22"/>
                <w:lang w:val="ru-RU"/>
              </w:rPr>
              <w:t>Нагойско</w:t>
            </w:r>
            <w:proofErr w:type="spellEnd"/>
            <w:r w:rsidRPr="00952B6B">
              <w:rPr>
                <w:b/>
                <w:szCs w:val="22"/>
                <w:lang w:val="ru-RU"/>
              </w:rPr>
              <w:t xml:space="preserve"> – </w:t>
            </w:r>
            <w:proofErr w:type="spellStart"/>
            <w:r w:rsidRPr="00952B6B">
              <w:rPr>
                <w:b/>
                <w:szCs w:val="22"/>
                <w:lang w:val="ru-RU"/>
              </w:rPr>
              <w:t>Куала-лумпурского</w:t>
            </w:r>
            <w:proofErr w:type="spellEnd"/>
            <w:r w:rsidRPr="00952B6B">
              <w:rPr>
                <w:b/>
                <w:szCs w:val="22"/>
                <w:lang w:val="ru-RU"/>
              </w:rPr>
              <w:t xml:space="preserve"> дополнительного протокола об ответственности и возмещении и вводят в действие меры для выполнения своих обязательств в рамках Дополнительного протокола</w:t>
            </w:r>
          </w:p>
        </w:tc>
        <w:tc>
          <w:tcPr>
            <w:tcW w:w="2551" w:type="dxa"/>
          </w:tcPr>
          <w:p w:rsidR="00237C67" w:rsidRPr="00952B6B" w:rsidRDefault="00237C67" w:rsidP="00BA72AF">
            <w:pPr>
              <w:spacing w:before="60" w:after="60"/>
              <w:rPr>
                <w:rFonts w:eastAsia="MS Mincho"/>
                <w:kern w:val="22"/>
                <w:szCs w:val="22"/>
                <w:lang w:val="ru-RU"/>
              </w:rPr>
            </w:pPr>
            <w:r w:rsidRPr="00952B6B">
              <w:rPr>
                <w:szCs w:val="22"/>
                <w:lang w:val="ru-RU"/>
              </w:rPr>
              <w:t xml:space="preserve">A.10.1. </w:t>
            </w:r>
            <w:r w:rsidR="00920EB0">
              <w:rPr>
                <w:szCs w:val="22"/>
                <w:lang w:val="ru-RU"/>
              </w:rPr>
              <w:t>Увеличение</w:t>
            </w:r>
            <w:r w:rsidRPr="00952B6B">
              <w:rPr>
                <w:szCs w:val="22"/>
                <w:lang w:val="ru-RU"/>
              </w:rPr>
              <w:t xml:space="preserve"> числа Сторон Дополнительного протокола;</w:t>
            </w:r>
          </w:p>
          <w:p w:rsidR="00237C67" w:rsidRPr="00952B6B" w:rsidRDefault="00237C67" w:rsidP="00BA72AF">
            <w:pPr>
              <w:spacing w:before="60" w:after="60"/>
              <w:rPr>
                <w:rFonts w:eastAsia="MS Mincho"/>
                <w:kern w:val="22"/>
                <w:szCs w:val="22"/>
                <w:lang w:val="ru-RU"/>
              </w:rPr>
            </w:pPr>
            <w:r w:rsidRPr="00952B6B">
              <w:rPr>
                <w:szCs w:val="22"/>
                <w:lang w:val="ru-RU"/>
              </w:rPr>
              <w:t>A.10.2. Стороны Дополнительного протокола приняли и осуществили надлежащие меры для введения в действие положений Дополнительного протокола;</w:t>
            </w:r>
          </w:p>
          <w:p w:rsidR="00237C67" w:rsidRPr="00952B6B" w:rsidRDefault="00237C67" w:rsidP="00BA72AF">
            <w:pPr>
              <w:spacing w:before="60" w:after="60"/>
              <w:rPr>
                <w:rFonts w:eastAsia="MS Mincho"/>
                <w:kern w:val="22"/>
                <w:szCs w:val="22"/>
                <w:lang w:val="ru-RU"/>
              </w:rPr>
            </w:pPr>
            <w:r w:rsidRPr="00952B6B">
              <w:rPr>
                <w:szCs w:val="22"/>
                <w:lang w:val="ru-RU"/>
              </w:rPr>
              <w:t>A.10.3 Стороны Дополнительного протокола представляют отчетность об осуществлении Дополнительного протокола.</w:t>
            </w:r>
          </w:p>
        </w:tc>
        <w:tc>
          <w:tcPr>
            <w:tcW w:w="2835" w:type="dxa"/>
            <w:shd w:val="clear" w:color="auto" w:fill="auto"/>
          </w:tcPr>
          <w:p w:rsidR="00237C67" w:rsidRPr="00952B6B" w:rsidRDefault="00237C67" w:rsidP="00BA72AF">
            <w:pPr>
              <w:spacing w:before="60" w:after="60"/>
              <w:rPr>
                <w:rFonts w:eastAsia="MS Mincho"/>
                <w:kern w:val="22"/>
                <w:szCs w:val="22"/>
                <w:lang w:val="ru-RU"/>
              </w:rPr>
            </w:pPr>
            <w:r w:rsidRPr="00952B6B">
              <w:rPr>
                <w:szCs w:val="22"/>
                <w:lang w:val="ru-RU"/>
              </w:rPr>
              <w:t>(a) процентная доля Сторон Кар</w:t>
            </w:r>
            <w:r w:rsidR="00CB6053">
              <w:rPr>
                <w:szCs w:val="22"/>
                <w:lang w:val="ru-RU"/>
              </w:rPr>
              <w:t>т</w:t>
            </w:r>
            <w:r w:rsidRPr="00952B6B">
              <w:rPr>
                <w:szCs w:val="22"/>
                <w:lang w:val="ru-RU"/>
              </w:rPr>
              <w:t>ахенского протокола, ставших Сторонами Дополнительного протокола;</w:t>
            </w:r>
          </w:p>
          <w:p w:rsidR="00237C67" w:rsidRPr="00952B6B" w:rsidRDefault="00237C67" w:rsidP="00BA72AF">
            <w:pPr>
              <w:spacing w:before="60" w:after="60"/>
              <w:rPr>
                <w:rFonts w:eastAsia="MS Mincho"/>
                <w:kern w:val="22"/>
                <w:szCs w:val="22"/>
                <w:lang w:val="ru-RU"/>
              </w:rPr>
            </w:pPr>
            <w:r w:rsidRPr="00952B6B">
              <w:rPr>
                <w:szCs w:val="22"/>
                <w:lang w:val="ru-RU"/>
              </w:rPr>
              <w:t>(b) процентная доля Сторон Дополнительного протокола, которые ввели в действие необходимые меры по осуществлению положений Дополнительного протокола;</w:t>
            </w:r>
          </w:p>
          <w:p w:rsidR="00237C67" w:rsidRPr="00952B6B" w:rsidRDefault="00237C67" w:rsidP="00BA72AF">
            <w:pPr>
              <w:spacing w:before="60" w:after="60"/>
              <w:rPr>
                <w:rFonts w:eastAsia="MS Mincho"/>
                <w:kern w:val="22"/>
                <w:szCs w:val="22"/>
                <w:lang w:val="ru-RU"/>
              </w:rPr>
            </w:pPr>
            <w:r w:rsidRPr="00952B6B">
              <w:rPr>
                <w:szCs w:val="22"/>
                <w:lang w:val="ru-RU"/>
              </w:rPr>
              <w:t xml:space="preserve">(c) процентная доля Сторон Дополнительного протокола, представляющих отчетность об осуществлении Дополнительного </w:t>
            </w:r>
            <w:r w:rsidRPr="00952B6B">
              <w:rPr>
                <w:szCs w:val="22"/>
                <w:lang w:val="ru-RU"/>
              </w:rPr>
              <w:lastRenderedPageBreak/>
              <w:t xml:space="preserve">протокола. </w:t>
            </w:r>
          </w:p>
        </w:tc>
        <w:tc>
          <w:tcPr>
            <w:tcW w:w="2001" w:type="dxa"/>
            <w:shd w:val="clear" w:color="auto" w:fill="auto"/>
          </w:tcPr>
          <w:p w:rsidR="00237C67" w:rsidRPr="00952B6B" w:rsidRDefault="00CB6053" w:rsidP="00CB6053">
            <w:pPr>
              <w:spacing w:before="60" w:after="60"/>
              <w:jc w:val="left"/>
              <w:rPr>
                <w:rFonts w:eastAsia="MS Mincho"/>
                <w:kern w:val="22"/>
                <w:szCs w:val="22"/>
                <w:lang w:val="ru-RU"/>
              </w:rPr>
            </w:pPr>
            <w:r>
              <w:rPr>
                <w:szCs w:val="22"/>
                <w:lang w:val="ru-RU"/>
              </w:rPr>
              <w:lastRenderedPageBreak/>
              <w:t>Увеличение</w:t>
            </w:r>
            <w:r w:rsidR="00237C67" w:rsidRPr="00952B6B">
              <w:rPr>
                <w:szCs w:val="22"/>
                <w:lang w:val="ru-RU"/>
              </w:rPr>
              <w:t xml:space="preserve"> числа ратификаций </w:t>
            </w:r>
            <w:proofErr w:type="spellStart"/>
            <w:r w:rsidR="00237C67" w:rsidRPr="00952B6B">
              <w:rPr>
                <w:szCs w:val="22"/>
                <w:lang w:val="ru-RU"/>
              </w:rPr>
              <w:t>Нагойско</w:t>
            </w:r>
            <w:proofErr w:type="spellEnd"/>
            <w:r w:rsidR="00237C67" w:rsidRPr="00952B6B">
              <w:rPr>
                <w:szCs w:val="22"/>
                <w:lang w:val="ru-RU"/>
              </w:rPr>
              <w:t xml:space="preserve"> </w:t>
            </w:r>
            <w:r w:rsidR="00237C67" w:rsidRPr="00952B6B">
              <w:rPr>
                <w:b/>
                <w:szCs w:val="22"/>
                <w:lang w:val="ru-RU"/>
              </w:rPr>
              <w:t xml:space="preserve">– </w:t>
            </w:r>
            <w:proofErr w:type="spellStart"/>
            <w:r w:rsidR="00237C67" w:rsidRPr="00952B6B">
              <w:rPr>
                <w:szCs w:val="22"/>
                <w:lang w:val="ru-RU"/>
              </w:rPr>
              <w:t>Куала-лумпурского</w:t>
            </w:r>
            <w:proofErr w:type="spellEnd"/>
            <w:r w:rsidR="00237C67" w:rsidRPr="00952B6B">
              <w:rPr>
                <w:szCs w:val="22"/>
                <w:lang w:val="ru-RU"/>
              </w:rPr>
              <w:t xml:space="preserve"> дополнительного протокола об ответственности и возмещении способствует разработке национальных правил и процедур в отношении ответственности и возмещения за ущерб, причиненный ЖИО, появившихся в результате трансграничного </w:t>
            </w:r>
            <w:r w:rsidR="00237C67" w:rsidRPr="00952B6B">
              <w:rPr>
                <w:szCs w:val="22"/>
                <w:lang w:val="ru-RU"/>
              </w:rPr>
              <w:lastRenderedPageBreak/>
              <w:t>перемещения</w:t>
            </w:r>
          </w:p>
          <w:p w:rsidR="00237C67" w:rsidRPr="00952B6B" w:rsidRDefault="00237C67" w:rsidP="00BA72AF">
            <w:pPr>
              <w:spacing w:before="60" w:after="60"/>
              <w:rPr>
                <w:rFonts w:eastAsia="MS Mincho"/>
                <w:kern w:val="22"/>
                <w:szCs w:val="22"/>
                <w:lang w:val="ru-RU"/>
              </w:rPr>
            </w:pPr>
          </w:p>
        </w:tc>
      </w:tr>
      <w:tr w:rsidR="00237C67" w:rsidRPr="00952B6B" w:rsidTr="00A22837">
        <w:trPr>
          <w:trHeight w:val="575"/>
        </w:trPr>
        <w:tc>
          <w:tcPr>
            <w:tcW w:w="9509" w:type="dxa"/>
            <w:gridSpan w:val="4"/>
            <w:shd w:val="clear" w:color="auto" w:fill="auto"/>
          </w:tcPr>
          <w:p w:rsidR="00237C67" w:rsidRPr="00952B6B" w:rsidRDefault="00237C67" w:rsidP="00A83E1D">
            <w:pPr>
              <w:pStyle w:val="aff0"/>
              <w:numPr>
                <w:ilvl w:val="0"/>
                <w:numId w:val="20"/>
              </w:numPr>
              <w:suppressLineNumbers/>
              <w:suppressAutoHyphens/>
              <w:spacing w:before="120" w:after="120"/>
              <w:jc w:val="center"/>
              <w:rPr>
                <w:rFonts w:asciiTheme="majorBidi" w:eastAsia="MS Mincho" w:hAnsiTheme="majorBidi" w:cstheme="majorBidi"/>
                <w:b/>
                <w:bCs/>
                <w:kern w:val="22"/>
                <w:szCs w:val="22"/>
              </w:rPr>
            </w:pPr>
            <w:r w:rsidRPr="00952B6B">
              <w:rPr>
                <w:rFonts w:asciiTheme="majorBidi" w:eastAsia="MS Mincho" w:hAnsiTheme="majorBidi" w:cstheme="majorBidi"/>
                <w:b/>
                <w:bCs/>
                <w:kern w:val="22"/>
                <w:szCs w:val="22"/>
                <w:lang w:val="ru-RU"/>
              </w:rPr>
              <w:lastRenderedPageBreak/>
              <w:t xml:space="preserve"> </w:t>
            </w:r>
            <w:proofErr w:type="spellStart"/>
            <w:r w:rsidRPr="00952B6B">
              <w:rPr>
                <w:rFonts w:asciiTheme="majorBidi" w:eastAsia="MS Mincho" w:hAnsiTheme="majorBidi" w:cstheme="majorBidi"/>
                <w:b/>
                <w:bCs/>
                <w:kern w:val="22"/>
                <w:szCs w:val="22"/>
              </w:rPr>
              <w:t>Благоприятные</w:t>
            </w:r>
            <w:proofErr w:type="spellEnd"/>
            <w:r w:rsidRPr="00952B6B">
              <w:rPr>
                <w:rFonts w:asciiTheme="majorBidi" w:eastAsia="MS Mincho" w:hAnsiTheme="majorBidi" w:cstheme="majorBidi"/>
                <w:b/>
                <w:bCs/>
                <w:kern w:val="22"/>
                <w:szCs w:val="22"/>
              </w:rPr>
              <w:t xml:space="preserve"> </w:t>
            </w:r>
            <w:proofErr w:type="spellStart"/>
            <w:r w:rsidRPr="00952B6B">
              <w:rPr>
                <w:rFonts w:asciiTheme="majorBidi" w:eastAsia="MS Mincho" w:hAnsiTheme="majorBidi" w:cstheme="majorBidi"/>
                <w:b/>
                <w:bCs/>
                <w:kern w:val="22"/>
                <w:szCs w:val="22"/>
              </w:rPr>
              <w:t>условия</w:t>
            </w:r>
            <w:proofErr w:type="spellEnd"/>
          </w:p>
        </w:tc>
      </w:tr>
      <w:tr w:rsidR="00237C67" w:rsidRPr="00952B6B" w:rsidTr="00CC34DE">
        <w:tc>
          <w:tcPr>
            <w:tcW w:w="2122" w:type="dxa"/>
            <w:shd w:val="clear" w:color="auto" w:fill="auto"/>
          </w:tcPr>
          <w:p w:rsidR="00237C67" w:rsidRPr="00952B6B" w:rsidRDefault="00237C67" w:rsidP="00987235">
            <w:pPr>
              <w:spacing w:before="60" w:after="60"/>
              <w:jc w:val="left"/>
              <w:rPr>
                <w:rFonts w:eastAsia="MS Mincho"/>
                <w:b/>
                <w:kern w:val="22"/>
                <w:szCs w:val="22"/>
                <w:lang w:val="ru-RU"/>
              </w:rPr>
            </w:pPr>
            <w:r w:rsidRPr="00952B6B">
              <w:rPr>
                <w:b/>
                <w:szCs w:val="22"/>
                <w:lang w:val="ru-RU"/>
              </w:rPr>
              <w:t xml:space="preserve">B.1. Стороны осуществляют мероприятия по созданию потенциала </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B.1.1. Стороны выявили свои потребности в области создания потенциала и распределили их по степени приоритетности;</w:t>
            </w:r>
          </w:p>
          <w:p w:rsidR="00237C67" w:rsidRPr="00952B6B" w:rsidRDefault="00237C67" w:rsidP="00BA72AF">
            <w:pPr>
              <w:spacing w:before="60" w:after="60"/>
              <w:jc w:val="left"/>
              <w:rPr>
                <w:rFonts w:eastAsia="MS Mincho"/>
                <w:kern w:val="22"/>
                <w:szCs w:val="22"/>
                <w:lang w:val="ru-RU"/>
              </w:rPr>
            </w:pPr>
            <w:r w:rsidRPr="00952B6B">
              <w:rPr>
                <w:szCs w:val="22"/>
                <w:lang w:val="ru-RU"/>
              </w:rPr>
              <w:t>B.1.2. Стороны осуществляют мероприятия по созданию потенциала, предусмотренные в Плане действий по созданию потенциала</w:t>
            </w:r>
            <w:r w:rsidR="00B92959" w:rsidRPr="00952B6B">
              <w:rPr>
                <w:szCs w:val="22"/>
                <w:lang w:val="ru-RU"/>
              </w:rPr>
              <w:t xml:space="preserve"> для Картахенского протокола по биобезопасности</w:t>
            </w:r>
            <w:r w:rsidRPr="00952B6B">
              <w:rPr>
                <w:szCs w:val="22"/>
                <w:lang w:val="ru-RU"/>
              </w:rPr>
              <w:t xml:space="preserve">; </w:t>
            </w:r>
          </w:p>
          <w:p w:rsidR="00237C67" w:rsidRPr="00952B6B" w:rsidRDefault="00237C67" w:rsidP="00BA72AF">
            <w:pPr>
              <w:spacing w:before="60" w:after="60"/>
              <w:jc w:val="left"/>
              <w:rPr>
                <w:rFonts w:eastAsia="MS Mincho"/>
                <w:kern w:val="22"/>
                <w:szCs w:val="22"/>
                <w:lang w:val="ru-RU"/>
              </w:rPr>
            </w:pPr>
            <w:r w:rsidRPr="00952B6B">
              <w:rPr>
                <w:szCs w:val="22"/>
                <w:lang w:val="ru-RU"/>
              </w:rPr>
              <w:t>B.1.3. Стороны используют материалы по созданию потенциала, включая онлайновые ресурсы;</w:t>
            </w:r>
          </w:p>
          <w:p w:rsidR="00237C67" w:rsidRPr="00952B6B" w:rsidRDefault="00237C67" w:rsidP="00BA72AF">
            <w:pPr>
              <w:spacing w:before="60" w:after="60"/>
              <w:jc w:val="left"/>
              <w:rPr>
                <w:rFonts w:eastAsia="MS Mincho"/>
                <w:kern w:val="22"/>
                <w:szCs w:val="22"/>
                <w:lang w:val="ru-RU"/>
              </w:rPr>
            </w:pPr>
            <w:r w:rsidRPr="00952B6B">
              <w:rPr>
                <w:szCs w:val="22"/>
                <w:lang w:val="ru-RU"/>
              </w:rPr>
              <w:t>B.1.4. Стороны взаимодействуют в целях укрепления потенциала для осуществления Протокола.</w:t>
            </w:r>
          </w:p>
        </w:tc>
        <w:tc>
          <w:tcPr>
            <w:tcW w:w="2835" w:type="dxa"/>
            <w:shd w:val="clear" w:color="auto" w:fill="auto"/>
          </w:tcPr>
          <w:p w:rsidR="00237C67" w:rsidRPr="00952B6B" w:rsidRDefault="00237C67" w:rsidP="00BA72AF">
            <w:pPr>
              <w:spacing w:before="60" w:after="60"/>
              <w:jc w:val="left"/>
              <w:rPr>
                <w:kern w:val="22"/>
                <w:szCs w:val="22"/>
                <w:lang w:val="ru-RU"/>
              </w:rPr>
            </w:pPr>
            <w:r w:rsidRPr="00952B6B">
              <w:rPr>
                <w:szCs w:val="22"/>
                <w:lang w:val="ru-RU"/>
              </w:rPr>
              <w:t>(a) процентная доля Сторон, которые выявили свои потребности и приоритеты в области создания потенциала;</w:t>
            </w:r>
          </w:p>
          <w:p w:rsidR="00237C67" w:rsidRPr="00952B6B" w:rsidRDefault="00237C67" w:rsidP="00BA72AF">
            <w:pPr>
              <w:spacing w:before="60" w:after="60"/>
              <w:jc w:val="left"/>
              <w:rPr>
                <w:kern w:val="22"/>
                <w:szCs w:val="22"/>
                <w:lang w:val="ru-RU"/>
              </w:rPr>
            </w:pPr>
            <w:r w:rsidRPr="00952B6B">
              <w:rPr>
                <w:szCs w:val="22"/>
                <w:lang w:val="ru-RU"/>
              </w:rPr>
              <w:t>(b) процентная доля Сторон, осуществляющих мероприятия по созданию потенциала;</w:t>
            </w:r>
          </w:p>
          <w:p w:rsidR="00237C67" w:rsidRPr="00952B6B" w:rsidRDefault="00237C67" w:rsidP="00BA72AF">
            <w:pPr>
              <w:spacing w:before="60" w:after="60"/>
              <w:jc w:val="left"/>
              <w:rPr>
                <w:kern w:val="22"/>
                <w:szCs w:val="22"/>
                <w:lang w:val="ru-RU"/>
              </w:rPr>
            </w:pPr>
            <w:r w:rsidRPr="00952B6B">
              <w:rPr>
                <w:szCs w:val="22"/>
                <w:lang w:val="ru-RU"/>
              </w:rPr>
              <w:t>(c) процентная доля Сторон, имеющих потребности в области создания потенциала, которые используют материалы по созданию потенциала, включая онлайновые ресурсы;</w:t>
            </w:r>
          </w:p>
          <w:p w:rsidR="00237C67" w:rsidRPr="00952B6B" w:rsidRDefault="00237C67" w:rsidP="00BA72AF">
            <w:pPr>
              <w:spacing w:before="60" w:after="60"/>
              <w:jc w:val="left"/>
              <w:rPr>
                <w:rFonts w:eastAsia="MS Mincho"/>
                <w:kern w:val="22"/>
                <w:szCs w:val="22"/>
                <w:lang w:val="ru-RU"/>
              </w:rPr>
            </w:pPr>
            <w:r w:rsidRPr="00952B6B">
              <w:rPr>
                <w:szCs w:val="22"/>
                <w:lang w:val="ru-RU"/>
              </w:rPr>
              <w:t>(d) процентная доля Сторон, которые взаимодействуют в целях укрепления потенциала для осуществления Протокола.</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Стороны обладают необходимым потенциалом для осуществления Протокола</w:t>
            </w:r>
          </w:p>
        </w:tc>
      </w:tr>
      <w:tr w:rsidR="00237C67" w:rsidRPr="00952B6B" w:rsidTr="00CC34DE">
        <w:tc>
          <w:tcPr>
            <w:tcW w:w="2122" w:type="dxa"/>
            <w:shd w:val="clear" w:color="auto" w:fill="auto"/>
          </w:tcPr>
          <w:p w:rsidR="00237C67" w:rsidRPr="00952B6B" w:rsidRDefault="00237C67" w:rsidP="00987235">
            <w:pPr>
              <w:spacing w:before="60" w:after="60"/>
              <w:jc w:val="left"/>
              <w:rPr>
                <w:rFonts w:eastAsia="MS Mincho"/>
                <w:b/>
                <w:kern w:val="22"/>
                <w:szCs w:val="22"/>
                <w:lang w:val="ru-RU"/>
              </w:rPr>
            </w:pPr>
            <w:r w:rsidRPr="00952B6B">
              <w:rPr>
                <w:b/>
                <w:szCs w:val="22"/>
                <w:lang w:val="ru-RU"/>
              </w:rPr>
              <w:t xml:space="preserve">B.2. Стороны </w:t>
            </w:r>
            <w:r w:rsidR="0034383F" w:rsidRPr="00952B6B">
              <w:rPr>
                <w:b/>
                <w:szCs w:val="22"/>
                <w:lang w:val="ru-RU"/>
              </w:rPr>
              <w:t>мобилизуют</w:t>
            </w:r>
            <w:r w:rsidRPr="00952B6B">
              <w:rPr>
                <w:b/>
                <w:szCs w:val="22"/>
                <w:lang w:val="ru-RU"/>
              </w:rPr>
              <w:t xml:space="preserve"> достаточные ресурсы из всех источнико</w:t>
            </w:r>
            <w:r w:rsidR="0034383F" w:rsidRPr="00952B6B">
              <w:rPr>
                <w:b/>
                <w:szCs w:val="22"/>
                <w:lang w:val="ru-RU"/>
              </w:rPr>
              <w:t>в</w:t>
            </w:r>
            <w:r w:rsidRPr="00952B6B">
              <w:rPr>
                <w:b/>
                <w:szCs w:val="22"/>
                <w:lang w:val="ru-RU"/>
              </w:rPr>
              <w:t xml:space="preserve"> для оказания поддержки осуществлению Протокола в соответствии со статьей 28 Протокола</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B.2.1. В национальных бюджетах выделено достаточно ресурсов на обеспечение биобезопасности; </w:t>
            </w:r>
          </w:p>
          <w:p w:rsidR="00237C67" w:rsidRPr="00952B6B" w:rsidRDefault="00237C67" w:rsidP="00BA72AF">
            <w:pPr>
              <w:spacing w:before="60" w:after="60"/>
              <w:jc w:val="left"/>
              <w:rPr>
                <w:szCs w:val="22"/>
                <w:lang w:val="ru-RU"/>
              </w:rPr>
            </w:pPr>
            <w:r w:rsidRPr="00952B6B">
              <w:rPr>
                <w:szCs w:val="22"/>
                <w:lang w:val="ru-RU"/>
              </w:rPr>
              <w:t>B.2.2. Стороны выделяют определенную долю ассигнований по СПРР на мероприятия по обеспечению биобезопасности.</w:t>
            </w:r>
          </w:p>
          <w:p w:rsidR="0034383F" w:rsidRPr="00952B6B" w:rsidRDefault="0034383F" w:rsidP="00BA72AF">
            <w:pPr>
              <w:spacing w:before="60" w:after="60"/>
              <w:jc w:val="left"/>
              <w:rPr>
                <w:rFonts w:eastAsia="MS Mincho"/>
                <w:kern w:val="22"/>
                <w:szCs w:val="22"/>
                <w:lang w:val="ru-RU"/>
              </w:rPr>
            </w:pPr>
            <w:r w:rsidRPr="00952B6B">
              <w:rPr>
                <w:szCs w:val="22"/>
                <w:lang w:val="ru-RU"/>
              </w:rPr>
              <w:t xml:space="preserve">B.2.3. </w:t>
            </w:r>
            <w:r w:rsidRPr="00952B6B">
              <w:rPr>
                <w:rFonts w:eastAsia="MS Mincho"/>
                <w:kern w:val="22"/>
                <w:szCs w:val="22"/>
                <w:lang w:val="ru-RU"/>
              </w:rPr>
              <w:t>Стороны мобилизуют ресурсы из других источников</w:t>
            </w:r>
          </w:p>
          <w:p w:rsidR="00237C67" w:rsidRPr="00952B6B" w:rsidRDefault="00237C67" w:rsidP="00BA72AF">
            <w:pPr>
              <w:spacing w:before="60" w:after="60"/>
              <w:jc w:val="left"/>
              <w:rPr>
                <w:rFonts w:eastAsia="MS Mincho"/>
                <w:kern w:val="22"/>
                <w:szCs w:val="22"/>
                <w:lang w:val="ru-RU"/>
              </w:rPr>
            </w:pP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(a) процентная доля Сторон, располагающих в национальных бюджетах достаточными ресурсами на обеспечение биобезопасности; </w:t>
            </w:r>
          </w:p>
          <w:p w:rsidR="00237C67" w:rsidRPr="00952B6B" w:rsidRDefault="00237C67" w:rsidP="00BA72AF">
            <w:pPr>
              <w:spacing w:before="60" w:after="60"/>
              <w:jc w:val="left"/>
              <w:rPr>
                <w:rFonts w:eastAsia="MS Mincho"/>
                <w:kern w:val="22"/>
                <w:szCs w:val="22"/>
                <w:lang w:val="ru-RU"/>
              </w:rPr>
            </w:pPr>
            <w:r w:rsidRPr="00952B6B">
              <w:rPr>
                <w:szCs w:val="22"/>
                <w:lang w:val="ru-RU"/>
              </w:rPr>
              <w:t>(b) процентная доля Сторон, имеющих право на получение помощи, которые используют национальные ассигнования по СПРР для проведения мероприятий по обеспечению биобезопасности;</w:t>
            </w:r>
          </w:p>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(c) процентная доля Сторон, получивших доступ к дополнительным ресурсам.</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Полное осуществление Протокола стало возможным благодаря наличию достаточных ресурсов</w:t>
            </w:r>
          </w:p>
          <w:p w:rsidR="00237C67" w:rsidRPr="00952B6B" w:rsidRDefault="00237C67" w:rsidP="00BA72AF">
            <w:pPr>
              <w:spacing w:before="60" w:after="60"/>
              <w:jc w:val="left"/>
              <w:rPr>
                <w:rFonts w:eastAsia="MS Mincho"/>
                <w:kern w:val="22"/>
                <w:szCs w:val="22"/>
                <w:lang w:val="ru-RU"/>
              </w:rPr>
            </w:pPr>
          </w:p>
        </w:tc>
      </w:tr>
      <w:tr w:rsidR="00237C67" w:rsidRPr="00952B6B" w:rsidTr="00CC34DE">
        <w:trPr>
          <w:trHeight w:val="842"/>
        </w:trPr>
        <w:tc>
          <w:tcPr>
            <w:tcW w:w="2122" w:type="dxa"/>
            <w:shd w:val="clear" w:color="auto" w:fill="auto"/>
          </w:tcPr>
          <w:p w:rsidR="00237C67" w:rsidRPr="00952B6B" w:rsidRDefault="00237C67" w:rsidP="00987235">
            <w:pPr>
              <w:spacing w:before="60" w:after="60"/>
              <w:jc w:val="left"/>
              <w:rPr>
                <w:rFonts w:asciiTheme="majorBidi" w:eastAsia="MS Mincho" w:hAnsiTheme="majorBidi" w:cstheme="majorBidi"/>
                <w:b/>
                <w:kern w:val="22"/>
                <w:szCs w:val="22"/>
                <w:lang w:val="ru-RU"/>
              </w:rPr>
            </w:pPr>
            <w:r w:rsidRPr="00952B6B">
              <w:rPr>
                <w:rFonts w:asciiTheme="majorBidi" w:eastAsia="MS Mincho" w:hAnsiTheme="majorBidi" w:cstheme="majorBidi"/>
                <w:b/>
                <w:kern w:val="22"/>
                <w:szCs w:val="22"/>
              </w:rPr>
              <w:lastRenderedPageBreak/>
              <w:t>B</w:t>
            </w:r>
            <w:r w:rsidRPr="00952B6B">
              <w:rPr>
                <w:rFonts w:asciiTheme="majorBidi" w:eastAsia="MS Mincho" w:hAnsiTheme="majorBidi" w:cstheme="majorBidi"/>
                <w:b/>
                <w:kern w:val="22"/>
                <w:szCs w:val="22"/>
                <w:lang w:val="ru-RU"/>
              </w:rPr>
              <w:t>.3. Стороны поощряют и обеспечивают информированность, просвещение и участие общественности в отношении обеспечения безопасности при передаче, обработке и использования ЖИО в соответствии со статьей 23 Протокола</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B.3.1. Стороны разработали механизмы для поощрения и обеспечения информированности, просвещения и участия общественности в обеспечении биобезопасности; </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B.3.2. Стороны имеют доступ к </w:t>
            </w:r>
            <w:r w:rsidR="00B42202">
              <w:rPr>
                <w:szCs w:val="22"/>
                <w:lang w:val="ru-RU"/>
              </w:rPr>
              <w:t>справочным</w:t>
            </w:r>
            <w:r w:rsidRPr="00952B6B">
              <w:rPr>
                <w:szCs w:val="22"/>
                <w:lang w:val="ru-RU"/>
              </w:rPr>
              <w:t xml:space="preserve"> материалам для поощрения и обеспечения информированности, просвещения и участия общественности в обеспечении биобезопасности;</w:t>
            </w:r>
          </w:p>
          <w:p w:rsidR="00237C67" w:rsidRPr="00952B6B" w:rsidRDefault="00237C67" w:rsidP="00BA72AF">
            <w:pPr>
              <w:spacing w:before="60" w:after="60"/>
              <w:jc w:val="left"/>
              <w:rPr>
                <w:rFonts w:eastAsia="MS Mincho"/>
                <w:kern w:val="22"/>
                <w:szCs w:val="22"/>
                <w:lang w:val="ru-RU"/>
              </w:rPr>
            </w:pPr>
            <w:r w:rsidRPr="00952B6B">
              <w:rPr>
                <w:szCs w:val="22"/>
                <w:lang w:val="ru-RU"/>
              </w:rPr>
              <w:t>B.3.3. При принятии решений в отношении ЖИО Стороны консультируются с общественностью в соответствии со своим</w:t>
            </w:r>
            <w:r w:rsidR="00B42202">
              <w:rPr>
                <w:szCs w:val="22"/>
                <w:lang w:val="ru-RU"/>
              </w:rPr>
              <w:t>и</w:t>
            </w:r>
            <w:r w:rsidRPr="00952B6B">
              <w:rPr>
                <w:szCs w:val="22"/>
                <w:lang w:val="ru-RU"/>
              </w:rPr>
              <w:t xml:space="preserve"> законодательными и нормативными актами и информируют общественность о результатах таких решений;</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B.3.4. Стороны информируют общественность о средствах </w:t>
            </w:r>
            <w:r w:rsidR="00E1396D">
              <w:rPr>
                <w:szCs w:val="22"/>
                <w:lang w:val="ru-RU"/>
              </w:rPr>
              <w:t>публичного</w:t>
            </w:r>
            <w:r w:rsidR="00E1396D" w:rsidRPr="00952B6B">
              <w:rPr>
                <w:szCs w:val="22"/>
                <w:lang w:val="ru-RU"/>
              </w:rPr>
              <w:t xml:space="preserve"> </w:t>
            </w:r>
            <w:r w:rsidRPr="00952B6B">
              <w:rPr>
                <w:szCs w:val="22"/>
                <w:lang w:val="ru-RU"/>
              </w:rPr>
              <w:t>доступа к МПБ.</w:t>
            </w:r>
          </w:p>
        </w:tc>
        <w:tc>
          <w:tcPr>
            <w:tcW w:w="2835"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 xml:space="preserve">(a) процентная доля Сторон, имеющих доступ к </w:t>
            </w:r>
            <w:r w:rsidR="00B42202">
              <w:rPr>
                <w:szCs w:val="22"/>
                <w:lang w:val="ru-RU"/>
              </w:rPr>
              <w:t>справочным</w:t>
            </w:r>
            <w:r w:rsidR="00B42202" w:rsidRPr="00952B6B">
              <w:rPr>
                <w:szCs w:val="22"/>
                <w:lang w:val="ru-RU"/>
              </w:rPr>
              <w:t xml:space="preserve"> </w:t>
            </w:r>
            <w:r w:rsidRPr="00952B6B">
              <w:rPr>
                <w:szCs w:val="22"/>
                <w:lang w:val="ru-RU"/>
              </w:rPr>
              <w:t>материалам для поощрения и обеспечения информированности, просвещения и участи</w:t>
            </w:r>
            <w:r w:rsidR="00B42202">
              <w:rPr>
                <w:szCs w:val="22"/>
                <w:lang w:val="ru-RU"/>
              </w:rPr>
              <w:t>я</w:t>
            </w:r>
            <w:r w:rsidRPr="00952B6B">
              <w:rPr>
                <w:szCs w:val="22"/>
                <w:lang w:val="ru-RU"/>
              </w:rPr>
              <w:t xml:space="preserve"> общественности в обеспечении биобезопасности;</w:t>
            </w:r>
          </w:p>
          <w:p w:rsidR="00237C67" w:rsidRPr="00952B6B" w:rsidRDefault="00237C67" w:rsidP="00BA72AF">
            <w:pPr>
              <w:spacing w:before="60" w:after="60"/>
              <w:jc w:val="left"/>
              <w:rPr>
                <w:rFonts w:eastAsia="MS Mincho"/>
                <w:kern w:val="22"/>
                <w:szCs w:val="22"/>
                <w:lang w:val="ru-RU"/>
              </w:rPr>
            </w:pPr>
            <w:r w:rsidRPr="00952B6B">
              <w:rPr>
                <w:szCs w:val="22"/>
                <w:lang w:val="ru-RU"/>
              </w:rPr>
              <w:t>(b) процентная доля Сторон, проводящих работу по актуализации тематики биобезопасности в соответствующих программах в сфере образования и подготовки;</w:t>
            </w:r>
          </w:p>
          <w:p w:rsidR="00237C67" w:rsidRPr="00952B6B" w:rsidRDefault="00237C67" w:rsidP="00BA72AF">
            <w:pPr>
              <w:spacing w:before="60" w:after="60"/>
              <w:jc w:val="left"/>
              <w:rPr>
                <w:rFonts w:eastAsia="MS Mincho"/>
                <w:kern w:val="22"/>
                <w:szCs w:val="22"/>
                <w:lang w:val="ru-RU"/>
              </w:rPr>
            </w:pPr>
            <w:r w:rsidRPr="00952B6B">
              <w:rPr>
                <w:szCs w:val="22"/>
                <w:lang w:val="ru-RU"/>
              </w:rPr>
              <w:t>(c) процентная доля Сторон, внедривших механизмы для поощрения и обеспечения участия общественности в принятии решений в отношении ЖИО;</w:t>
            </w:r>
          </w:p>
          <w:p w:rsidR="00237C67" w:rsidRPr="00952B6B" w:rsidRDefault="00237C67" w:rsidP="00BA72AF">
            <w:pPr>
              <w:spacing w:before="60" w:after="60"/>
              <w:jc w:val="left"/>
              <w:rPr>
                <w:rFonts w:eastAsia="MS Mincho"/>
                <w:kern w:val="22"/>
                <w:szCs w:val="22"/>
                <w:lang w:val="ru-RU"/>
              </w:rPr>
            </w:pPr>
            <w:r w:rsidRPr="00952B6B">
              <w:rPr>
                <w:szCs w:val="22"/>
                <w:lang w:val="ru-RU"/>
              </w:rPr>
              <w:t>(d) процентная доля Сторон, информирующих общественность о средствах для участия в принятии решений;</w:t>
            </w:r>
          </w:p>
          <w:p w:rsidR="00237C67" w:rsidRPr="00952B6B" w:rsidRDefault="00237C67" w:rsidP="00BA72AF">
            <w:pPr>
              <w:spacing w:before="60" w:after="60"/>
              <w:jc w:val="left"/>
              <w:rPr>
                <w:rFonts w:eastAsia="MS Mincho"/>
                <w:kern w:val="22"/>
                <w:szCs w:val="22"/>
                <w:lang w:val="ru-RU"/>
              </w:rPr>
            </w:pPr>
            <w:r w:rsidRPr="00952B6B">
              <w:rPr>
                <w:szCs w:val="22"/>
                <w:lang w:val="ru-RU"/>
              </w:rPr>
              <w:t>(e) процентная доля Сторон, проконсультировавшихся с общественностью в процессе принятия решений в соответствии со своим</w:t>
            </w:r>
            <w:r w:rsidR="00E1396D">
              <w:rPr>
                <w:szCs w:val="22"/>
                <w:lang w:val="ru-RU"/>
              </w:rPr>
              <w:t>и</w:t>
            </w:r>
            <w:r w:rsidRPr="00952B6B">
              <w:rPr>
                <w:szCs w:val="22"/>
                <w:lang w:val="ru-RU"/>
              </w:rPr>
              <w:t xml:space="preserve"> законодательными и нормативными актами;</w:t>
            </w:r>
          </w:p>
          <w:p w:rsidR="00237C67" w:rsidRPr="00952B6B" w:rsidRDefault="00237C67" w:rsidP="00BA72AF">
            <w:pPr>
              <w:spacing w:before="60" w:after="60"/>
              <w:ind w:right="-124"/>
              <w:jc w:val="left"/>
              <w:rPr>
                <w:rFonts w:eastAsia="MS Mincho"/>
                <w:kern w:val="22"/>
                <w:szCs w:val="22"/>
                <w:lang w:val="ru-RU"/>
              </w:rPr>
            </w:pPr>
            <w:r w:rsidRPr="00952B6B">
              <w:rPr>
                <w:szCs w:val="22"/>
                <w:lang w:val="ru-RU"/>
              </w:rPr>
              <w:t>(f) процентная доля Сторон, информирующих общественность о результатах решений;</w:t>
            </w:r>
          </w:p>
          <w:p w:rsidR="00237C67" w:rsidRPr="00952B6B" w:rsidRDefault="00237C67" w:rsidP="00BA72AF">
            <w:pPr>
              <w:spacing w:before="60" w:after="60"/>
              <w:ind w:right="-124"/>
              <w:jc w:val="left"/>
              <w:rPr>
                <w:rFonts w:eastAsia="MS Mincho"/>
                <w:kern w:val="22"/>
                <w:szCs w:val="22"/>
                <w:lang w:val="ru-RU"/>
              </w:rPr>
            </w:pPr>
            <w:r w:rsidRPr="00952B6B">
              <w:rPr>
                <w:szCs w:val="22"/>
                <w:lang w:val="ru-RU"/>
              </w:rPr>
              <w:t xml:space="preserve">(g) процентная доля Сторон, проинформировавших общественность о средствах </w:t>
            </w:r>
            <w:r w:rsidR="00E1396D">
              <w:rPr>
                <w:szCs w:val="22"/>
                <w:lang w:val="ru-RU"/>
              </w:rPr>
              <w:lastRenderedPageBreak/>
              <w:t>публичного</w:t>
            </w:r>
            <w:r w:rsidRPr="00952B6B">
              <w:rPr>
                <w:szCs w:val="22"/>
                <w:lang w:val="ru-RU"/>
              </w:rPr>
              <w:t xml:space="preserve"> доступа к МПБ.</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lastRenderedPageBreak/>
              <w:t xml:space="preserve">Путем осведомления, просвещения и участия общественности Стороны обеспечивают надлежащее информирование общественности о вопросах безопасности при передаче, обработке и использования ЖИО </w:t>
            </w:r>
          </w:p>
        </w:tc>
      </w:tr>
      <w:tr w:rsidR="00237C67" w:rsidRPr="00952B6B" w:rsidTr="00CC34DE">
        <w:tc>
          <w:tcPr>
            <w:tcW w:w="2122" w:type="dxa"/>
            <w:shd w:val="clear" w:color="auto" w:fill="auto"/>
          </w:tcPr>
          <w:p w:rsidR="00237C67" w:rsidRPr="00952B6B" w:rsidRDefault="00237C67" w:rsidP="00987235">
            <w:pPr>
              <w:spacing w:before="60" w:after="60"/>
              <w:jc w:val="left"/>
              <w:rPr>
                <w:rFonts w:eastAsia="MS Mincho"/>
                <w:b/>
                <w:strike/>
                <w:kern w:val="22"/>
                <w:szCs w:val="22"/>
                <w:lang w:val="ru-RU"/>
              </w:rPr>
            </w:pPr>
            <w:r w:rsidRPr="00952B6B">
              <w:rPr>
                <w:b/>
                <w:szCs w:val="22"/>
                <w:lang w:val="ru-RU"/>
              </w:rPr>
              <w:lastRenderedPageBreak/>
              <w:t xml:space="preserve">B.4. Стороны активизируют сотрудничество и координацию по вопросам биобезопасности на национальном, региональном и международном уровнях  </w:t>
            </w:r>
          </w:p>
        </w:tc>
        <w:tc>
          <w:tcPr>
            <w:tcW w:w="2551" w:type="dxa"/>
          </w:tcPr>
          <w:p w:rsidR="00237C67" w:rsidRPr="00952B6B" w:rsidRDefault="00237C67" w:rsidP="00BA72AF">
            <w:pPr>
              <w:spacing w:before="60" w:after="60"/>
              <w:jc w:val="left"/>
              <w:rPr>
                <w:rFonts w:eastAsia="MS Mincho"/>
                <w:kern w:val="22"/>
                <w:szCs w:val="22"/>
                <w:lang w:val="ru-RU"/>
              </w:rPr>
            </w:pPr>
            <w:r w:rsidRPr="00952B6B">
              <w:rPr>
                <w:szCs w:val="22"/>
                <w:lang w:val="ru-RU"/>
              </w:rPr>
              <w:t>B.4.1. Стороны сотрудничают в целях содействия осуществлению Протокола, в том числе посредством обмена научными, техническими и институциональными знаниями;</w:t>
            </w:r>
          </w:p>
          <w:p w:rsidR="00237C67" w:rsidRPr="00952B6B" w:rsidRDefault="00237C67" w:rsidP="00BA72AF">
            <w:pPr>
              <w:spacing w:before="60" w:after="60"/>
              <w:jc w:val="left"/>
              <w:rPr>
                <w:rFonts w:eastAsia="MS Mincho"/>
                <w:kern w:val="22"/>
                <w:szCs w:val="22"/>
                <w:lang w:val="ru-RU"/>
              </w:rPr>
            </w:pPr>
            <w:r w:rsidRPr="00952B6B">
              <w:rPr>
                <w:szCs w:val="22"/>
                <w:lang w:val="ru-RU"/>
              </w:rPr>
              <w:t>B.4.2. Стороны ввели в действие эффективные механизмы для привлечения коренных народов и местных общин и соответствующих субъектов деятельности из различных секторов к осуществлению Протокола;</w:t>
            </w:r>
          </w:p>
          <w:p w:rsidR="00237C67" w:rsidRPr="00952B6B" w:rsidRDefault="00237C67" w:rsidP="00BA72AF">
            <w:pPr>
              <w:spacing w:before="60" w:after="60"/>
              <w:jc w:val="left"/>
              <w:rPr>
                <w:rFonts w:eastAsia="MS Mincho"/>
                <w:kern w:val="22"/>
                <w:szCs w:val="22"/>
                <w:lang w:val="ru-RU"/>
              </w:rPr>
            </w:pPr>
            <w:r w:rsidRPr="00952B6B">
              <w:rPr>
                <w:szCs w:val="22"/>
                <w:lang w:val="ru-RU"/>
              </w:rPr>
              <w:t xml:space="preserve">B.4.3. Стороны поощряют секторальную и </w:t>
            </w:r>
            <w:proofErr w:type="spellStart"/>
            <w:r w:rsidRPr="00952B6B">
              <w:rPr>
                <w:szCs w:val="22"/>
                <w:lang w:val="ru-RU"/>
              </w:rPr>
              <w:t>межсекторальную</w:t>
            </w:r>
            <w:proofErr w:type="spellEnd"/>
            <w:r w:rsidRPr="00952B6B">
              <w:rPr>
                <w:szCs w:val="22"/>
                <w:lang w:val="ru-RU"/>
              </w:rPr>
              <w:t xml:space="preserve"> координацию и сотрудничество на национальном уровне в целях актуализации тематики биобезопасности. </w:t>
            </w:r>
          </w:p>
        </w:tc>
        <w:tc>
          <w:tcPr>
            <w:tcW w:w="2835" w:type="dxa"/>
            <w:shd w:val="clear" w:color="auto" w:fill="auto"/>
          </w:tcPr>
          <w:p w:rsidR="00237C67" w:rsidRPr="00952B6B" w:rsidRDefault="00237C67" w:rsidP="00BA72AF">
            <w:pPr>
              <w:spacing w:before="60" w:after="60"/>
              <w:ind w:right="-124"/>
              <w:jc w:val="left"/>
              <w:rPr>
                <w:rFonts w:eastAsia="MS Mincho"/>
                <w:kern w:val="22"/>
                <w:szCs w:val="22"/>
                <w:lang w:val="ru-RU"/>
              </w:rPr>
            </w:pPr>
            <w:r w:rsidRPr="00952B6B">
              <w:rPr>
                <w:szCs w:val="22"/>
                <w:lang w:val="ru-RU"/>
              </w:rPr>
              <w:t>(a) процентная доля Сторон, сотрудничающих в области обмена научными, техническими и институциональными знаниями;</w:t>
            </w:r>
          </w:p>
          <w:p w:rsidR="00237C67" w:rsidRPr="00952B6B" w:rsidRDefault="00237C67" w:rsidP="00BA72AF">
            <w:pPr>
              <w:spacing w:before="60" w:after="60"/>
              <w:ind w:right="-124"/>
              <w:jc w:val="left"/>
              <w:rPr>
                <w:rFonts w:eastAsia="MS Mincho"/>
                <w:kern w:val="22"/>
                <w:szCs w:val="22"/>
                <w:lang w:val="ru-RU"/>
              </w:rPr>
            </w:pPr>
            <w:r w:rsidRPr="00952B6B">
              <w:rPr>
                <w:szCs w:val="22"/>
                <w:lang w:val="ru-RU"/>
              </w:rPr>
              <w:t>(b) процентная доля Сторон, участвующих в двусторонних, региональных или многосторонних мероприятиях, направленных на осуществление Протокола;</w:t>
            </w:r>
          </w:p>
          <w:p w:rsidR="00237C67" w:rsidRPr="00952B6B" w:rsidRDefault="00237C67" w:rsidP="00BA72AF">
            <w:pPr>
              <w:spacing w:before="60" w:after="60"/>
              <w:ind w:right="-124"/>
              <w:jc w:val="left"/>
              <w:rPr>
                <w:rFonts w:eastAsia="MS Mincho"/>
                <w:kern w:val="22"/>
                <w:szCs w:val="22"/>
                <w:lang w:val="ru-RU"/>
              </w:rPr>
            </w:pPr>
            <w:r w:rsidRPr="00952B6B">
              <w:rPr>
                <w:szCs w:val="22"/>
                <w:lang w:val="ru-RU"/>
              </w:rPr>
              <w:t>(c) процентная доля Сторон, располагающих механизмами для привлечения к участию коренных народов и местных общин, а также соответствующих субъектов деятельности из различных секторов к осуществлению Протокола;</w:t>
            </w:r>
          </w:p>
          <w:p w:rsidR="00237C67" w:rsidRPr="00952B6B" w:rsidRDefault="00237C67" w:rsidP="00BA72AF">
            <w:pPr>
              <w:spacing w:before="60" w:after="60"/>
              <w:ind w:right="-124"/>
              <w:jc w:val="left"/>
              <w:rPr>
                <w:rFonts w:eastAsia="MS Mincho"/>
                <w:kern w:val="22"/>
                <w:szCs w:val="22"/>
                <w:lang w:val="ru-RU"/>
              </w:rPr>
            </w:pPr>
            <w:r w:rsidRPr="00952B6B">
              <w:rPr>
                <w:szCs w:val="22"/>
                <w:lang w:val="ru-RU"/>
              </w:rPr>
              <w:t>(d) процентная доля Сторон, включивших вопросы биобезопасности в национальные секторальные и межсекторальные стратегии, планы действий, программы, меры политики или законодательство.</w:t>
            </w:r>
          </w:p>
        </w:tc>
        <w:tc>
          <w:tcPr>
            <w:tcW w:w="2001" w:type="dxa"/>
            <w:shd w:val="clear" w:color="auto" w:fill="auto"/>
          </w:tcPr>
          <w:p w:rsidR="00237C67" w:rsidRPr="00952B6B" w:rsidRDefault="00237C67" w:rsidP="00BA72AF">
            <w:pPr>
              <w:spacing w:before="60" w:after="60"/>
              <w:jc w:val="left"/>
              <w:rPr>
                <w:rFonts w:eastAsia="MS Mincho"/>
                <w:kern w:val="22"/>
                <w:szCs w:val="22"/>
                <w:lang w:val="ru-RU"/>
              </w:rPr>
            </w:pPr>
            <w:r w:rsidRPr="00952B6B">
              <w:rPr>
                <w:szCs w:val="22"/>
                <w:lang w:val="ru-RU"/>
              </w:rPr>
              <w:t>Благодаря сотрудничеству на национальном, региональном и международном уровнях и участию субъектов деятельности осуществление Протокола Сторонам</w:t>
            </w:r>
            <w:r w:rsidR="00181A96">
              <w:rPr>
                <w:szCs w:val="22"/>
                <w:lang w:val="ru-RU"/>
              </w:rPr>
              <w:t>и</w:t>
            </w:r>
            <w:r w:rsidRPr="00952B6B">
              <w:rPr>
                <w:szCs w:val="22"/>
                <w:lang w:val="ru-RU"/>
              </w:rPr>
              <w:t xml:space="preserve"> происходит более эффективно </w:t>
            </w:r>
          </w:p>
        </w:tc>
      </w:tr>
    </w:tbl>
    <w:p w:rsidR="00237C67" w:rsidRPr="00952B6B" w:rsidRDefault="00237C67" w:rsidP="00237C67">
      <w:pPr>
        <w:jc w:val="left"/>
        <w:rPr>
          <w:rFonts w:asciiTheme="majorBidi" w:hAnsiTheme="majorBidi" w:cstheme="majorBidi"/>
          <w:b/>
          <w:bCs/>
          <w:szCs w:val="22"/>
          <w:lang w:val="ru-RU"/>
        </w:rPr>
      </w:pPr>
    </w:p>
    <w:p w:rsidR="00176CEE" w:rsidRPr="00244133" w:rsidRDefault="003277B3" w:rsidP="00552670">
      <w:pPr>
        <w:suppressLineNumbers/>
        <w:suppressAutoHyphens/>
        <w:kinsoku w:val="0"/>
        <w:overflowPunct w:val="0"/>
        <w:autoSpaceDE w:val="0"/>
        <w:autoSpaceDN w:val="0"/>
        <w:spacing w:before="120" w:after="120"/>
        <w:jc w:val="center"/>
      </w:pPr>
      <w:r>
        <w:rPr>
          <w:rFonts w:asciiTheme="majorBidi" w:eastAsia="MS Mincho" w:hAnsiTheme="majorBidi" w:cstheme="majorBidi"/>
          <w:snapToGrid w:val="0"/>
          <w:color w:val="000000"/>
          <w:kern w:val="22"/>
          <w:szCs w:val="18"/>
        </w:rPr>
        <w:t xml:space="preserve">__________ </w:t>
      </w:r>
    </w:p>
    <w:sectPr w:rsidR="00176CEE" w:rsidRPr="00244133" w:rsidSect="00A83E1D">
      <w:headerReference w:type="even" r:id="rId15"/>
      <w:headerReference w:type="default" r:id="rId16"/>
      <w:pgSz w:w="12240" w:h="15840"/>
      <w:pgMar w:top="561" w:right="1383" w:bottom="1140" w:left="138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9F" w:rsidRDefault="009D309F" w:rsidP="00CF1848">
      <w:r>
        <w:separator/>
      </w:r>
    </w:p>
  </w:endnote>
  <w:endnote w:type="continuationSeparator" w:id="0">
    <w:p w:rsidR="009D309F" w:rsidRDefault="009D309F"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9F" w:rsidRDefault="009D309F" w:rsidP="00CF1848">
      <w:r>
        <w:separator/>
      </w:r>
    </w:p>
  </w:footnote>
  <w:footnote w:type="continuationSeparator" w:id="0">
    <w:p w:rsidR="009D309F" w:rsidRDefault="009D309F" w:rsidP="00CF1848">
      <w:r>
        <w:continuationSeparator/>
      </w:r>
    </w:p>
  </w:footnote>
  <w:footnote w:id="1">
    <w:p w:rsidR="00C4105C" w:rsidRPr="0067474E" w:rsidRDefault="00C4105C" w:rsidP="00C4105C">
      <w:pPr>
        <w:pStyle w:val="afb"/>
        <w:ind w:firstLine="0"/>
        <w:rPr>
          <w:lang w:val="ru-MO"/>
        </w:rPr>
      </w:pPr>
      <w:r>
        <w:rPr>
          <w:rStyle w:val="afa"/>
        </w:rPr>
        <w:t>*</w:t>
      </w:r>
      <w:r>
        <w:t xml:space="preserve"> </w:t>
      </w:r>
      <w:r w:rsidRPr="0067474E">
        <w:rPr>
          <w:lang w:val="ru-MO"/>
        </w:rPr>
        <w:t>Документ переиздан по техническим причинам 6 июля 2023 года (поправка в пункте. 9).</w:t>
      </w:r>
    </w:p>
  </w:footnote>
  <w:footnote w:id="2">
    <w:p w:rsidR="00237C67" w:rsidRPr="003B74AC" w:rsidRDefault="00237C67" w:rsidP="00237C67">
      <w:pPr>
        <w:pStyle w:val="afb"/>
        <w:ind w:firstLine="0"/>
        <w:jc w:val="left"/>
        <w:rPr>
          <w:szCs w:val="18"/>
          <w:lang w:val="ru-RU"/>
        </w:rPr>
      </w:pPr>
      <w:r w:rsidRPr="00960372">
        <w:rPr>
          <w:rStyle w:val="afa"/>
          <w:sz w:val="18"/>
          <w:szCs w:val="14"/>
        </w:rPr>
        <w:footnoteRef/>
      </w:r>
      <w:r w:rsidRPr="00960372">
        <w:rPr>
          <w:sz w:val="14"/>
          <w:szCs w:val="20"/>
          <w:lang w:val="ru-RU"/>
        </w:rPr>
        <w:t xml:space="preserve"> </w:t>
      </w:r>
      <w:r w:rsidRPr="003B74AC">
        <w:rPr>
          <w:lang w:val="ru-RU"/>
        </w:rPr>
        <w:t xml:space="preserve">Решение </w:t>
      </w:r>
      <w:hyperlink r:id="rId1" w:history="1">
        <w:r>
          <w:rPr>
            <w:rStyle w:val="aff"/>
          </w:rPr>
          <w:t>BS</w:t>
        </w:r>
        <w:r w:rsidRPr="003B74AC">
          <w:rPr>
            <w:rStyle w:val="aff"/>
            <w:lang w:val="ru-RU"/>
          </w:rPr>
          <w:t>-</w:t>
        </w:r>
        <w:r>
          <w:rPr>
            <w:rStyle w:val="aff"/>
          </w:rPr>
          <w:t>V</w:t>
        </w:r>
        <w:r w:rsidRPr="003B74AC">
          <w:rPr>
            <w:rStyle w:val="aff"/>
            <w:lang w:val="ru-RU"/>
          </w:rPr>
          <w:t>/16</w:t>
        </w:r>
      </w:hyperlink>
      <w:r w:rsidRPr="003B74AC">
        <w:rPr>
          <w:color w:val="003344"/>
          <w:shd w:val="clear" w:color="auto" w:fill="FFFFFF"/>
          <w:lang w:val="ru-RU"/>
        </w:rPr>
        <w:t>.</w:t>
      </w:r>
    </w:p>
  </w:footnote>
  <w:footnote w:id="3">
    <w:p w:rsidR="00FC6A8A" w:rsidRDefault="00FC6A8A" w:rsidP="00FC6A8A">
      <w:pPr>
        <w:pStyle w:val="afb"/>
        <w:ind w:firstLine="0"/>
        <w:rPr>
          <w:szCs w:val="18"/>
          <w:lang w:val="en-US"/>
        </w:rPr>
      </w:pPr>
      <w:r w:rsidRPr="00B119AC">
        <w:rPr>
          <w:rStyle w:val="afa"/>
          <w:sz w:val="18"/>
          <w:szCs w:val="10"/>
        </w:rPr>
        <w:footnoteRef/>
      </w:r>
      <w:r w:rsidRPr="00B119AC">
        <w:rPr>
          <w:sz w:val="10"/>
          <w:szCs w:val="10"/>
        </w:rPr>
        <w:t xml:space="preserve"> </w:t>
      </w:r>
      <w:r>
        <w:rPr>
          <w:szCs w:val="18"/>
          <w:lang w:val="ru-RU"/>
        </w:rPr>
        <w:t>Решение</w:t>
      </w:r>
      <w:r>
        <w:rPr>
          <w:szCs w:val="18"/>
          <w:lang w:val="en-US"/>
        </w:rPr>
        <w:t xml:space="preserve"> CP-10/</w:t>
      </w:r>
      <w:r>
        <w:rPr>
          <w:szCs w:val="18"/>
          <w:lang w:val="ru-RU"/>
        </w:rPr>
        <w:t>4</w:t>
      </w:r>
      <w:r>
        <w:rPr>
          <w:szCs w:val="18"/>
          <w:lang w:val="en-US"/>
        </w:rPr>
        <w:t>.</w:t>
      </w:r>
    </w:p>
  </w:footnote>
  <w:footnote w:id="4">
    <w:p w:rsidR="00237C67" w:rsidRPr="00BF1986" w:rsidRDefault="00237C67" w:rsidP="00237C67">
      <w:pPr>
        <w:pStyle w:val="afb"/>
        <w:ind w:firstLine="0"/>
        <w:jc w:val="left"/>
        <w:rPr>
          <w:szCs w:val="18"/>
          <w:lang w:val="ru-RU"/>
        </w:rPr>
      </w:pPr>
      <w:r w:rsidRPr="00D62178">
        <w:rPr>
          <w:rStyle w:val="afa"/>
          <w:sz w:val="18"/>
          <w:szCs w:val="14"/>
        </w:rPr>
        <w:footnoteRef/>
      </w:r>
      <w:r w:rsidRPr="00D62178">
        <w:rPr>
          <w:sz w:val="14"/>
          <w:szCs w:val="20"/>
          <w:vertAlign w:val="superscript"/>
          <w:lang w:val="ru-RU"/>
        </w:rPr>
        <w:t xml:space="preserve"> </w:t>
      </w:r>
      <w:r>
        <w:t>SBI</w:t>
      </w:r>
      <w:r w:rsidRPr="00BF1986">
        <w:rPr>
          <w:lang w:val="ru-RU"/>
        </w:rPr>
        <w:t>/3/3/</w:t>
      </w:r>
      <w:r>
        <w:t>Add</w:t>
      </w:r>
      <w:r w:rsidRPr="00BF1986">
        <w:rPr>
          <w:lang w:val="ru-RU"/>
        </w:rPr>
        <w:t>.1.</w:t>
      </w:r>
    </w:p>
  </w:footnote>
  <w:footnote w:id="5">
    <w:p w:rsidR="00EC68AD" w:rsidRDefault="00EC68AD" w:rsidP="00EC68AD">
      <w:pPr>
        <w:pStyle w:val="afb"/>
        <w:ind w:firstLine="0"/>
        <w:rPr>
          <w:szCs w:val="18"/>
          <w:lang w:val="en-US"/>
        </w:rPr>
      </w:pPr>
      <w:r w:rsidRPr="00B119AC">
        <w:rPr>
          <w:rStyle w:val="afa"/>
          <w:sz w:val="18"/>
          <w:szCs w:val="10"/>
        </w:rPr>
        <w:footnoteRef/>
      </w:r>
      <w:r w:rsidRPr="00B119AC">
        <w:rPr>
          <w:sz w:val="10"/>
          <w:szCs w:val="10"/>
        </w:rPr>
        <w:t xml:space="preserve"> </w:t>
      </w:r>
      <w:r>
        <w:rPr>
          <w:szCs w:val="18"/>
          <w:lang w:val="ru-RU"/>
        </w:rPr>
        <w:t>Решение</w:t>
      </w:r>
      <w:r>
        <w:rPr>
          <w:szCs w:val="18"/>
          <w:lang w:val="en-US"/>
        </w:rPr>
        <w:t xml:space="preserve"> CP-10/</w:t>
      </w:r>
      <w:r>
        <w:rPr>
          <w:szCs w:val="18"/>
          <w:lang w:val="ru-RU"/>
        </w:rPr>
        <w:t>4</w:t>
      </w:r>
      <w:r>
        <w:rPr>
          <w:szCs w:val="18"/>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rsidR="00A373EB" w:rsidRPr="00442EED" w:rsidRDefault="007D10EB" w:rsidP="00A373EB">
        <w:pPr>
          <w:pStyle w:val="Cornernotation"/>
          <w:ind w:right="-36"/>
          <w:rPr>
            <w:i/>
            <w:iCs/>
          </w:rPr>
        </w:pPr>
        <w:r>
          <w:t>CBD/CP/MOP/DEC/10/3</w:t>
        </w:r>
      </w:p>
    </w:sdtContent>
  </w:sdt>
  <w:p w:rsidR="000E579F" w:rsidRPr="00DF1739" w:rsidRDefault="00E6171F" w:rsidP="00DF1739">
    <w:pPr>
      <w:pStyle w:val="a7"/>
      <w:spacing w:after="240"/>
      <w:rPr>
        <w:lang w:val="en-US"/>
      </w:rPr>
    </w:pPr>
    <w:r>
      <w:rPr>
        <w:lang w:val="ru-RU"/>
      </w:rPr>
      <w:t>Страница</w:t>
    </w:r>
    <w:r w:rsidR="00A373EB" w:rsidRPr="00C35549">
      <w:rPr>
        <w:lang w:val="en-US"/>
      </w:rPr>
      <w:t xml:space="preserve"> </w:t>
    </w:r>
    <w:r w:rsidR="009D5850">
      <w:fldChar w:fldCharType="begin"/>
    </w:r>
    <w:r w:rsidR="00A373EB" w:rsidRPr="00C35549">
      <w:rPr>
        <w:lang w:val="en-US"/>
      </w:rPr>
      <w:instrText xml:space="preserve"> PAGE   \* MERGEFORMAT </w:instrText>
    </w:r>
    <w:r w:rsidR="009D5850">
      <w:fldChar w:fldCharType="separate"/>
    </w:r>
    <w:r w:rsidR="000178EB" w:rsidRPr="000178EB">
      <w:rPr>
        <w:noProof/>
      </w:rPr>
      <w:t>4</w:t>
    </w:r>
    <w:r w:rsidR="009D5850">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2066640307"/>
      <w:placeholder>
        <w:docPart w:val="FE14769CC2CDBC49AC73542093C86C46"/>
      </w:placeholder>
      <w:dataBinding w:prefixMappings="xmlns:ns0='http://purl.org/dc/elements/1.1/' xmlns:ns1='http://schemas.openxmlformats.org/package/2006/metadata/core-properties' " w:xpath="/ns1:coreProperties[1]/ns0:subject[1]" w:storeItemID="{6C3C8BC8-F283-45AE-878A-BAB7291924A1}"/>
      <w:text/>
    </w:sdtPr>
    <w:sdtContent>
      <w:p w:rsidR="004A6099" w:rsidRPr="00442EED" w:rsidRDefault="007D10EB" w:rsidP="004A6099">
        <w:pPr>
          <w:pStyle w:val="Cornernotation"/>
          <w:ind w:right="-36"/>
          <w:jc w:val="right"/>
          <w:rPr>
            <w:i/>
            <w:iCs/>
          </w:rPr>
        </w:pPr>
        <w:r>
          <w:t>CBD/CP/MOP/DEC/10/3</w:t>
        </w:r>
      </w:p>
    </w:sdtContent>
  </w:sdt>
  <w:p w:rsidR="004A6099" w:rsidRPr="004A6099" w:rsidRDefault="004A6099" w:rsidP="004A6099">
    <w:pPr>
      <w:pStyle w:val="a7"/>
      <w:spacing w:after="240"/>
      <w:jc w:val="right"/>
      <w:rPr>
        <w:lang w:val="en-US"/>
      </w:rPr>
    </w:pPr>
    <w:r>
      <w:rPr>
        <w:lang w:val="ru-RU"/>
      </w:rPr>
      <w:t>Страница</w:t>
    </w:r>
    <w:r w:rsidRPr="00C35549">
      <w:rPr>
        <w:lang w:val="en-US"/>
      </w:rPr>
      <w:t xml:space="preserve"> </w:t>
    </w:r>
    <w:r w:rsidR="009D5850">
      <w:fldChar w:fldCharType="begin"/>
    </w:r>
    <w:r w:rsidRPr="00C35549">
      <w:rPr>
        <w:lang w:val="en-US"/>
      </w:rPr>
      <w:instrText xml:space="preserve"> PAGE   \* MERGEFORMAT </w:instrText>
    </w:r>
    <w:r w:rsidR="009D5850">
      <w:fldChar w:fldCharType="separate"/>
    </w:r>
    <w:r w:rsidR="000178EB" w:rsidRPr="000178EB">
      <w:rPr>
        <w:noProof/>
      </w:rPr>
      <w:t>3</w:t>
    </w:r>
    <w:r w:rsidR="009D5850">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51CF"/>
    <w:multiLevelType w:val="hybridMultilevel"/>
    <w:tmpl w:val="76C01CCC"/>
    <w:lvl w:ilvl="0" w:tplc="25B01F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2B54ECE"/>
    <w:multiLevelType w:val="hybridMultilevel"/>
    <w:tmpl w:val="F1607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FB1C2A"/>
    <w:multiLevelType w:val="hybridMultilevel"/>
    <w:tmpl w:val="176868F4"/>
    <w:lvl w:ilvl="0" w:tplc="5F026DC2">
      <w:start w:val="1"/>
      <w:numFmt w:val="upperRoman"/>
      <w:lvlText w:val="%1."/>
      <w:lvlJc w:val="left"/>
      <w:pPr>
        <w:ind w:left="1713" w:hanging="72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3"/>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2"/>
  </w:num>
  <w:num w:numId="18">
    <w:abstractNumId w:val="14"/>
  </w:num>
  <w:num w:numId="1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20"/>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54172D"/>
    <w:rsid w:val="000178EB"/>
    <w:rsid w:val="000604D2"/>
    <w:rsid w:val="000657DE"/>
    <w:rsid w:val="00070D14"/>
    <w:rsid w:val="0007171B"/>
    <w:rsid w:val="000972F9"/>
    <w:rsid w:val="000A50F5"/>
    <w:rsid w:val="000B4837"/>
    <w:rsid w:val="000B5580"/>
    <w:rsid w:val="000D0F0A"/>
    <w:rsid w:val="000E15DD"/>
    <w:rsid w:val="000E579F"/>
    <w:rsid w:val="000E673A"/>
    <w:rsid w:val="000F52E8"/>
    <w:rsid w:val="000F74F5"/>
    <w:rsid w:val="00105372"/>
    <w:rsid w:val="001122A8"/>
    <w:rsid w:val="0011569E"/>
    <w:rsid w:val="001210E3"/>
    <w:rsid w:val="001312AD"/>
    <w:rsid w:val="00131E7A"/>
    <w:rsid w:val="00134846"/>
    <w:rsid w:val="001457E1"/>
    <w:rsid w:val="00172AF6"/>
    <w:rsid w:val="00176CEE"/>
    <w:rsid w:val="00181A96"/>
    <w:rsid w:val="00186DD8"/>
    <w:rsid w:val="001952EB"/>
    <w:rsid w:val="001A174D"/>
    <w:rsid w:val="001A27B5"/>
    <w:rsid w:val="001B124C"/>
    <w:rsid w:val="001B13FE"/>
    <w:rsid w:val="001B59EF"/>
    <w:rsid w:val="001D04B9"/>
    <w:rsid w:val="001D249F"/>
    <w:rsid w:val="001F2159"/>
    <w:rsid w:val="00203ED6"/>
    <w:rsid w:val="00215539"/>
    <w:rsid w:val="00232825"/>
    <w:rsid w:val="00237C67"/>
    <w:rsid w:val="00244133"/>
    <w:rsid w:val="00246E51"/>
    <w:rsid w:val="002670EE"/>
    <w:rsid w:val="00271FF9"/>
    <w:rsid w:val="00293C55"/>
    <w:rsid w:val="00294601"/>
    <w:rsid w:val="002C4CC9"/>
    <w:rsid w:val="002D2684"/>
    <w:rsid w:val="002E7821"/>
    <w:rsid w:val="002F0742"/>
    <w:rsid w:val="0030169D"/>
    <w:rsid w:val="00302AAD"/>
    <w:rsid w:val="003060EB"/>
    <w:rsid w:val="00311EE0"/>
    <w:rsid w:val="00313B96"/>
    <w:rsid w:val="003153EB"/>
    <w:rsid w:val="003160EC"/>
    <w:rsid w:val="003216AA"/>
    <w:rsid w:val="00321985"/>
    <w:rsid w:val="003277B3"/>
    <w:rsid w:val="003340BB"/>
    <w:rsid w:val="00335463"/>
    <w:rsid w:val="0034383F"/>
    <w:rsid w:val="00351205"/>
    <w:rsid w:val="0036078C"/>
    <w:rsid w:val="00372F74"/>
    <w:rsid w:val="003748B8"/>
    <w:rsid w:val="00380CC9"/>
    <w:rsid w:val="00395DAC"/>
    <w:rsid w:val="003A3B11"/>
    <w:rsid w:val="003A5C56"/>
    <w:rsid w:val="003B102D"/>
    <w:rsid w:val="003B1ADF"/>
    <w:rsid w:val="003C47EA"/>
    <w:rsid w:val="003C504F"/>
    <w:rsid w:val="003D7184"/>
    <w:rsid w:val="003E3AFE"/>
    <w:rsid w:val="003E5B0D"/>
    <w:rsid w:val="003F7224"/>
    <w:rsid w:val="00427D21"/>
    <w:rsid w:val="00430E63"/>
    <w:rsid w:val="00442EED"/>
    <w:rsid w:val="00443E56"/>
    <w:rsid w:val="004644C2"/>
    <w:rsid w:val="004661B3"/>
    <w:rsid w:val="00467F9C"/>
    <w:rsid w:val="004712A8"/>
    <w:rsid w:val="00485646"/>
    <w:rsid w:val="004A3E92"/>
    <w:rsid w:val="004A6099"/>
    <w:rsid w:val="004B005A"/>
    <w:rsid w:val="004C5801"/>
    <w:rsid w:val="004E2105"/>
    <w:rsid w:val="004F7C92"/>
    <w:rsid w:val="00503128"/>
    <w:rsid w:val="005056F9"/>
    <w:rsid w:val="00515562"/>
    <w:rsid w:val="005208AC"/>
    <w:rsid w:val="0052618E"/>
    <w:rsid w:val="00534681"/>
    <w:rsid w:val="00534FAE"/>
    <w:rsid w:val="0054172D"/>
    <w:rsid w:val="005421C7"/>
    <w:rsid w:val="00552670"/>
    <w:rsid w:val="00563442"/>
    <w:rsid w:val="00565B42"/>
    <w:rsid w:val="00576225"/>
    <w:rsid w:val="005A523C"/>
    <w:rsid w:val="005B54F1"/>
    <w:rsid w:val="005C4CE6"/>
    <w:rsid w:val="005D1850"/>
    <w:rsid w:val="005F5B62"/>
    <w:rsid w:val="00610563"/>
    <w:rsid w:val="006122BA"/>
    <w:rsid w:val="006175C3"/>
    <w:rsid w:val="006278CD"/>
    <w:rsid w:val="00640D4E"/>
    <w:rsid w:val="00664348"/>
    <w:rsid w:val="00667718"/>
    <w:rsid w:val="00670691"/>
    <w:rsid w:val="00672170"/>
    <w:rsid w:val="00673967"/>
    <w:rsid w:val="0067474E"/>
    <w:rsid w:val="00685CF5"/>
    <w:rsid w:val="00691E64"/>
    <w:rsid w:val="00697E73"/>
    <w:rsid w:val="006B2290"/>
    <w:rsid w:val="006C373E"/>
    <w:rsid w:val="006C59A1"/>
    <w:rsid w:val="006E76F0"/>
    <w:rsid w:val="006E7EDE"/>
    <w:rsid w:val="006F13B7"/>
    <w:rsid w:val="00717D88"/>
    <w:rsid w:val="0072527E"/>
    <w:rsid w:val="00735718"/>
    <w:rsid w:val="00786056"/>
    <w:rsid w:val="0079139E"/>
    <w:rsid w:val="00791623"/>
    <w:rsid w:val="007917DB"/>
    <w:rsid w:val="007942D3"/>
    <w:rsid w:val="007B2099"/>
    <w:rsid w:val="007B6C09"/>
    <w:rsid w:val="007B7741"/>
    <w:rsid w:val="007C5064"/>
    <w:rsid w:val="007C7B7C"/>
    <w:rsid w:val="007D10EB"/>
    <w:rsid w:val="007E09DA"/>
    <w:rsid w:val="008054B8"/>
    <w:rsid w:val="008178B6"/>
    <w:rsid w:val="00817F7E"/>
    <w:rsid w:val="0082191A"/>
    <w:rsid w:val="008511C0"/>
    <w:rsid w:val="00852F36"/>
    <w:rsid w:val="00854352"/>
    <w:rsid w:val="0085748E"/>
    <w:rsid w:val="00865B74"/>
    <w:rsid w:val="0088357A"/>
    <w:rsid w:val="008974F0"/>
    <w:rsid w:val="008A05E1"/>
    <w:rsid w:val="008B012A"/>
    <w:rsid w:val="008C4DB6"/>
    <w:rsid w:val="008D0BDB"/>
    <w:rsid w:val="008E271B"/>
    <w:rsid w:val="008E5502"/>
    <w:rsid w:val="008E619C"/>
    <w:rsid w:val="008E79DD"/>
    <w:rsid w:val="00903805"/>
    <w:rsid w:val="0090556C"/>
    <w:rsid w:val="00906E17"/>
    <w:rsid w:val="00920EB0"/>
    <w:rsid w:val="00930BA1"/>
    <w:rsid w:val="0093169E"/>
    <w:rsid w:val="009505C9"/>
    <w:rsid w:val="00950752"/>
    <w:rsid w:val="00952B6B"/>
    <w:rsid w:val="00954B1F"/>
    <w:rsid w:val="00960372"/>
    <w:rsid w:val="009630D8"/>
    <w:rsid w:val="00966424"/>
    <w:rsid w:val="009778CB"/>
    <w:rsid w:val="00985726"/>
    <w:rsid w:val="00987235"/>
    <w:rsid w:val="0099605E"/>
    <w:rsid w:val="009B669E"/>
    <w:rsid w:val="009C2805"/>
    <w:rsid w:val="009C2DE6"/>
    <w:rsid w:val="009C2ED7"/>
    <w:rsid w:val="009C3D95"/>
    <w:rsid w:val="009D0307"/>
    <w:rsid w:val="009D309F"/>
    <w:rsid w:val="009D5850"/>
    <w:rsid w:val="009E7D8B"/>
    <w:rsid w:val="009F0FBA"/>
    <w:rsid w:val="009F3E82"/>
    <w:rsid w:val="009F7553"/>
    <w:rsid w:val="00A14730"/>
    <w:rsid w:val="00A2196A"/>
    <w:rsid w:val="00A22837"/>
    <w:rsid w:val="00A32702"/>
    <w:rsid w:val="00A373EB"/>
    <w:rsid w:val="00A43D81"/>
    <w:rsid w:val="00A44E36"/>
    <w:rsid w:val="00A56578"/>
    <w:rsid w:val="00A61866"/>
    <w:rsid w:val="00A6443F"/>
    <w:rsid w:val="00A81A4C"/>
    <w:rsid w:val="00A83E1D"/>
    <w:rsid w:val="00A93059"/>
    <w:rsid w:val="00AA59EB"/>
    <w:rsid w:val="00AA5CA2"/>
    <w:rsid w:val="00AA6F92"/>
    <w:rsid w:val="00AB023C"/>
    <w:rsid w:val="00AB08B6"/>
    <w:rsid w:val="00AB6934"/>
    <w:rsid w:val="00AD30B9"/>
    <w:rsid w:val="00AD62A2"/>
    <w:rsid w:val="00AF42DE"/>
    <w:rsid w:val="00B0253E"/>
    <w:rsid w:val="00B303F7"/>
    <w:rsid w:val="00B3369F"/>
    <w:rsid w:val="00B350E1"/>
    <w:rsid w:val="00B35F3C"/>
    <w:rsid w:val="00B42202"/>
    <w:rsid w:val="00B82EB9"/>
    <w:rsid w:val="00B92959"/>
    <w:rsid w:val="00B94E6C"/>
    <w:rsid w:val="00BA04FC"/>
    <w:rsid w:val="00BB4606"/>
    <w:rsid w:val="00BC3C3C"/>
    <w:rsid w:val="00BE5F20"/>
    <w:rsid w:val="00BE6ED6"/>
    <w:rsid w:val="00BF1E4E"/>
    <w:rsid w:val="00BF5CEA"/>
    <w:rsid w:val="00BF7003"/>
    <w:rsid w:val="00BF7DC4"/>
    <w:rsid w:val="00C027C0"/>
    <w:rsid w:val="00C03F8E"/>
    <w:rsid w:val="00C04EE9"/>
    <w:rsid w:val="00C12E9F"/>
    <w:rsid w:val="00C21ED4"/>
    <w:rsid w:val="00C23D2F"/>
    <w:rsid w:val="00C30AF7"/>
    <w:rsid w:val="00C325E3"/>
    <w:rsid w:val="00C4105C"/>
    <w:rsid w:val="00C42D0F"/>
    <w:rsid w:val="00C443BD"/>
    <w:rsid w:val="00C451C5"/>
    <w:rsid w:val="00C51B7C"/>
    <w:rsid w:val="00C5414F"/>
    <w:rsid w:val="00C5483D"/>
    <w:rsid w:val="00C9161D"/>
    <w:rsid w:val="00C95247"/>
    <w:rsid w:val="00CA0C1D"/>
    <w:rsid w:val="00CA3E8F"/>
    <w:rsid w:val="00CB6053"/>
    <w:rsid w:val="00CC34DE"/>
    <w:rsid w:val="00CD1603"/>
    <w:rsid w:val="00CD4B53"/>
    <w:rsid w:val="00CE055C"/>
    <w:rsid w:val="00CF1848"/>
    <w:rsid w:val="00D031DB"/>
    <w:rsid w:val="00D04759"/>
    <w:rsid w:val="00D12044"/>
    <w:rsid w:val="00D263F7"/>
    <w:rsid w:val="00D26E85"/>
    <w:rsid w:val="00D33EFC"/>
    <w:rsid w:val="00D40DBC"/>
    <w:rsid w:val="00D42703"/>
    <w:rsid w:val="00D44538"/>
    <w:rsid w:val="00D45C7F"/>
    <w:rsid w:val="00D5007E"/>
    <w:rsid w:val="00D5217B"/>
    <w:rsid w:val="00D62178"/>
    <w:rsid w:val="00D76A18"/>
    <w:rsid w:val="00D80849"/>
    <w:rsid w:val="00D82E8F"/>
    <w:rsid w:val="00D86DC5"/>
    <w:rsid w:val="00DA014D"/>
    <w:rsid w:val="00DB0A74"/>
    <w:rsid w:val="00DD118C"/>
    <w:rsid w:val="00DF1739"/>
    <w:rsid w:val="00E02343"/>
    <w:rsid w:val="00E1396D"/>
    <w:rsid w:val="00E460A9"/>
    <w:rsid w:val="00E5389C"/>
    <w:rsid w:val="00E6171F"/>
    <w:rsid w:val="00E653F8"/>
    <w:rsid w:val="00E66235"/>
    <w:rsid w:val="00E72B27"/>
    <w:rsid w:val="00E83C24"/>
    <w:rsid w:val="00E84252"/>
    <w:rsid w:val="00E9318D"/>
    <w:rsid w:val="00E94C55"/>
    <w:rsid w:val="00EB4801"/>
    <w:rsid w:val="00EC68AD"/>
    <w:rsid w:val="00ED05C0"/>
    <w:rsid w:val="00ED3228"/>
    <w:rsid w:val="00ED5AE5"/>
    <w:rsid w:val="00ED73B1"/>
    <w:rsid w:val="00EF4F4B"/>
    <w:rsid w:val="00EF5DAC"/>
    <w:rsid w:val="00F14196"/>
    <w:rsid w:val="00F276C3"/>
    <w:rsid w:val="00F316B2"/>
    <w:rsid w:val="00F328AA"/>
    <w:rsid w:val="00F32B8A"/>
    <w:rsid w:val="00F35069"/>
    <w:rsid w:val="00F4432D"/>
    <w:rsid w:val="00F452E6"/>
    <w:rsid w:val="00F53193"/>
    <w:rsid w:val="00F5357E"/>
    <w:rsid w:val="00F6586C"/>
    <w:rsid w:val="00F7635B"/>
    <w:rsid w:val="00F94774"/>
    <w:rsid w:val="00F9795B"/>
    <w:rsid w:val="00FA1B6A"/>
    <w:rsid w:val="00FA1BCB"/>
    <w:rsid w:val="00FA663B"/>
    <w:rsid w:val="00FC53DB"/>
    <w:rsid w:val="00FC6A8A"/>
    <w:rsid w:val="00FC6F65"/>
    <w:rsid w:val="00FD0463"/>
    <w:rsid w:val="00FD4A3F"/>
    <w:rsid w:val="00FE0A76"/>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A"/>
    <w:pPr>
      <w:jc w:val="both"/>
    </w:pPr>
    <w:rPr>
      <w:rFonts w:ascii="Times New Roman" w:eastAsia="Times New Roman" w:hAnsi="Times New Roman" w:cs="Times New Roman"/>
      <w:sz w:val="22"/>
      <w:lang w:val="en-GB"/>
    </w:rPr>
  </w:style>
  <w:style w:type="paragraph" w:styleId="1">
    <w:name w:val="heading 1"/>
    <w:basedOn w:val="a"/>
    <w:next w:val="2"/>
    <w:link w:val="10"/>
    <w:qFormat/>
    <w:rsid w:val="007E09DA"/>
    <w:pPr>
      <w:keepNext/>
      <w:tabs>
        <w:tab w:val="left" w:pos="720"/>
      </w:tabs>
      <w:spacing w:before="240" w:after="120"/>
      <w:jc w:val="center"/>
      <w:outlineLvl w:val="0"/>
    </w:pPr>
    <w:rPr>
      <w:b/>
      <w:caps/>
    </w:rPr>
  </w:style>
  <w:style w:type="paragraph" w:styleId="2">
    <w:name w:val="heading 2"/>
    <w:basedOn w:val="a"/>
    <w:next w:val="a"/>
    <w:link w:val="20"/>
    <w:qFormat/>
    <w:rsid w:val="006122BA"/>
    <w:pPr>
      <w:keepNext/>
      <w:tabs>
        <w:tab w:val="left" w:pos="720"/>
      </w:tabs>
      <w:spacing w:before="120" w:after="120"/>
      <w:jc w:val="center"/>
      <w:outlineLvl w:val="1"/>
    </w:pPr>
    <w:rPr>
      <w:b/>
      <w:bCs/>
      <w:iCs/>
    </w:rPr>
  </w:style>
  <w:style w:type="paragraph" w:styleId="3">
    <w:name w:val="heading 3"/>
    <w:basedOn w:val="a"/>
    <w:next w:val="a"/>
    <w:link w:val="30"/>
    <w:qFormat/>
    <w:rsid w:val="007E09DA"/>
    <w:pPr>
      <w:keepNext/>
      <w:tabs>
        <w:tab w:val="left" w:pos="567"/>
      </w:tabs>
      <w:spacing w:before="120" w:after="120"/>
      <w:jc w:val="center"/>
      <w:outlineLvl w:val="2"/>
    </w:pPr>
    <w:rPr>
      <w:i/>
      <w:iCs/>
    </w:rPr>
  </w:style>
  <w:style w:type="paragraph" w:styleId="4">
    <w:name w:val="heading 4"/>
    <w:basedOn w:val="a"/>
    <w:link w:val="40"/>
    <w:qFormat/>
    <w:rsid w:val="007E09DA"/>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7E09DA"/>
    <w:pPr>
      <w:keepNext/>
      <w:numPr>
        <w:ilvl w:val="4"/>
        <w:numId w:val="1"/>
      </w:numPr>
      <w:spacing w:before="120" w:after="120"/>
      <w:jc w:val="left"/>
      <w:outlineLvl w:val="4"/>
    </w:pPr>
    <w:rPr>
      <w:bCs/>
      <w:i/>
      <w:szCs w:val="26"/>
      <w:lang w:val="en-CA"/>
    </w:rPr>
  </w:style>
  <w:style w:type="paragraph" w:styleId="6">
    <w:name w:val="heading 6"/>
    <w:basedOn w:val="a"/>
    <w:next w:val="a"/>
    <w:link w:val="60"/>
    <w:qFormat/>
    <w:rsid w:val="007E09DA"/>
    <w:pPr>
      <w:keepNext/>
      <w:spacing w:after="240" w:line="240" w:lineRule="exact"/>
      <w:ind w:left="720"/>
      <w:outlineLvl w:val="5"/>
    </w:pPr>
    <w:rPr>
      <w:u w:val="single"/>
    </w:rPr>
  </w:style>
  <w:style w:type="paragraph" w:styleId="7">
    <w:name w:val="heading 7"/>
    <w:basedOn w:val="a"/>
    <w:next w:val="a"/>
    <w:link w:val="70"/>
    <w:rsid w:val="007E09DA"/>
    <w:pPr>
      <w:keepNext/>
      <w:jc w:val="right"/>
      <w:outlineLvl w:val="6"/>
    </w:pPr>
    <w:rPr>
      <w:rFonts w:ascii="Univers" w:hAnsi="Univers"/>
      <w:b/>
      <w:sz w:val="28"/>
    </w:rPr>
  </w:style>
  <w:style w:type="paragraph" w:styleId="8">
    <w:name w:val="heading 8"/>
    <w:basedOn w:val="a"/>
    <w:next w:val="a"/>
    <w:link w:val="80"/>
    <w:qFormat/>
    <w:rsid w:val="007E09DA"/>
    <w:pPr>
      <w:keepNext/>
      <w:jc w:val="right"/>
      <w:outlineLvl w:val="7"/>
    </w:pPr>
    <w:rPr>
      <w:rFonts w:ascii="Univers" w:hAnsi="Univers"/>
      <w:b/>
      <w:sz w:val="32"/>
    </w:rPr>
  </w:style>
  <w:style w:type="paragraph" w:styleId="9">
    <w:name w:val="heading 9"/>
    <w:basedOn w:val="a"/>
    <w:next w:val="a"/>
    <w:link w:val="90"/>
    <w:rsid w:val="007E09DA"/>
    <w:pPr>
      <w:keepNext/>
      <w:spacing w:before="100" w:beforeAutospacing="1" w:after="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161D"/>
    <w:rPr>
      <w:rFonts w:ascii="Lucida Grande" w:hAnsi="Lucida Grande" w:cs="Lucida Grande"/>
      <w:sz w:val="18"/>
      <w:szCs w:val="18"/>
    </w:rPr>
  </w:style>
  <w:style w:type="character" w:customStyle="1" w:styleId="a5">
    <w:name w:val="Текст выноски Знак"/>
    <w:basedOn w:val="a0"/>
    <w:link w:val="a4"/>
    <w:uiPriority w:val="99"/>
    <w:semiHidden/>
    <w:rsid w:val="00C9161D"/>
    <w:rPr>
      <w:rFonts w:ascii="Lucida Grande" w:hAnsi="Lucida Grande" w:cs="Lucida Grande"/>
      <w:sz w:val="18"/>
      <w:szCs w:val="18"/>
      <w:lang w:val="en-US"/>
    </w:rPr>
  </w:style>
  <w:style w:type="character" w:styleId="a6">
    <w:name w:val="Placeholder Text"/>
    <w:basedOn w:val="a0"/>
    <w:uiPriority w:val="99"/>
    <w:rsid w:val="00105372"/>
    <w:rPr>
      <w:color w:val="808080"/>
    </w:rPr>
  </w:style>
  <w:style w:type="paragraph" w:styleId="a7">
    <w:name w:val="header"/>
    <w:basedOn w:val="a"/>
    <w:link w:val="a8"/>
    <w:uiPriority w:val="99"/>
    <w:rsid w:val="007E09DA"/>
    <w:pPr>
      <w:tabs>
        <w:tab w:val="center" w:pos="4320"/>
        <w:tab w:val="right" w:pos="8640"/>
      </w:tabs>
    </w:pPr>
  </w:style>
  <w:style w:type="character" w:customStyle="1" w:styleId="a8">
    <w:name w:val="Верхний колонтитул Знак"/>
    <w:basedOn w:val="a0"/>
    <w:link w:val="a7"/>
    <w:uiPriority w:val="99"/>
    <w:rsid w:val="00CF1848"/>
    <w:rPr>
      <w:rFonts w:ascii="Times New Roman" w:eastAsia="Times New Roman" w:hAnsi="Times New Roman" w:cs="Times New Roman"/>
      <w:sz w:val="22"/>
      <w:lang w:val="en-GB"/>
    </w:rPr>
  </w:style>
  <w:style w:type="paragraph" w:styleId="a9">
    <w:name w:val="footer"/>
    <w:basedOn w:val="a"/>
    <w:link w:val="aa"/>
    <w:rsid w:val="007E09DA"/>
    <w:pPr>
      <w:tabs>
        <w:tab w:val="center" w:pos="4320"/>
        <w:tab w:val="right" w:pos="8640"/>
      </w:tabs>
      <w:ind w:firstLine="720"/>
      <w:jc w:val="right"/>
    </w:pPr>
  </w:style>
  <w:style w:type="character" w:customStyle="1" w:styleId="aa">
    <w:name w:val="Нижний колонтитул Знак"/>
    <w:basedOn w:val="a0"/>
    <w:link w:val="a9"/>
    <w:rsid w:val="00CF1848"/>
    <w:rPr>
      <w:rFonts w:ascii="Times New Roman" w:eastAsia="Times New Roman" w:hAnsi="Times New Roman" w:cs="Times New Roman"/>
      <w:sz w:val="22"/>
      <w:lang w:val="en-GB"/>
    </w:rPr>
  </w:style>
  <w:style w:type="paragraph" w:customStyle="1" w:styleId="meetingname">
    <w:name w:val="meeting name"/>
    <w:basedOn w:val="a"/>
    <w:qFormat/>
    <w:rsid w:val="00534681"/>
    <w:pPr>
      <w:ind w:left="142" w:right="4218" w:hanging="142"/>
    </w:pPr>
    <w:rPr>
      <w:caps/>
      <w:szCs w:val="22"/>
    </w:rPr>
  </w:style>
  <w:style w:type="paragraph" w:styleId="ab">
    <w:name w:val="Title"/>
    <w:basedOn w:val="a"/>
    <w:next w:val="a"/>
    <w:link w:val="ac"/>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ae">
    <w:name w:val="Подзаголовок Знак"/>
    <w:basedOn w:val="a0"/>
    <w:link w:val="ad"/>
    <w:uiPriority w:val="11"/>
    <w:rsid w:val="007E09DA"/>
    <w:rPr>
      <w:rFonts w:asciiTheme="majorHAnsi" w:eastAsiaTheme="majorEastAsia" w:hAnsiTheme="majorHAnsi" w:cstheme="majorBidi"/>
      <w:i/>
      <w:iCs/>
      <w:color w:val="4F81BD" w:themeColor="accent1"/>
      <w:spacing w:val="15"/>
      <w:lang w:val="en-US"/>
    </w:rPr>
  </w:style>
  <w:style w:type="character" w:customStyle="1" w:styleId="10">
    <w:name w:val="Заголовок 1 Знак"/>
    <w:basedOn w:val="a0"/>
    <w:link w:val="1"/>
    <w:rsid w:val="007E09DA"/>
    <w:rPr>
      <w:rFonts w:ascii="Times New Roman" w:eastAsia="Times New Roman" w:hAnsi="Times New Roman" w:cs="Times New Roman"/>
      <w:b/>
      <w:caps/>
      <w:sz w:val="22"/>
      <w:lang w:val="en-GB"/>
    </w:rPr>
  </w:style>
  <w:style w:type="paragraph" w:styleId="af">
    <w:name w:val="Body Text"/>
    <w:basedOn w:val="a"/>
    <w:link w:val="af0"/>
    <w:rsid w:val="007E09DA"/>
    <w:pPr>
      <w:spacing w:before="120" w:after="120"/>
      <w:ind w:firstLine="720"/>
    </w:pPr>
    <w:rPr>
      <w:iCs/>
    </w:rPr>
  </w:style>
  <w:style w:type="character" w:customStyle="1" w:styleId="af0">
    <w:name w:val="Основной текст Знак"/>
    <w:basedOn w:val="a0"/>
    <w:link w:val="af"/>
    <w:rsid w:val="007E09DA"/>
    <w:rPr>
      <w:rFonts w:ascii="Times New Roman" w:eastAsia="Times New Roman" w:hAnsi="Times New Roman" w:cs="Times New Roman"/>
      <w:iCs/>
      <w:sz w:val="22"/>
      <w:lang w:val="en-GB"/>
    </w:rPr>
  </w:style>
  <w:style w:type="paragraph" w:styleId="af1">
    <w:name w:val="Body Text Indent"/>
    <w:basedOn w:val="a"/>
    <w:link w:val="af2"/>
    <w:rsid w:val="007E09DA"/>
    <w:pPr>
      <w:spacing w:before="120" w:after="120"/>
      <w:ind w:left="1440" w:hanging="720"/>
      <w:jc w:val="left"/>
    </w:pPr>
  </w:style>
  <w:style w:type="character" w:customStyle="1" w:styleId="af2">
    <w:name w:val="Основной текст с отступом Знак"/>
    <w:basedOn w:val="a0"/>
    <w:link w:val="af1"/>
    <w:rsid w:val="007E09DA"/>
    <w:rPr>
      <w:rFonts w:ascii="Times New Roman" w:eastAsia="Times New Roman" w:hAnsi="Times New Roman" w:cs="Times New Roman"/>
      <w:sz w:val="22"/>
      <w:lang w:val="en-GB"/>
    </w:rPr>
  </w:style>
  <w:style w:type="character" w:styleId="af3">
    <w:name w:val="annotation reference"/>
    <w:semiHidden/>
    <w:rsid w:val="007E09DA"/>
    <w:rPr>
      <w:sz w:val="16"/>
    </w:rPr>
  </w:style>
  <w:style w:type="paragraph" w:styleId="af4">
    <w:name w:val="annotation text"/>
    <w:basedOn w:val="a"/>
    <w:link w:val="af5"/>
    <w:semiHidden/>
    <w:rsid w:val="007E09DA"/>
    <w:pPr>
      <w:spacing w:after="120" w:line="240" w:lineRule="exact"/>
    </w:pPr>
  </w:style>
  <w:style w:type="character" w:customStyle="1" w:styleId="af5">
    <w:name w:val="Текст примечания Знак"/>
    <w:basedOn w:val="a0"/>
    <w:link w:val="af4"/>
    <w:semiHidden/>
    <w:rsid w:val="007E09DA"/>
    <w:rPr>
      <w:rFonts w:ascii="Times New Roman" w:eastAsia="Times New Roman" w:hAnsi="Times New Roman" w:cs="Times New Roman"/>
      <w:sz w:val="22"/>
      <w:lang w:val="en-GB"/>
    </w:rPr>
  </w:style>
  <w:style w:type="paragraph" w:customStyle="1" w:styleId="Cornernotation">
    <w:name w:val="Corner notation"/>
    <w:basedOn w:val="a"/>
    <w:rsid w:val="007E09DA"/>
    <w:pPr>
      <w:ind w:left="170" w:right="3119" w:hanging="170"/>
      <w:jc w:val="left"/>
    </w:pPr>
  </w:style>
  <w:style w:type="character" w:styleId="af6">
    <w:name w:val="endnote reference"/>
    <w:semiHidden/>
    <w:rsid w:val="007E09DA"/>
    <w:rPr>
      <w:vertAlign w:val="superscript"/>
    </w:rPr>
  </w:style>
  <w:style w:type="paragraph" w:styleId="af7">
    <w:name w:val="endnote text"/>
    <w:basedOn w:val="a"/>
    <w:link w:val="af8"/>
    <w:semiHidden/>
    <w:rsid w:val="007E09DA"/>
    <w:pPr>
      <w:widowControl w:val="0"/>
      <w:tabs>
        <w:tab w:val="left" w:pos="-720"/>
      </w:tabs>
      <w:suppressAutoHyphens/>
    </w:pPr>
    <w:rPr>
      <w:rFonts w:ascii="Courier New" w:hAnsi="Courier New"/>
    </w:rPr>
  </w:style>
  <w:style w:type="character" w:customStyle="1" w:styleId="af8">
    <w:name w:val="Текст концевой сноски Знак"/>
    <w:basedOn w:val="a0"/>
    <w:link w:val="af7"/>
    <w:semiHidden/>
    <w:rsid w:val="007E09DA"/>
    <w:rPr>
      <w:rFonts w:ascii="Courier New" w:eastAsia="Times New Roman" w:hAnsi="Courier New" w:cs="Times New Roman"/>
      <w:sz w:val="22"/>
      <w:lang w:val="en-GB"/>
    </w:rPr>
  </w:style>
  <w:style w:type="character" w:styleId="af9">
    <w:name w:val="FollowedHyperlink"/>
    <w:rsid w:val="007E09DA"/>
    <w:rPr>
      <w:color w:val="800080"/>
      <w:u w:val="single"/>
    </w:rPr>
  </w:style>
  <w:style w:type="character" w:styleId="afa">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afb">
    <w:name w:val="footnote text"/>
    <w:aliases w:val="fn,Geneva 9,Font: Geneva 9,Boston 10,f,ft,Fotnotstext Char,ft Char,single space,footnote text,FOOTNOTES,ADB,single space1,footnote text1,FOOTNOTES1,fn1,ADB1,single space2,footnote text2,FOOTNOTES2,fn2,ADB2,single space3,fn3"/>
    <w:basedOn w:val="a"/>
    <w:link w:val="afc"/>
    <w:qFormat/>
    <w:rsid w:val="007E09DA"/>
    <w:pPr>
      <w:keepLines/>
      <w:spacing w:after="60"/>
      <w:ind w:firstLine="720"/>
    </w:pPr>
    <w:rPr>
      <w:sz w:val="18"/>
    </w:rPr>
  </w:style>
  <w:style w:type="character" w:customStyle="1" w:styleId="afc">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basedOn w:val="a0"/>
    <w:link w:val="afb"/>
    <w:qFormat/>
    <w:rsid w:val="007E09DA"/>
    <w:rPr>
      <w:rFonts w:ascii="Times New Roman" w:eastAsia="Times New Roman" w:hAnsi="Times New Roman" w:cs="Times New Roman"/>
      <w:sz w:val="18"/>
      <w:lang w:val="en-GB"/>
    </w:rPr>
  </w:style>
  <w:style w:type="paragraph" w:customStyle="1" w:styleId="HEADING">
    <w:name w:val="HEADING"/>
    <w:basedOn w:val="a"/>
    <w:rsid w:val="007E09DA"/>
    <w:pPr>
      <w:keepNext/>
      <w:spacing w:before="240" w:after="120"/>
      <w:jc w:val="center"/>
    </w:pPr>
    <w:rPr>
      <w:b/>
      <w:bCs/>
      <w:caps/>
    </w:rPr>
  </w:style>
  <w:style w:type="character" w:customStyle="1" w:styleId="20">
    <w:name w:val="Заголовок 2 Знак"/>
    <w:basedOn w:val="a0"/>
    <w:link w:val="2"/>
    <w:rsid w:val="006122BA"/>
    <w:rPr>
      <w:rFonts w:ascii="Times New Roman" w:eastAsia="Times New Roman" w:hAnsi="Times New Roman" w:cs="Times New Roman"/>
      <w:b/>
      <w:bCs/>
      <w:iCs/>
      <w:sz w:val="22"/>
      <w:lang w:val="en-GB"/>
    </w:rPr>
  </w:style>
  <w:style w:type="paragraph" w:customStyle="1" w:styleId="HEADINGNOTFORTOC">
    <w:name w:val="HEADING (NOT FOR TOC)"/>
    <w:basedOn w:val="1"/>
    <w:next w:val="2"/>
    <w:rsid w:val="007E09DA"/>
  </w:style>
  <w:style w:type="paragraph" w:customStyle="1" w:styleId="Heading1longmultiline">
    <w:name w:val="Heading 1 (long multiline)"/>
    <w:basedOn w:val="1"/>
    <w:rsid w:val="007E09DA"/>
    <w:pPr>
      <w:ind w:left="1843" w:hanging="1134"/>
      <w:jc w:val="left"/>
    </w:pPr>
  </w:style>
  <w:style w:type="paragraph" w:customStyle="1" w:styleId="Heading1multiline">
    <w:name w:val="Heading 1 (multiline)"/>
    <w:basedOn w:val="1"/>
    <w:rsid w:val="007E09DA"/>
    <w:pPr>
      <w:ind w:left="1843" w:right="996" w:hanging="567"/>
      <w:jc w:val="left"/>
    </w:pPr>
  </w:style>
  <w:style w:type="paragraph" w:customStyle="1" w:styleId="Heading2multiline">
    <w:name w:val="Heading 2 (multiline)"/>
    <w:basedOn w:val="1"/>
    <w:next w:val="a"/>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30">
    <w:name w:val="Заголовок 3 Знак"/>
    <w:basedOn w:val="a0"/>
    <w:link w:val="3"/>
    <w:rsid w:val="007E09DA"/>
    <w:rPr>
      <w:rFonts w:ascii="Times New Roman" w:eastAsia="Times New Roman" w:hAnsi="Times New Roman" w:cs="Times New Roman"/>
      <w:i/>
      <w:iCs/>
      <w:sz w:val="22"/>
      <w:lang w:val="en-GB"/>
    </w:rPr>
  </w:style>
  <w:style w:type="paragraph" w:customStyle="1" w:styleId="heading2notforTOC">
    <w:name w:val="heading 2 not for TOC"/>
    <w:basedOn w:val="3"/>
    <w:rsid w:val="007E09DA"/>
  </w:style>
  <w:style w:type="paragraph" w:customStyle="1" w:styleId="Heading3multiline">
    <w:name w:val="Heading 3 (multiline)"/>
    <w:basedOn w:val="3"/>
    <w:next w:val="a"/>
    <w:rsid w:val="007E09DA"/>
    <w:pPr>
      <w:ind w:left="1418" w:hanging="425"/>
      <w:jc w:val="left"/>
    </w:pPr>
  </w:style>
  <w:style w:type="character" w:customStyle="1" w:styleId="40">
    <w:name w:val="Заголовок 4 Знак"/>
    <w:basedOn w:val="a0"/>
    <w:link w:val="4"/>
    <w:rsid w:val="007E09DA"/>
    <w:rPr>
      <w:rFonts w:ascii="Times New Roman Bold" w:eastAsia="Arial Unicode MS" w:hAnsi="Times New Roman Bold" w:cs="Arial"/>
      <w:b/>
      <w:bCs/>
      <w:i/>
      <w:sz w:val="22"/>
      <w:lang w:val="en-GB"/>
    </w:rPr>
  </w:style>
  <w:style w:type="paragraph" w:customStyle="1" w:styleId="Heading4indent">
    <w:name w:val="Heading 4 indent"/>
    <w:basedOn w:val="4"/>
    <w:rsid w:val="007E09DA"/>
    <w:pPr>
      <w:ind w:left="720"/>
      <w:outlineLvl w:val="9"/>
    </w:pPr>
    <w:rPr>
      <w:rFonts w:ascii="Times New Roman" w:hAnsi="Times New Roman"/>
    </w:rPr>
  </w:style>
  <w:style w:type="character" w:customStyle="1" w:styleId="50">
    <w:name w:val="Заголовок 5 Знак"/>
    <w:basedOn w:val="a0"/>
    <w:link w:val="5"/>
    <w:rsid w:val="007E09DA"/>
    <w:rPr>
      <w:rFonts w:ascii="Times New Roman" w:eastAsia="Times New Roman" w:hAnsi="Times New Roman" w:cs="Times New Roman"/>
      <w:bCs/>
      <w:i/>
      <w:sz w:val="22"/>
      <w:szCs w:val="26"/>
      <w:lang w:val="en-CA"/>
    </w:rPr>
  </w:style>
  <w:style w:type="character" w:customStyle="1" w:styleId="60">
    <w:name w:val="Заголовок 6 Знак"/>
    <w:basedOn w:val="a0"/>
    <w:link w:val="6"/>
    <w:rsid w:val="007E09DA"/>
    <w:rPr>
      <w:rFonts w:ascii="Times New Roman" w:eastAsia="Times New Roman" w:hAnsi="Times New Roman" w:cs="Times New Roman"/>
      <w:sz w:val="22"/>
      <w:u w:val="single"/>
      <w:lang w:val="en-GB"/>
    </w:rPr>
  </w:style>
  <w:style w:type="character" w:customStyle="1" w:styleId="70">
    <w:name w:val="Заголовок 7 Знак"/>
    <w:basedOn w:val="a0"/>
    <w:link w:val="7"/>
    <w:rsid w:val="007E09DA"/>
    <w:rPr>
      <w:rFonts w:ascii="Univers" w:eastAsia="Times New Roman" w:hAnsi="Univers" w:cs="Times New Roman"/>
      <w:b/>
      <w:sz w:val="28"/>
      <w:lang w:val="en-GB"/>
    </w:rPr>
  </w:style>
  <w:style w:type="character" w:customStyle="1" w:styleId="80">
    <w:name w:val="Заголовок 8 Знак"/>
    <w:basedOn w:val="a0"/>
    <w:link w:val="8"/>
    <w:rsid w:val="007E09DA"/>
    <w:rPr>
      <w:rFonts w:ascii="Univers" w:eastAsia="Times New Roman" w:hAnsi="Univers" w:cs="Times New Roman"/>
      <w:b/>
      <w:sz w:val="32"/>
      <w:lang w:val="en-GB"/>
    </w:rPr>
  </w:style>
  <w:style w:type="character" w:customStyle="1" w:styleId="90">
    <w:name w:val="Заголовок 9 Знак"/>
    <w:basedOn w:val="a0"/>
    <w:link w:val="9"/>
    <w:rsid w:val="007E09DA"/>
    <w:rPr>
      <w:rFonts w:ascii="Times New Roman" w:eastAsia="Times New Roman" w:hAnsi="Times New Roman" w:cs="Times New Roman"/>
      <w:i/>
      <w:iCs/>
      <w:sz w:val="22"/>
      <w:lang w:val="en-GB"/>
    </w:rPr>
  </w:style>
  <w:style w:type="character" w:styleId="afd">
    <w:name w:val="page number"/>
    <w:rsid w:val="007E09DA"/>
    <w:rPr>
      <w:rFonts w:ascii="Times New Roman" w:hAnsi="Times New Roman"/>
      <w:sz w:val="22"/>
    </w:rPr>
  </w:style>
  <w:style w:type="paragraph" w:customStyle="1" w:styleId="Para1">
    <w:name w:val="Para1"/>
    <w:basedOn w:val="a"/>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a"/>
    <w:rsid w:val="007E09DA"/>
    <w:pPr>
      <w:numPr>
        <w:ilvl w:val="3"/>
        <w:numId w:val="5"/>
      </w:numPr>
      <w:tabs>
        <w:tab w:val="left" w:pos="1980"/>
      </w:tabs>
      <w:spacing w:before="80" w:after="80"/>
    </w:pPr>
    <w:rPr>
      <w:szCs w:val="20"/>
    </w:rPr>
  </w:style>
  <w:style w:type="paragraph" w:customStyle="1" w:styleId="para4">
    <w:name w:val="para4"/>
    <w:basedOn w:val="a"/>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a"/>
    <w:qFormat/>
    <w:rsid w:val="007E09DA"/>
    <w:pPr>
      <w:spacing w:before="120" w:after="120"/>
      <w:ind w:left="720" w:right="720"/>
    </w:pPr>
    <w:rPr>
      <w:bCs/>
    </w:rPr>
  </w:style>
  <w:style w:type="paragraph" w:customStyle="1" w:styleId="recommendationheader">
    <w:name w:val="recommendation header"/>
    <w:basedOn w:val="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2"/>
    <w:qFormat/>
    <w:rsid w:val="0093169E"/>
    <w:pPr>
      <w:jc w:val="left"/>
      <w:outlineLvl w:val="9"/>
    </w:pPr>
    <w:rPr>
      <w:i/>
    </w:rPr>
  </w:style>
  <w:style w:type="paragraph" w:styleId="afe">
    <w:name w:val="toa heading"/>
    <w:basedOn w:val="a"/>
    <w:next w:val="a"/>
    <w:semiHidden/>
    <w:rsid w:val="007E09DA"/>
    <w:pPr>
      <w:spacing w:before="120"/>
    </w:pPr>
    <w:rPr>
      <w:rFonts w:cs="Arial"/>
      <w:b/>
      <w:bCs/>
      <w:sz w:val="24"/>
    </w:rPr>
  </w:style>
  <w:style w:type="paragraph" w:styleId="11">
    <w:name w:val="toc 1"/>
    <w:basedOn w:val="a"/>
    <w:next w:val="a"/>
    <w:autoRedefine/>
    <w:semiHidden/>
    <w:rsid w:val="007E09DA"/>
    <w:pPr>
      <w:ind w:left="720" w:hanging="720"/>
    </w:pPr>
    <w:rPr>
      <w:caps/>
    </w:rPr>
  </w:style>
  <w:style w:type="paragraph" w:styleId="21">
    <w:name w:val="toc 2"/>
    <w:basedOn w:val="a"/>
    <w:next w:val="a"/>
    <w:autoRedefine/>
    <w:semiHidden/>
    <w:rsid w:val="007E09DA"/>
    <w:pPr>
      <w:tabs>
        <w:tab w:val="right" w:leader="dot" w:pos="9356"/>
      </w:tabs>
      <w:ind w:left="1440" w:hanging="720"/>
    </w:pPr>
    <w:rPr>
      <w:noProof/>
      <w:szCs w:val="22"/>
    </w:rPr>
  </w:style>
  <w:style w:type="paragraph" w:styleId="31">
    <w:name w:val="toc 3"/>
    <w:basedOn w:val="a"/>
    <w:next w:val="a"/>
    <w:autoRedefine/>
    <w:semiHidden/>
    <w:rsid w:val="007E09DA"/>
    <w:pPr>
      <w:ind w:left="2160" w:hanging="720"/>
    </w:pPr>
  </w:style>
  <w:style w:type="paragraph" w:styleId="41">
    <w:name w:val="toc 4"/>
    <w:basedOn w:val="a"/>
    <w:next w:val="a"/>
    <w:autoRedefine/>
    <w:semiHidden/>
    <w:rsid w:val="007E09DA"/>
    <w:pPr>
      <w:spacing w:before="120" w:after="120"/>
      <w:ind w:left="660"/>
      <w:jc w:val="left"/>
    </w:pPr>
  </w:style>
  <w:style w:type="paragraph" w:styleId="51">
    <w:name w:val="toc 5"/>
    <w:basedOn w:val="a"/>
    <w:next w:val="a"/>
    <w:autoRedefine/>
    <w:semiHidden/>
    <w:rsid w:val="007E09DA"/>
    <w:pPr>
      <w:spacing w:before="120" w:after="120"/>
      <w:ind w:left="880"/>
      <w:jc w:val="left"/>
    </w:pPr>
  </w:style>
  <w:style w:type="paragraph" w:styleId="61">
    <w:name w:val="toc 6"/>
    <w:basedOn w:val="a"/>
    <w:next w:val="a"/>
    <w:autoRedefine/>
    <w:semiHidden/>
    <w:rsid w:val="007E09DA"/>
    <w:pPr>
      <w:spacing w:before="120" w:after="120"/>
      <w:ind w:left="1100"/>
      <w:jc w:val="left"/>
    </w:pPr>
  </w:style>
  <w:style w:type="paragraph" w:styleId="71">
    <w:name w:val="toc 7"/>
    <w:basedOn w:val="a"/>
    <w:next w:val="a"/>
    <w:autoRedefine/>
    <w:semiHidden/>
    <w:rsid w:val="007E09DA"/>
    <w:pPr>
      <w:spacing w:before="120" w:after="120"/>
      <w:ind w:left="1320"/>
      <w:jc w:val="left"/>
    </w:pPr>
  </w:style>
  <w:style w:type="paragraph" w:styleId="81">
    <w:name w:val="toc 8"/>
    <w:basedOn w:val="a"/>
    <w:next w:val="a"/>
    <w:autoRedefine/>
    <w:semiHidden/>
    <w:rsid w:val="007E09DA"/>
    <w:pPr>
      <w:spacing w:before="120" w:after="120"/>
      <w:ind w:left="1540"/>
      <w:jc w:val="left"/>
    </w:pPr>
  </w:style>
  <w:style w:type="paragraph" w:styleId="91">
    <w:name w:val="toc 9"/>
    <w:basedOn w:val="a"/>
    <w:next w:val="a"/>
    <w:autoRedefine/>
    <w:semiHidden/>
    <w:rsid w:val="007E09DA"/>
    <w:pPr>
      <w:spacing w:before="120" w:after="120"/>
      <w:ind w:left="1760"/>
      <w:jc w:val="left"/>
    </w:pPr>
  </w:style>
  <w:style w:type="character" w:styleId="aff">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a"/>
    <w:rsid w:val="00172AF6"/>
    <w:pPr>
      <w:keepLines/>
      <w:spacing w:before="240" w:after="120"/>
    </w:pPr>
    <w:rPr>
      <w:rFonts w:cs="Angsana New"/>
      <w:b/>
      <w:i/>
      <w:sz w:val="24"/>
    </w:rPr>
  </w:style>
  <w:style w:type="paragraph" w:customStyle="1" w:styleId="CBD-Doc">
    <w:name w:val="CBD-Doc"/>
    <w:basedOn w:val="a"/>
    <w:rsid w:val="00172AF6"/>
    <w:pPr>
      <w:keepLines/>
      <w:numPr>
        <w:numId w:val="9"/>
      </w:numPr>
      <w:spacing w:after="120"/>
    </w:pPr>
    <w:rPr>
      <w:rFonts w:cs="Angsana New"/>
    </w:rPr>
  </w:style>
  <w:style w:type="paragraph" w:styleId="aff0">
    <w:name w:val="List Paragraph"/>
    <w:basedOn w:val="a"/>
    <w:uiPriority w:val="34"/>
    <w:qFormat/>
    <w:rsid w:val="0093169E"/>
    <w:pPr>
      <w:ind w:left="720"/>
      <w:contextualSpacing/>
    </w:pPr>
  </w:style>
  <w:style w:type="paragraph" w:styleId="aff1">
    <w:name w:val="caption"/>
    <w:basedOn w:val="a"/>
    <w:next w:val="a"/>
    <w:uiPriority w:val="35"/>
    <w:unhideWhenUsed/>
    <w:qFormat/>
    <w:rsid w:val="00D12044"/>
    <w:pPr>
      <w:keepNext/>
      <w:keepLines/>
      <w:spacing w:after="200"/>
    </w:pPr>
    <w:rPr>
      <w:b/>
      <w:iCs/>
      <w:szCs w:val="18"/>
    </w:rPr>
  </w:style>
  <w:style w:type="paragraph" w:customStyle="1" w:styleId="Style1">
    <w:name w:val="Style1"/>
    <w:basedOn w:val="2"/>
    <w:qFormat/>
    <w:rsid w:val="00F6586C"/>
    <w:rPr>
      <w:i/>
    </w:rPr>
  </w:style>
  <w:style w:type="paragraph" w:styleId="aff2">
    <w:name w:val="annotation subject"/>
    <w:basedOn w:val="af4"/>
    <w:next w:val="af4"/>
    <w:link w:val="aff3"/>
    <w:uiPriority w:val="99"/>
    <w:semiHidden/>
    <w:unhideWhenUsed/>
    <w:rsid w:val="00ED05C0"/>
    <w:pPr>
      <w:spacing w:after="0" w:line="240" w:lineRule="auto"/>
    </w:pPr>
    <w:rPr>
      <w:b/>
      <w:bCs/>
      <w:sz w:val="20"/>
      <w:szCs w:val="20"/>
    </w:rPr>
  </w:style>
  <w:style w:type="character" w:customStyle="1" w:styleId="aff3">
    <w:name w:val="Тема примечания Знак"/>
    <w:basedOn w:val="af5"/>
    <w:link w:val="aff2"/>
    <w:uiPriority w:val="99"/>
    <w:semiHidden/>
    <w:rsid w:val="00ED05C0"/>
    <w:rPr>
      <w:rFonts w:ascii="Times New Roman" w:eastAsia="Times New Roman" w:hAnsi="Times New Roman" w:cs="Times New Roman"/>
      <w:b/>
      <w:bCs/>
      <w:sz w:val="20"/>
      <w:szCs w:val="20"/>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fa"/>
    <w:qFormat/>
    <w:rsid w:val="00237C67"/>
    <w:pPr>
      <w:spacing w:before="120"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r="http://schemas.openxmlformats.org/officeDocument/2006/relationships" xmlns:w="http://schemas.openxmlformats.org/wordprocessingml/2006/main">
  <w:divs>
    <w:div w:id="315259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shtml?decisionID=123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a3"/>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a3"/>
            </w:rPr>
            <w:t>[Subject]</w:t>
          </w:r>
        </w:p>
      </w:docPartBody>
    </w:docPart>
    <w:docPart>
      <w:docPartPr>
        <w:name w:val="FE14769CC2CDBC49AC73542093C86C46"/>
        <w:category>
          <w:name w:val="General"/>
          <w:gallery w:val="placeholder"/>
        </w:category>
        <w:types>
          <w:type w:val="bbPlcHdr"/>
        </w:types>
        <w:behaviors>
          <w:behavior w:val="content"/>
        </w:behaviors>
        <w:guid w:val="{6A15B88E-1FE6-7849-B616-BA2A3F1FBA94}"/>
      </w:docPartPr>
      <w:docPartBody>
        <w:p w:rsidR="00136AF3" w:rsidRDefault="00A11558" w:rsidP="00A11558">
          <w:pPr>
            <w:pStyle w:val="FE14769CC2CDBC49AC73542093C86C46"/>
          </w:pPr>
          <w:r>
            <w:rPr>
              <w:rStyle w:val="a3"/>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B72FA"/>
    <w:rsid w:val="00032833"/>
    <w:rsid w:val="000C2981"/>
    <w:rsid w:val="00136AF3"/>
    <w:rsid w:val="001B792D"/>
    <w:rsid w:val="00211626"/>
    <w:rsid w:val="002641AB"/>
    <w:rsid w:val="002F295A"/>
    <w:rsid w:val="00412F6C"/>
    <w:rsid w:val="004C1D63"/>
    <w:rsid w:val="004C6765"/>
    <w:rsid w:val="005D4F76"/>
    <w:rsid w:val="00632ABE"/>
    <w:rsid w:val="007C7D84"/>
    <w:rsid w:val="00800648"/>
    <w:rsid w:val="00854BF9"/>
    <w:rsid w:val="00975EF2"/>
    <w:rsid w:val="009A09AB"/>
    <w:rsid w:val="009E53FB"/>
    <w:rsid w:val="00A11558"/>
    <w:rsid w:val="00A24399"/>
    <w:rsid w:val="00AB72FA"/>
    <w:rsid w:val="00B1011B"/>
    <w:rsid w:val="00C439C6"/>
    <w:rsid w:val="00CA2A17"/>
    <w:rsid w:val="00CC5D88"/>
    <w:rsid w:val="00D36602"/>
    <w:rsid w:val="00E55E07"/>
    <w:rsid w:val="00FC7B27"/>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975EF2"/>
    <w:rPr>
      <w:color w:val="808080"/>
    </w:rPr>
  </w:style>
  <w:style w:type="paragraph" w:customStyle="1" w:styleId="7E0485547563415784F9B28103CD7463">
    <w:name w:val="7E0485547563415784F9B28103CD7463"/>
    <w:rsid w:val="00A24399"/>
  </w:style>
  <w:style w:type="paragraph" w:customStyle="1" w:styleId="E0A2A743B81A4B3C85C4D4F24EDEFC7E">
    <w:name w:val="E0A2A743B81A4B3C85C4D4F24EDEFC7E"/>
    <w:rsid w:val="007C7D84"/>
    <w:rPr>
      <w:lang w:val="en-US" w:eastAsia="zh-CN"/>
    </w:rPr>
  </w:style>
  <w:style w:type="paragraph" w:customStyle="1" w:styleId="FE14769CC2CDBC49AC73542093C86C46">
    <w:name w:val="FE14769CC2CDBC49AC73542093C86C46"/>
    <w:rsid w:val="00A11558"/>
    <w:pPr>
      <w:spacing w:after="0" w:line="240" w:lineRule="auto"/>
    </w:pPr>
    <w:rPr>
      <w:sz w:val="24"/>
      <w:szCs w:val="24"/>
      <w:lang w:eastAsia="en-US"/>
    </w:rPr>
  </w:style>
  <w:style w:type="paragraph" w:customStyle="1" w:styleId="B01F95364D1C454EBCC9911A57DF83C8">
    <w:name w:val="B01F95364D1C454EBCC9911A57DF83C8"/>
    <w:rsid w:val="00136AF3"/>
    <w:rPr>
      <w:lang w:val="ru-RU" w:eastAsia="ru-RU"/>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F62DC6-035F-44A2-AEE1-B50120D0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E8541097-FD53-4A15-BA3B-BED0EDC8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Template>
  <TotalTime>144</TotalTime>
  <Pages>13</Pages>
  <Words>4705</Words>
  <Characters>25879</Characters>
  <Application>Microsoft Office Word</Application>
  <DocSecurity>0</DocSecurity>
  <Lines>215</Lines>
  <Paragraphs>61</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CP-10/3.	План осуществления Картахенского протокола по биобезопасности</vt:lpstr>
      <vt:lpstr>ПЛАН ОСУЩЕСТВЛЕНИЯ КАРТАХЕНСКОГО ПРОТОКОЛА ПО БИОБЕЗОПАСНОСТИ</vt:lpstr>
      <vt:lpstr>План осуществления Картахенского протокола по биобезопасности</vt:lpstr>
    </vt:vector>
  </TitlesOfParts>
  <Company>SCBD</Company>
  <LinksUpToDate>false</LinksUpToDate>
  <CharactersWithSpaces>30523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CP-10/3.	План осуществления Картахенского протокола по биобезопасности</dc:title>
  <dc:subject>CBD/CP/MOP/DEC/10/3</dc:subject>
  <dc:creator>Veronique Lefebvre</dc:creator>
  <cp:keywords>Conference of the Parties to the Convention on Biological Diversity serving as the meeting of the Parties to the Cartagena Protocol on Biosafety, tenth meeting</cp:keywords>
  <cp:lastModifiedBy>Marina</cp:lastModifiedBy>
  <cp:revision>94</cp:revision>
  <cp:lastPrinted>2020-01-21T16:56:00Z</cp:lastPrinted>
  <dcterms:created xsi:type="dcterms:W3CDTF">2023-03-19T10:19:00Z</dcterms:created>
  <dcterms:modified xsi:type="dcterms:W3CDTF">2023-07-13T15:54:00Z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