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549"/>
      </w:tblGrid>
      <w:tr w:rsidR="00C9161D" w14:paraId="07F6750D" w14:textId="77777777" w:rsidTr="00916101">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796129">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549" w:type="dxa"/>
            <w:tcBorders>
              <w:bottom w:val="single" w:sz="12" w:space="0" w:color="auto"/>
            </w:tcBorders>
          </w:tcPr>
          <w:p w14:paraId="600A589D" w14:textId="77777777" w:rsidR="00C9161D" w:rsidRPr="00C9161D" w:rsidRDefault="00C9161D" w:rsidP="00916101">
            <w:pPr>
              <w:ind w:right="35"/>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916101">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549"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0861B9B9" w:rsidR="00C9161D" w:rsidRPr="00C9161D" w:rsidRDefault="003D58E7"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68DDF290" w:rsidR="00C9161D" w:rsidRPr="00B50D09" w:rsidRDefault="00941E83" w:rsidP="00176CEE">
            <w:pPr>
              <w:ind w:left="1215"/>
              <w:rPr>
                <w:szCs w:val="22"/>
              </w:rPr>
            </w:pPr>
            <w:sdt>
              <w:sdtPr>
                <w:rPr>
                  <w:lang w:val="en-US"/>
                </w:rPr>
                <w:alias w:val="Subject"/>
                <w:tag w:val=""/>
                <w:id w:val="-837220722"/>
                <w:placeholder>
                  <w:docPart w:val="6526B18CB112443C8F1138DC25C0E9F7"/>
                </w:placeholder>
                <w:dataBinding w:prefixMappings="xmlns:ns0='http://purl.org/dc/elements/1.1/' xmlns:ns1='http://schemas.openxmlformats.org/package/2006/metadata/core-properties' " w:xpath="/ns1:coreProperties[1]/ns0:subject[1]" w:storeItemID="{6C3C8BC8-F283-45AE-878A-BAB7291924A1}"/>
                <w:text/>
              </w:sdtPr>
              <w:sdtEndPr/>
              <w:sdtContent>
                <w:r w:rsidR="003D58E7" w:rsidRPr="00916101">
                  <w:rPr>
                    <w:lang w:val="en-US"/>
                  </w:rPr>
                  <w:t>CBD/CP/MOP/</w:t>
                </w:r>
                <w:r w:rsidR="003D58E7">
                  <w:rPr>
                    <w:lang w:val="en-US"/>
                  </w:rPr>
                  <w:t>DEC/</w:t>
                </w:r>
                <w:r w:rsidR="003D58E7" w:rsidRPr="00916101">
                  <w:rPr>
                    <w:lang w:val="en-US"/>
                  </w:rPr>
                  <w:t>10/</w:t>
                </w:r>
                <w:r w:rsidR="00C10EF8">
                  <w:rPr>
                    <w:lang w:val="en-US"/>
                  </w:rPr>
                  <w:t>3</w:t>
                </w:r>
              </w:sdtContent>
            </w:sdt>
            <w:r w:rsidR="0071136A">
              <w:rPr>
                <w:rStyle w:val="FootnoteReference"/>
                <w:lang w:val="en-US"/>
              </w:rPr>
              <w:footnoteReference w:customMarkFollows="1" w:id="2"/>
              <w:t>*</w:t>
            </w:r>
          </w:p>
          <w:p w14:paraId="0DF1F033" w14:textId="634BDE80" w:rsidR="00C9161D" w:rsidRPr="00C9161D" w:rsidRDefault="006C6350" w:rsidP="00176CEE">
            <w:pPr>
              <w:ind w:left="1215"/>
              <w:rPr>
                <w:szCs w:val="22"/>
              </w:rPr>
            </w:pPr>
            <w:r w:rsidRPr="00B50D09">
              <w:rPr>
                <w:szCs w:val="22"/>
                <w:lang w:val="en-US"/>
              </w:rPr>
              <w:t>1</w:t>
            </w:r>
            <w:r w:rsidR="003D58E7">
              <w:rPr>
                <w:szCs w:val="22"/>
                <w:lang w:val="en-US"/>
              </w:rPr>
              <w:t>9</w:t>
            </w:r>
            <w:r w:rsidRPr="00B50D09">
              <w:rPr>
                <w:szCs w:val="22"/>
                <w:lang w:val="en-US"/>
              </w:rPr>
              <w:t xml:space="preserve"> </w:t>
            </w:r>
            <w:r w:rsidR="0077674C" w:rsidRPr="00B50D09">
              <w:rPr>
                <w:szCs w:val="22"/>
                <w:lang w:val="en-US"/>
              </w:rPr>
              <w:t>December</w:t>
            </w:r>
            <w:r w:rsidR="00F6586C" w:rsidRPr="00B50D09">
              <w:rPr>
                <w:szCs w:val="22"/>
                <w:lang w:val="en-US"/>
              </w:rPr>
              <w:t xml:space="preserve"> 20</w:t>
            </w:r>
            <w:r w:rsidR="00FC25F8" w:rsidRPr="00B50D09">
              <w:rPr>
                <w:szCs w:val="22"/>
                <w:lang w:val="en-US"/>
              </w:rPr>
              <w:t>2</w:t>
            </w:r>
            <w:r w:rsidR="00B26ACD" w:rsidRPr="00B50D09">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51CFE6F1" w:rsidR="003B7BB2" w:rsidRPr="00910961" w:rsidRDefault="003B7BB2" w:rsidP="00E00FF6">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66AAB1DC"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6C6350">
        <w:rPr>
          <w:snapToGrid w:val="0"/>
          <w:kern w:val="22"/>
          <w:szCs w:val="22"/>
        </w:rPr>
        <w:t>7A</w:t>
      </w:r>
      <w:r w:rsidR="00134846" w:rsidRPr="004B44DE">
        <w:rPr>
          <w:snapToGrid w:val="0"/>
          <w:kern w:val="22"/>
          <w:szCs w:val="22"/>
        </w:rPr>
        <w:t xml:space="preserve"> </w:t>
      </w:r>
    </w:p>
    <w:p w14:paraId="2BA43C88" w14:textId="77777777" w:rsidR="005527EE" w:rsidRPr="00D34F81" w:rsidRDefault="005527EE" w:rsidP="005527EE">
      <w:pPr>
        <w:spacing w:before="120" w:after="240"/>
        <w:ind w:right="-288"/>
        <w:jc w:val="center"/>
        <w:rPr>
          <w:rFonts w:ascii="Times New Roman Bold" w:hAnsi="Times New Roman Bold"/>
          <w:b/>
          <w:caps/>
        </w:rPr>
      </w:pPr>
      <w:r w:rsidRPr="00162C1D">
        <w:rPr>
          <w:rFonts w:ascii="Times New Roman Bold" w:hAnsi="Times New Roman Bold"/>
          <w:b/>
          <w:caps/>
        </w:rPr>
        <w:t xml:space="preserve">Decision adopted by the Parties to </w:t>
      </w:r>
      <w:r w:rsidRPr="00D34F81">
        <w:rPr>
          <w:rFonts w:ascii="Times New Roman Bold" w:hAnsi="Times New Roman Bold"/>
          <w:b/>
          <w:caps/>
        </w:rPr>
        <w:t>the Cartagena Protocol on Biosafety</w:t>
      </w:r>
    </w:p>
    <w:p w14:paraId="57F6B7A1" w14:textId="30A55152" w:rsidR="00C9161D" w:rsidRPr="00D34F81" w:rsidRDefault="00941E83" w:rsidP="00E00FF6">
      <w:pPr>
        <w:spacing w:before="240" w:after="240"/>
        <w:jc w:val="center"/>
        <w:outlineLvl w:val="1"/>
        <w:rPr>
          <w:b/>
          <w:caps/>
        </w:rPr>
      </w:pPr>
      <w:sdt>
        <w:sdtPr>
          <w:rPr>
            <w:b/>
            <w:b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D2DC4" w:rsidRPr="00D34F81">
            <w:rPr>
              <w:b/>
              <w:bCs/>
            </w:rPr>
            <w:t>CP-10/</w:t>
          </w:r>
          <w:r w:rsidR="00C10EF8" w:rsidRPr="00D34F81">
            <w:rPr>
              <w:b/>
              <w:bCs/>
            </w:rPr>
            <w:t>3</w:t>
          </w:r>
          <w:r w:rsidR="00ED2DC4" w:rsidRPr="00D34F81">
            <w:rPr>
              <w:b/>
              <w:bCs/>
            </w:rPr>
            <w:t xml:space="preserve">. </w:t>
          </w:r>
          <w:r w:rsidR="00ED2DC4" w:rsidRPr="00D34F81">
            <w:rPr>
              <w:b/>
              <w:bCs/>
            </w:rPr>
            <w:tab/>
            <w:t>Implementation plan for the Cartagena Protocol on Biosafety</w:t>
          </w:r>
        </w:sdtContent>
      </w:sdt>
      <w:r w:rsidR="00105372" w:rsidRPr="00D34F81">
        <w:rPr>
          <w:b/>
          <w:caps/>
        </w:rPr>
        <w:t xml:space="preserve"> </w:t>
      </w:r>
    </w:p>
    <w:p w14:paraId="7DAB7BDF" w14:textId="31ACB131" w:rsidR="0077674C" w:rsidRPr="003A214E" w:rsidRDefault="0077674C" w:rsidP="0077674C">
      <w:pPr>
        <w:spacing w:before="120" w:after="120"/>
        <w:ind w:firstLine="720"/>
        <w:rPr>
          <w:i/>
          <w:iCs/>
          <w:kern w:val="22"/>
          <w:szCs w:val="22"/>
        </w:rPr>
      </w:pPr>
      <w:r w:rsidRPr="00D31D9E">
        <w:rPr>
          <w:i/>
          <w:iCs/>
          <w:kern w:val="22"/>
          <w:szCs w:val="22"/>
        </w:rPr>
        <w:t>The Conference of the Parties serving as the meeting of the Parties to the Cartagena Protocol on Biosafety</w:t>
      </w:r>
      <w:r w:rsidR="005427E5" w:rsidRPr="00D31D9E">
        <w:rPr>
          <w:i/>
          <w:iCs/>
          <w:kern w:val="22"/>
          <w:szCs w:val="22"/>
        </w:rPr>
        <w:t>,</w:t>
      </w:r>
    </w:p>
    <w:p w14:paraId="5643B77D" w14:textId="4FD394BD" w:rsidR="00F34D6D" w:rsidRPr="003A214E" w:rsidRDefault="00F34D6D" w:rsidP="00F34D6D">
      <w:pPr>
        <w:spacing w:before="120" w:after="120"/>
        <w:ind w:firstLine="720"/>
        <w:rPr>
          <w:rFonts w:asciiTheme="majorBidi" w:hAnsiTheme="majorBidi" w:cstheme="majorBidi"/>
        </w:rPr>
      </w:pPr>
      <w:r w:rsidRPr="003A214E">
        <w:rPr>
          <w:rFonts w:asciiTheme="majorBidi" w:hAnsiTheme="majorBidi" w:cstheme="majorBidi"/>
          <w:i/>
          <w:iCs/>
        </w:rPr>
        <w:t xml:space="preserve">Recognizing </w:t>
      </w:r>
      <w:r w:rsidRPr="003A214E">
        <w:rPr>
          <w:rFonts w:asciiTheme="majorBidi" w:hAnsiTheme="majorBidi" w:cstheme="majorBidi"/>
        </w:rPr>
        <w:t xml:space="preserve">the usefulness of the Strategic Plan for the Cartagena Protocol on Biosafety for the </w:t>
      </w:r>
      <w:r w:rsidR="004D2E04" w:rsidRPr="003A214E">
        <w:rPr>
          <w:rFonts w:asciiTheme="majorBidi" w:hAnsiTheme="majorBidi" w:cstheme="majorBidi"/>
        </w:rPr>
        <w:t>p</w:t>
      </w:r>
      <w:r w:rsidRPr="003A214E">
        <w:rPr>
          <w:rFonts w:asciiTheme="majorBidi" w:hAnsiTheme="majorBidi" w:cstheme="majorBidi"/>
        </w:rPr>
        <w:t>eriod 2011</w:t>
      </w:r>
      <w:r w:rsidR="00EB61B3">
        <w:rPr>
          <w:rFonts w:asciiTheme="majorBidi" w:hAnsiTheme="majorBidi" w:cstheme="majorBidi"/>
        </w:rPr>
        <w:t>–</w:t>
      </w:r>
      <w:r w:rsidRPr="003A214E">
        <w:rPr>
          <w:rFonts w:asciiTheme="majorBidi" w:hAnsiTheme="majorBidi" w:cstheme="majorBidi"/>
        </w:rPr>
        <w:t>2020</w:t>
      </w:r>
      <w:r w:rsidRPr="007D7943">
        <w:rPr>
          <w:rFonts w:asciiTheme="majorBidi" w:hAnsiTheme="majorBidi" w:cstheme="majorBidi"/>
          <w:szCs w:val="32"/>
          <w:vertAlign w:val="superscript"/>
        </w:rPr>
        <w:footnoteReference w:id="3"/>
      </w:r>
      <w:r w:rsidRPr="003A214E">
        <w:rPr>
          <w:rFonts w:asciiTheme="majorBidi" w:hAnsiTheme="majorBidi" w:cstheme="majorBidi"/>
        </w:rPr>
        <w:t xml:space="preserve"> to support national implementation,</w:t>
      </w:r>
    </w:p>
    <w:p w14:paraId="7EE32CA5" w14:textId="0E8E5A03" w:rsidR="00F34D6D" w:rsidRPr="00284B0A" w:rsidRDefault="00F34D6D" w:rsidP="00F34D6D">
      <w:pPr>
        <w:spacing w:before="120" w:after="120"/>
        <w:ind w:firstLine="720"/>
        <w:rPr>
          <w:rFonts w:asciiTheme="majorBidi" w:hAnsiTheme="majorBidi" w:cstheme="majorBidi"/>
        </w:rPr>
      </w:pPr>
      <w:r w:rsidRPr="00E123FC">
        <w:rPr>
          <w:rFonts w:asciiTheme="majorBidi" w:hAnsiTheme="majorBidi" w:cstheme="majorBidi"/>
          <w:i/>
          <w:iCs/>
        </w:rPr>
        <w:t xml:space="preserve">Recalling </w:t>
      </w:r>
      <w:r w:rsidRPr="00E123FC">
        <w:rPr>
          <w:rFonts w:asciiTheme="majorBidi" w:hAnsiTheme="majorBidi" w:cstheme="majorBidi"/>
        </w:rPr>
        <w:t xml:space="preserve">decision CP-9/7, in </w:t>
      </w:r>
      <w:r w:rsidRPr="00284B0A">
        <w:rPr>
          <w:rFonts w:asciiTheme="majorBidi" w:hAnsiTheme="majorBidi" w:cstheme="majorBidi"/>
        </w:rPr>
        <w:t xml:space="preserve">which it decided to develop an implementation plan for the Cartagena Protocol </w:t>
      </w:r>
      <w:r w:rsidR="00092430" w:rsidRPr="00284B0A">
        <w:rPr>
          <w:rFonts w:asciiTheme="majorBidi" w:hAnsiTheme="majorBidi" w:cstheme="majorBidi"/>
        </w:rPr>
        <w:t xml:space="preserve">on Biosafety </w:t>
      </w:r>
      <w:r w:rsidRPr="00284B0A">
        <w:rPr>
          <w:rFonts w:asciiTheme="majorBidi" w:hAnsiTheme="majorBidi" w:cstheme="majorBidi"/>
        </w:rPr>
        <w:t>that is anchored in and complementary to the post-2020 global biodiversity framework,</w:t>
      </w:r>
    </w:p>
    <w:p w14:paraId="6C34A7E8" w14:textId="596704FD" w:rsidR="00F34D6D" w:rsidRPr="00E123FC" w:rsidRDefault="00DD01AF" w:rsidP="00F34D6D">
      <w:pPr>
        <w:spacing w:before="120" w:after="120"/>
        <w:ind w:firstLine="720"/>
        <w:rPr>
          <w:rFonts w:asciiTheme="majorBidi" w:hAnsiTheme="majorBidi" w:cstheme="majorBidi"/>
        </w:rPr>
      </w:pPr>
      <w:proofErr w:type="gramStart"/>
      <w:r>
        <w:rPr>
          <w:rFonts w:asciiTheme="majorBidi" w:hAnsiTheme="majorBidi" w:cstheme="majorBidi"/>
          <w:i/>
          <w:iCs/>
        </w:rPr>
        <w:t>R</w:t>
      </w:r>
      <w:r w:rsidR="00F34D6D" w:rsidRPr="00284B0A">
        <w:rPr>
          <w:rFonts w:asciiTheme="majorBidi" w:hAnsiTheme="majorBidi" w:cstheme="majorBidi"/>
          <w:i/>
          <w:iCs/>
        </w:rPr>
        <w:t>ecalling</w:t>
      </w:r>
      <w:r>
        <w:rPr>
          <w:rFonts w:asciiTheme="majorBidi" w:hAnsiTheme="majorBidi" w:cstheme="majorBidi"/>
          <w:i/>
          <w:iCs/>
        </w:rPr>
        <w:t xml:space="preserve"> also</w:t>
      </w:r>
      <w:proofErr w:type="gramEnd"/>
      <w:r w:rsidR="00F34D6D" w:rsidRPr="00284B0A">
        <w:rPr>
          <w:rFonts w:asciiTheme="majorBidi" w:hAnsiTheme="majorBidi" w:cstheme="majorBidi"/>
        </w:rPr>
        <w:t xml:space="preserve"> decision CP-9/3, in which it acknowledged the need for a specific action plan for capacity-building for implementation of the Cartagena Protocol and its Supplementary Protocol that is aligned with the implementation plan </w:t>
      </w:r>
      <w:r w:rsidR="00D67682" w:rsidRPr="00284B0A">
        <w:rPr>
          <w:rFonts w:asciiTheme="majorBidi" w:hAnsiTheme="majorBidi" w:cstheme="majorBidi"/>
        </w:rPr>
        <w:t xml:space="preserve">for the Cartagena Protocol on Biosafety </w:t>
      </w:r>
      <w:r w:rsidR="00F34D6D" w:rsidRPr="00284B0A">
        <w:rPr>
          <w:rFonts w:asciiTheme="majorBidi" w:hAnsiTheme="majorBidi" w:cstheme="majorBidi"/>
        </w:rPr>
        <w:t>and complementary to the long-term strategic framework for capacity</w:t>
      </w:r>
      <w:r w:rsidR="00D30B76" w:rsidRPr="00284B0A">
        <w:rPr>
          <w:rFonts w:asciiTheme="majorBidi" w:hAnsiTheme="majorBidi" w:cstheme="majorBidi"/>
        </w:rPr>
        <w:t>-building beyond 2020</w:t>
      </w:r>
      <w:r w:rsidR="00F34D6D" w:rsidRPr="00284B0A">
        <w:rPr>
          <w:rFonts w:asciiTheme="majorBidi" w:hAnsiTheme="majorBidi" w:cstheme="majorBidi"/>
        </w:rPr>
        <w:t>,</w:t>
      </w:r>
    </w:p>
    <w:p w14:paraId="3B1A53C3" w14:textId="0A645F5A" w:rsidR="00F34D6D" w:rsidRPr="0072615E" w:rsidRDefault="00F34D6D" w:rsidP="00F34D6D">
      <w:pPr>
        <w:spacing w:before="120" w:after="120"/>
        <w:ind w:firstLine="720"/>
        <w:rPr>
          <w:rFonts w:asciiTheme="majorBidi" w:hAnsiTheme="majorBidi" w:cstheme="majorBidi"/>
        </w:rPr>
      </w:pPr>
      <w:r w:rsidRPr="00E123FC">
        <w:rPr>
          <w:rFonts w:asciiTheme="majorBidi" w:hAnsiTheme="majorBidi" w:cstheme="majorBidi"/>
          <w:i/>
        </w:rPr>
        <w:t xml:space="preserve">Welcoming </w:t>
      </w:r>
      <w:r w:rsidRPr="00E123FC">
        <w:rPr>
          <w:rFonts w:asciiTheme="majorBidi" w:hAnsiTheme="majorBidi" w:cstheme="majorBidi"/>
        </w:rPr>
        <w:t>the contribution to the development of the implementation plan by the Liaison Group on the Cartagena Protocol</w:t>
      </w:r>
      <w:r w:rsidR="00F71C35" w:rsidRPr="00E123FC">
        <w:rPr>
          <w:rFonts w:asciiTheme="majorBidi" w:hAnsiTheme="majorBidi" w:cstheme="majorBidi"/>
        </w:rPr>
        <w:t xml:space="preserve"> on Biosafety</w:t>
      </w:r>
      <w:r w:rsidRPr="00E123FC">
        <w:rPr>
          <w:rFonts w:asciiTheme="majorBidi" w:hAnsiTheme="majorBidi" w:cstheme="majorBidi"/>
        </w:rPr>
        <w:t>, and the review by the Subsidiary Body on Implementation at its third meeting,</w:t>
      </w:r>
    </w:p>
    <w:p w14:paraId="7C0C29A4" w14:textId="7C961FCB" w:rsidR="00F34D6D" w:rsidRPr="0072615E" w:rsidRDefault="00F34D6D" w:rsidP="00F34D6D">
      <w:pPr>
        <w:spacing w:before="120" w:after="120"/>
        <w:ind w:firstLine="720"/>
        <w:rPr>
          <w:rFonts w:asciiTheme="majorBidi" w:hAnsiTheme="majorBidi" w:cstheme="majorBidi"/>
        </w:rPr>
      </w:pPr>
      <w:r w:rsidRPr="0072615E">
        <w:rPr>
          <w:rFonts w:asciiTheme="majorBidi" w:hAnsiTheme="majorBidi" w:cstheme="majorBidi"/>
          <w:i/>
        </w:rPr>
        <w:t>A</w:t>
      </w:r>
      <w:r w:rsidRPr="00390129">
        <w:rPr>
          <w:rFonts w:asciiTheme="majorBidi" w:hAnsiTheme="majorBidi" w:cstheme="majorBidi"/>
          <w:i/>
        </w:rPr>
        <w:t>cknowledging</w:t>
      </w:r>
      <w:r w:rsidRPr="00390129">
        <w:rPr>
          <w:rFonts w:asciiTheme="majorBidi" w:hAnsiTheme="majorBidi" w:cstheme="majorBidi"/>
        </w:rPr>
        <w:t xml:space="preserve"> the relevance of the </w:t>
      </w:r>
      <w:r w:rsidR="001E5919" w:rsidRPr="00510643">
        <w:rPr>
          <w:rFonts w:asciiTheme="majorBidi" w:hAnsiTheme="majorBidi" w:cstheme="majorBidi"/>
        </w:rPr>
        <w:t xml:space="preserve">Cartagena </w:t>
      </w:r>
      <w:r w:rsidRPr="00510643">
        <w:rPr>
          <w:rFonts w:asciiTheme="majorBidi" w:hAnsiTheme="majorBidi" w:cstheme="majorBidi"/>
        </w:rPr>
        <w:t>Protocol</w:t>
      </w:r>
      <w:r w:rsidR="001E5919" w:rsidRPr="00510643">
        <w:rPr>
          <w:rFonts w:asciiTheme="majorBidi" w:hAnsiTheme="majorBidi" w:cstheme="majorBidi"/>
        </w:rPr>
        <w:t xml:space="preserve"> on </w:t>
      </w:r>
      <w:r w:rsidR="001E5919" w:rsidRPr="006F2BDC">
        <w:rPr>
          <w:rFonts w:asciiTheme="majorBidi" w:hAnsiTheme="majorBidi" w:cstheme="majorBidi"/>
        </w:rPr>
        <w:t>Biosafety</w:t>
      </w:r>
      <w:r w:rsidRPr="006F2BDC">
        <w:rPr>
          <w:rFonts w:asciiTheme="majorBidi" w:hAnsiTheme="majorBidi" w:cstheme="majorBidi"/>
        </w:rPr>
        <w:t xml:space="preserve">, </w:t>
      </w:r>
      <w:r w:rsidR="00390129" w:rsidRPr="006F2BDC">
        <w:rPr>
          <w:rFonts w:asciiTheme="majorBidi" w:hAnsiTheme="majorBidi" w:cstheme="majorBidi"/>
        </w:rPr>
        <w:t xml:space="preserve">and of </w:t>
      </w:r>
      <w:r w:rsidR="009A66B6" w:rsidRPr="006F2BDC">
        <w:rPr>
          <w:rFonts w:asciiTheme="majorBidi" w:hAnsiTheme="majorBidi" w:cstheme="majorBidi"/>
        </w:rPr>
        <w:t xml:space="preserve">the </w:t>
      </w:r>
      <w:r w:rsidR="005F0BBD" w:rsidRPr="00E00FF6">
        <w:rPr>
          <w:rFonts w:asciiTheme="majorBidi" w:hAnsiTheme="majorBidi" w:cstheme="majorBidi"/>
        </w:rPr>
        <w:t>I</w:t>
      </w:r>
      <w:r w:rsidRPr="006F2BDC">
        <w:rPr>
          <w:rFonts w:asciiTheme="majorBidi" w:hAnsiTheme="majorBidi" w:cstheme="majorBidi"/>
        </w:rPr>
        <w:t xml:space="preserve">mplementation </w:t>
      </w:r>
      <w:r w:rsidR="005F0BBD" w:rsidRPr="00E00FF6">
        <w:rPr>
          <w:rFonts w:asciiTheme="majorBidi" w:hAnsiTheme="majorBidi" w:cstheme="majorBidi"/>
        </w:rPr>
        <w:t>P</w:t>
      </w:r>
      <w:r w:rsidRPr="006F2BDC">
        <w:rPr>
          <w:rFonts w:asciiTheme="majorBidi" w:hAnsiTheme="majorBidi" w:cstheme="majorBidi"/>
        </w:rPr>
        <w:t xml:space="preserve">lan </w:t>
      </w:r>
      <w:r w:rsidR="00B05419" w:rsidRPr="006F2BDC">
        <w:rPr>
          <w:rFonts w:asciiTheme="majorBidi" w:hAnsiTheme="majorBidi" w:cstheme="majorBidi"/>
        </w:rPr>
        <w:t xml:space="preserve">for the Cartagena Protocol on Biosafety </w:t>
      </w:r>
      <w:r w:rsidRPr="006F2BDC">
        <w:rPr>
          <w:rFonts w:asciiTheme="majorBidi" w:hAnsiTheme="majorBidi" w:cstheme="majorBidi"/>
        </w:rPr>
        <w:t xml:space="preserve">and the </w:t>
      </w:r>
      <w:r w:rsidR="005F0BBD" w:rsidRPr="00E00FF6">
        <w:rPr>
          <w:rFonts w:asciiTheme="majorBidi" w:hAnsiTheme="majorBidi" w:cstheme="majorBidi"/>
        </w:rPr>
        <w:t>C</w:t>
      </w:r>
      <w:r w:rsidRPr="006F2BDC">
        <w:rPr>
          <w:rFonts w:asciiTheme="majorBidi" w:hAnsiTheme="majorBidi" w:cstheme="majorBidi"/>
        </w:rPr>
        <w:t xml:space="preserve">apacity-building </w:t>
      </w:r>
      <w:r w:rsidR="005F0BBD" w:rsidRPr="00E00FF6">
        <w:rPr>
          <w:rFonts w:asciiTheme="majorBidi" w:hAnsiTheme="majorBidi" w:cstheme="majorBidi"/>
        </w:rPr>
        <w:t>A</w:t>
      </w:r>
      <w:r w:rsidRPr="006F2BDC">
        <w:rPr>
          <w:rFonts w:asciiTheme="majorBidi" w:hAnsiTheme="majorBidi" w:cstheme="majorBidi"/>
        </w:rPr>
        <w:t xml:space="preserve">ction </w:t>
      </w:r>
      <w:r w:rsidR="005F0BBD" w:rsidRPr="00E00FF6">
        <w:rPr>
          <w:rFonts w:asciiTheme="majorBidi" w:hAnsiTheme="majorBidi" w:cstheme="majorBidi"/>
        </w:rPr>
        <w:t>P</w:t>
      </w:r>
      <w:r w:rsidRPr="006F2BDC">
        <w:rPr>
          <w:rFonts w:asciiTheme="majorBidi" w:hAnsiTheme="majorBidi" w:cstheme="majorBidi"/>
        </w:rPr>
        <w:t xml:space="preserve">lan </w:t>
      </w:r>
      <w:r w:rsidR="00B05419" w:rsidRPr="006F2BDC">
        <w:rPr>
          <w:rFonts w:asciiTheme="majorBidi" w:hAnsiTheme="majorBidi" w:cstheme="majorBidi"/>
        </w:rPr>
        <w:t>for the Cartagena Protocol on Biosafety</w:t>
      </w:r>
      <w:r w:rsidR="00390129" w:rsidRPr="006F2BDC">
        <w:rPr>
          <w:rFonts w:asciiTheme="majorBidi" w:hAnsiTheme="majorBidi" w:cstheme="majorBidi"/>
        </w:rPr>
        <w:t>,</w:t>
      </w:r>
      <w:r w:rsidR="007049D5" w:rsidRPr="00E00FF6">
        <w:rPr>
          <w:rStyle w:val="FootnoteReference"/>
          <w:rFonts w:asciiTheme="majorBidi" w:hAnsiTheme="majorBidi" w:cstheme="majorBidi"/>
        </w:rPr>
        <w:footnoteReference w:id="4"/>
      </w:r>
      <w:r w:rsidR="007049D5" w:rsidRPr="006F2BDC">
        <w:rPr>
          <w:rFonts w:asciiTheme="majorBidi" w:hAnsiTheme="majorBidi" w:cstheme="majorBidi"/>
        </w:rPr>
        <w:t xml:space="preserve"> </w:t>
      </w:r>
      <w:r w:rsidR="00B05419" w:rsidRPr="006F2BDC">
        <w:rPr>
          <w:rFonts w:asciiTheme="majorBidi" w:hAnsiTheme="majorBidi" w:cstheme="majorBidi"/>
        </w:rPr>
        <w:t xml:space="preserve"> </w:t>
      </w:r>
      <w:r w:rsidRPr="006F2BDC">
        <w:rPr>
          <w:rFonts w:asciiTheme="majorBidi" w:hAnsiTheme="majorBidi" w:cstheme="majorBidi"/>
        </w:rPr>
        <w:t>as interlinked but separate plans</w:t>
      </w:r>
      <w:r w:rsidR="00390129" w:rsidRPr="006F2BDC">
        <w:rPr>
          <w:rFonts w:asciiTheme="majorBidi" w:hAnsiTheme="majorBidi" w:cstheme="majorBidi"/>
        </w:rPr>
        <w:t>,</w:t>
      </w:r>
      <w:r w:rsidRPr="006F2BDC">
        <w:rPr>
          <w:rFonts w:asciiTheme="majorBidi" w:hAnsiTheme="majorBidi" w:cstheme="majorBidi"/>
        </w:rPr>
        <w:t xml:space="preserve"> to the achievement of the objectives of the Convention on Biological Diversity,</w:t>
      </w:r>
    </w:p>
    <w:p w14:paraId="79A6758E" w14:textId="77777777" w:rsidR="00F34D6D" w:rsidRPr="00AE7E5E" w:rsidRDefault="00F34D6D" w:rsidP="00F34D6D">
      <w:pPr>
        <w:spacing w:before="120" w:after="120"/>
        <w:ind w:firstLine="720"/>
        <w:rPr>
          <w:rFonts w:asciiTheme="majorBidi" w:hAnsiTheme="majorBidi" w:cstheme="majorBidi"/>
          <w:spacing w:val="-2"/>
        </w:rPr>
      </w:pPr>
      <w:r w:rsidRPr="0072615E">
        <w:rPr>
          <w:rFonts w:asciiTheme="majorBidi" w:hAnsiTheme="majorBidi" w:cstheme="majorBidi"/>
          <w:i/>
          <w:spacing w:val="-2"/>
        </w:rPr>
        <w:t xml:space="preserve">Recognizing </w:t>
      </w:r>
      <w:r w:rsidRPr="0072615E">
        <w:rPr>
          <w:rFonts w:asciiTheme="majorBidi" w:hAnsiTheme="majorBidi" w:cstheme="majorBidi"/>
          <w:spacing w:val="-2"/>
        </w:rPr>
        <w:t xml:space="preserve">the need to </w:t>
      </w:r>
      <w:r w:rsidRPr="00AE7E5E">
        <w:rPr>
          <w:rFonts w:asciiTheme="majorBidi" w:hAnsiTheme="majorBidi" w:cstheme="majorBidi"/>
          <w:spacing w:val="-2"/>
        </w:rPr>
        <w:t xml:space="preserve">periodically set priorities to plan for and programme work to be undertaken within the </w:t>
      </w:r>
      <w:proofErr w:type="gramStart"/>
      <w:r w:rsidRPr="00AE7E5E">
        <w:rPr>
          <w:rFonts w:asciiTheme="majorBidi" w:hAnsiTheme="majorBidi" w:cstheme="majorBidi"/>
          <w:spacing w:val="-2"/>
        </w:rPr>
        <w:t>time period</w:t>
      </w:r>
      <w:proofErr w:type="gramEnd"/>
      <w:r w:rsidRPr="00AE7E5E">
        <w:rPr>
          <w:rFonts w:asciiTheme="majorBidi" w:hAnsiTheme="majorBidi" w:cstheme="majorBidi"/>
          <w:spacing w:val="-2"/>
        </w:rPr>
        <w:t xml:space="preserve"> of the implementation plan,</w:t>
      </w:r>
    </w:p>
    <w:p w14:paraId="01F8C7E5" w14:textId="31CEEC63" w:rsidR="00F34D6D" w:rsidRPr="003241D1" w:rsidRDefault="00AE7E5E" w:rsidP="00F34D6D">
      <w:pPr>
        <w:spacing w:before="120" w:after="120"/>
        <w:ind w:firstLine="720"/>
        <w:rPr>
          <w:rFonts w:asciiTheme="majorBidi" w:hAnsiTheme="majorBidi" w:cstheme="majorBidi"/>
          <w:spacing w:val="-2"/>
        </w:rPr>
      </w:pPr>
      <w:r w:rsidRPr="007D7943">
        <w:rPr>
          <w:rFonts w:asciiTheme="majorBidi" w:hAnsiTheme="majorBidi" w:cstheme="majorBidi"/>
          <w:i/>
          <w:iCs/>
          <w:spacing w:val="-2"/>
        </w:rPr>
        <w:t xml:space="preserve">Noting </w:t>
      </w:r>
      <w:r w:rsidR="00F34D6D" w:rsidRPr="00E123FC">
        <w:rPr>
          <w:rFonts w:asciiTheme="majorBidi" w:hAnsiTheme="majorBidi" w:cstheme="majorBidi"/>
          <w:spacing w:val="-2"/>
        </w:rPr>
        <w:t>decision CP-10/</w:t>
      </w:r>
      <w:r w:rsidR="00610245" w:rsidRPr="00E123FC">
        <w:rPr>
          <w:rFonts w:asciiTheme="majorBidi" w:hAnsiTheme="majorBidi" w:cstheme="majorBidi"/>
          <w:spacing w:val="-2"/>
        </w:rPr>
        <w:t>6</w:t>
      </w:r>
      <w:r w:rsidR="00F34D6D" w:rsidRPr="00E123FC">
        <w:rPr>
          <w:rFonts w:asciiTheme="majorBidi" w:hAnsiTheme="majorBidi" w:cstheme="majorBidi"/>
          <w:spacing w:val="-2"/>
        </w:rPr>
        <w:t xml:space="preserve"> on </w:t>
      </w:r>
      <w:r w:rsidR="00BC6A80" w:rsidRPr="00E123FC">
        <w:rPr>
          <w:rFonts w:asciiTheme="majorBidi" w:hAnsiTheme="majorBidi" w:cstheme="majorBidi"/>
          <w:spacing w:val="-2"/>
        </w:rPr>
        <w:t xml:space="preserve">matters related to the </w:t>
      </w:r>
      <w:r w:rsidR="00F34D6D" w:rsidRPr="00E123FC">
        <w:rPr>
          <w:rFonts w:asciiTheme="majorBidi" w:hAnsiTheme="majorBidi" w:cstheme="majorBidi"/>
          <w:spacing w:val="-2"/>
        </w:rPr>
        <w:t xml:space="preserve">financial </w:t>
      </w:r>
      <w:r w:rsidR="00F34D6D" w:rsidRPr="003241D1">
        <w:rPr>
          <w:rFonts w:asciiTheme="majorBidi" w:hAnsiTheme="majorBidi" w:cstheme="majorBidi"/>
          <w:spacing w:val="-2"/>
        </w:rPr>
        <w:t>mechanism and resources,</w:t>
      </w:r>
    </w:p>
    <w:p w14:paraId="592CBB09" w14:textId="6A4F595F" w:rsidR="00FE29CC" w:rsidRPr="0072615E" w:rsidRDefault="001C1A3B" w:rsidP="00FE29CC">
      <w:pPr>
        <w:spacing w:before="120" w:after="120"/>
        <w:ind w:firstLine="720"/>
        <w:rPr>
          <w:rFonts w:asciiTheme="majorBidi" w:hAnsiTheme="majorBidi" w:cstheme="majorBidi"/>
        </w:rPr>
      </w:pPr>
      <w:r w:rsidRPr="003241D1">
        <w:rPr>
          <w:snapToGrid w:val="0"/>
          <w:kern w:val="22"/>
          <w:szCs w:val="18"/>
        </w:rPr>
        <w:t>1</w:t>
      </w:r>
      <w:r w:rsidR="0077674C" w:rsidRPr="003241D1">
        <w:rPr>
          <w:snapToGrid w:val="0"/>
          <w:kern w:val="22"/>
          <w:szCs w:val="18"/>
        </w:rPr>
        <w:t>.</w:t>
      </w:r>
      <w:r w:rsidR="0077674C" w:rsidRPr="003241D1">
        <w:rPr>
          <w:snapToGrid w:val="0"/>
          <w:kern w:val="22"/>
          <w:szCs w:val="18"/>
        </w:rPr>
        <w:tab/>
      </w:r>
      <w:r w:rsidR="00FE29CC" w:rsidRPr="003241D1">
        <w:rPr>
          <w:rFonts w:asciiTheme="majorBidi" w:hAnsiTheme="majorBidi" w:cstheme="majorBidi"/>
          <w:i/>
          <w:iCs/>
        </w:rPr>
        <w:t>Adopts</w:t>
      </w:r>
      <w:r w:rsidR="00FE29CC" w:rsidRPr="003241D1">
        <w:rPr>
          <w:rFonts w:asciiTheme="majorBidi" w:hAnsiTheme="majorBidi" w:cstheme="majorBidi"/>
        </w:rPr>
        <w:t xml:space="preserve"> the </w:t>
      </w:r>
      <w:r w:rsidR="00917375" w:rsidRPr="003241D1">
        <w:rPr>
          <w:rFonts w:asciiTheme="majorBidi" w:hAnsiTheme="majorBidi" w:cstheme="majorBidi"/>
        </w:rPr>
        <w:t>Implementation Plan for the Cartagena Protocol on Biosafety</w:t>
      </w:r>
      <w:r w:rsidR="00FE29CC" w:rsidRPr="003241D1">
        <w:rPr>
          <w:rFonts w:asciiTheme="majorBidi" w:hAnsiTheme="majorBidi" w:cstheme="majorBidi"/>
        </w:rPr>
        <w:t xml:space="preserve"> as contained in the annex to the present </w:t>
      </w:r>
      <w:proofErr w:type="gramStart"/>
      <w:r w:rsidR="00FE29CC" w:rsidRPr="003241D1">
        <w:rPr>
          <w:rFonts w:asciiTheme="majorBidi" w:hAnsiTheme="majorBidi" w:cstheme="majorBidi"/>
        </w:rPr>
        <w:t>decision;</w:t>
      </w:r>
      <w:proofErr w:type="gramEnd"/>
    </w:p>
    <w:p w14:paraId="24102269" w14:textId="4F9CFC87" w:rsidR="00FE29CC" w:rsidRPr="0072615E" w:rsidRDefault="00FE29CC" w:rsidP="00FE29CC">
      <w:pPr>
        <w:spacing w:before="120" w:after="120"/>
        <w:ind w:firstLine="720"/>
        <w:rPr>
          <w:rFonts w:asciiTheme="majorBidi" w:hAnsiTheme="majorBidi" w:cstheme="majorBidi"/>
        </w:rPr>
      </w:pPr>
      <w:r w:rsidRPr="0072615E">
        <w:rPr>
          <w:rFonts w:asciiTheme="majorBidi" w:hAnsiTheme="majorBidi" w:cstheme="majorBidi"/>
        </w:rPr>
        <w:t>2.</w:t>
      </w:r>
      <w:r w:rsidRPr="0072615E">
        <w:rPr>
          <w:rFonts w:asciiTheme="majorBidi" w:hAnsiTheme="majorBidi" w:cstheme="majorBidi"/>
        </w:rPr>
        <w:tab/>
      </w:r>
      <w:r w:rsidRPr="0072615E">
        <w:rPr>
          <w:rFonts w:asciiTheme="majorBidi" w:hAnsiTheme="majorBidi" w:cstheme="majorBidi"/>
          <w:i/>
        </w:rPr>
        <w:t>Welcomes</w:t>
      </w:r>
      <w:r w:rsidRPr="0072615E">
        <w:rPr>
          <w:rFonts w:asciiTheme="majorBidi" w:hAnsiTheme="majorBidi" w:cstheme="majorBidi"/>
        </w:rPr>
        <w:t xml:space="preserve"> </w:t>
      </w:r>
      <w:r w:rsidRPr="00207897">
        <w:rPr>
          <w:rFonts w:asciiTheme="majorBidi" w:hAnsiTheme="majorBidi" w:cstheme="majorBidi"/>
        </w:rPr>
        <w:t xml:space="preserve">the </w:t>
      </w:r>
      <w:r w:rsidR="000E465A" w:rsidRPr="00207897">
        <w:rPr>
          <w:rFonts w:asciiTheme="majorBidi" w:hAnsiTheme="majorBidi" w:cstheme="majorBidi"/>
        </w:rPr>
        <w:t>Kunming-Montreal</w:t>
      </w:r>
      <w:r w:rsidRPr="00207897">
        <w:rPr>
          <w:rFonts w:asciiTheme="majorBidi" w:hAnsiTheme="majorBidi" w:cstheme="majorBidi"/>
        </w:rPr>
        <w:t xml:space="preserve"> </w:t>
      </w:r>
      <w:r w:rsidR="000E465A" w:rsidRPr="00207897">
        <w:rPr>
          <w:rFonts w:asciiTheme="majorBidi" w:hAnsiTheme="majorBidi" w:cstheme="majorBidi"/>
        </w:rPr>
        <w:t>G</w:t>
      </w:r>
      <w:r w:rsidRPr="00207897">
        <w:rPr>
          <w:rFonts w:asciiTheme="majorBidi" w:hAnsiTheme="majorBidi" w:cstheme="majorBidi"/>
        </w:rPr>
        <w:t xml:space="preserve">lobal </w:t>
      </w:r>
      <w:r w:rsidR="000E465A" w:rsidRPr="00207897">
        <w:rPr>
          <w:rFonts w:asciiTheme="majorBidi" w:hAnsiTheme="majorBidi" w:cstheme="majorBidi"/>
        </w:rPr>
        <w:t>B</w:t>
      </w:r>
      <w:r w:rsidRPr="00207897">
        <w:rPr>
          <w:rFonts w:asciiTheme="majorBidi" w:hAnsiTheme="majorBidi" w:cstheme="majorBidi"/>
        </w:rPr>
        <w:t xml:space="preserve">iodiversity </w:t>
      </w:r>
      <w:r w:rsidR="000E465A" w:rsidRPr="00207897">
        <w:rPr>
          <w:rFonts w:asciiTheme="majorBidi" w:hAnsiTheme="majorBidi" w:cstheme="majorBidi"/>
        </w:rPr>
        <w:t>F</w:t>
      </w:r>
      <w:r w:rsidRPr="00207897">
        <w:rPr>
          <w:rFonts w:asciiTheme="majorBidi" w:hAnsiTheme="majorBidi" w:cstheme="majorBidi"/>
        </w:rPr>
        <w:t>ramework adopt</w:t>
      </w:r>
      <w:r w:rsidRPr="000E465A">
        <w:rPr>
          <w:rFonts w:asciiTheme="majorBidi" w:hAnsiTheme="majorBidi" w:cstheme="majorBidi"/>
        </w:rPr>
        <w:t>ed in decision</w:t>
      </w:r>
      <w:r w:rsidR="00F93498">
        <w:rPr>
          <w:rFonts w:asciiTheme="majorBidi" w:hAnsiTheme="majorBidi" w:cstheme="majorBidi"/>
        </w:rPr>
        <w:t> </w:t>
      </w:r>
      <w:proofErr w:type="gramStart"/>
      <w:r w:rsidRPr="000E465A">
        <w:rPr>
          <w:rFonts w:asciiTheme="majorBidi" w:hAnsiTheme="majorBidi" w:cstheme="majorBidi"/>
        </w:rPr>
        <w:t>15/</w:t>
      </w:r>
      <w:r w:rsidR="00136356" w:rsidRPr="000E465A">
        <w:rPr>
          <w:rFonts w:asciiTheme="majorBidi" w:hAnsiTheme="majorBidi" w:cstheme="majorBidi"/>
        </w:rPr>
        <w:t>4</w:t>
      </w:r>
      <w:r w:rsidRPr="000E465A">
        <w:rPr>
          <w:rFonts w:asciiTheme="majorBidi" w:hAnsiTheme="majorBidi" w:cstheme="majorBidi"/>
        </w:rPr>
        <w:t>;</w:t>
      </w:r>
      <w:proofErr w:type="gramEnd"/>
    </w:p>
    <w:p w14:paraId="1A04DD54" w14:textId="5C80F3CA" w:rsidR="00FE29CC" w:rsidRPr="00175885" w:rsidRDefault="00FE29CC" w:rsidP="00FE29CC">
      <w:pPr>
        <w:spacing w:before="120" w:after="120"/>
        <w:ind w:firstLine="720"/>
        <w:rPr>
          <w:rFonts w:asciiTheme="majorBidi" w:hAnsiTheme="majorBidi" w:cstheme="majorBidi"/>
          <w:i/>
        </w:rPr>
      </w:pPr>
      <w:r w:rsidRPr="00175885">
        <w:rPr>
          <w:rFonts w:asciiTheme="majorBidi" w:hAnsiTheme="majorBidi" w:cstheme="majorBidi"/>
        </w:rPr>
        <w:t>3.</w:t>
      </w:r>
      <w:r w:rsidRPr="00175885">
        <w:rPr>
          <w:rFonts w:asciiTheme="majorBidi" w:hAnsiTheme="majorBidi" w:cstheme="majorBidi"/>
        </w:rPr>
        <w:tab/>
      </w:r>
      <w:r w:rsidRPr="00175885">
        <w:rPr>
          <w:rFonts w:asciiTheme="majorBidi" w:hAnsiTheme="majorBidi" w:cstheme="majorBidi"/>
          <w:i/>
        </w:rPr>
        <w:t>Recognizes</w:t>
      </w:r>
      <w:r w:rsidRPr="00175885">
        <w:rPr>
          <w:rFonts w:asciiTheme="majorBidi" w:hAnsiTheme="majorBidi" w:cstheme="majorBidi"/>
        </w:rPr>
        <w:t xml:space="preserve"> the complementarity of the </w:t>
      </w:r>
      <w:r w:rsidR="00917375" w:rsidRPr="00175885">
        <w:rPr>
          <w:rFonts w:asciiTheme="majorBidi" w:hAnsiTheme="majorBidi" w:cstheme="majorBidi"/>
        </w:rPr>
        <w:t>Implementation Plan for the Cartagena Protocol on Biosafety</w:t>
      </w:r>
      <w:r w:rsidRPr="00175885">
        <w:rPr>
          <w:rFonts w:asciiTheme="majorBidi" w:hAnsiTheme="majorBidi" w:cstheme="majorBidi"/>
        </w:rPr>
        <w:t xml:space="preserve"> to the </w:t>
      </w:r>
      <w:r w:rsidR="0057633C" w:rsidRPr="00175885">
        <w:rPr>
          <w:rFonts w:asciiTheme="majorBidi" w:hAnsiTheme="majorBidi" w:cstheme="majorBidi"/>
        </w:rPr>
        <w:t>Kunming-Montreal</w:t>
      </w:r>
      <w:r w:rsidRPr="00175885">
        <w:rPr>
          <w:rFonts w:asciiTheme="majorBidi" w:hAnsiTheme="majorBidi" w:cstheme="majorBidi"/>
        </w:rPr>
        <w:t xml:space="preserve"> </w:t>
      </w:r>
      <w:r w:rsidR="0057633C" w:rsidRPr="00175885">
        <w:rPr>
          <w:rFonts w:asciiTheme="majorBidi" w:hAnsiTheme="majorBidi" w:cstheme="majorBidi"/>
        </w:rPr>
        <w:t>G</w:t>
      </w:r>
      <w:r w:rsidRPr="00175885">
        <w:rPr>
          <w:rFonts w:asciiTheme="majorBidi" w:hAnsiTheme="majorBidi" w:cstheme="majorBidi"/>
        </w:rPr>
        <w:t xml:space="preserve">lobal </w:t>
      </w:r>
      <w:r w:rsidR="0057633C" w:rsidRPr="00175885">
        <w:rPr>
          <w:rFonts w:asciiTheme="majorBidi" w:hAnsiTheme="majorBidi" w:cstheme="majorBidi"/>
        </w:rPr>
        <w:t>B</w:t>
      </w:r>
      <w:r w:rsidRPr="00175885">
        <w:rPr>
          <w:rFonts w:asciiTheme="majorBidi" w:hAnsiTheme="majorBidi" w:cstheme="majorBidi"/>
        </w:rPr>
        <w:t xml:space="preserve">iodiversity </w:t>
      </w:r>
      <w:r w:rsidR="0057633C" w:rsidRPr="00175885">
        <w:rPr>
          <w:rFonts w:asciiTheme="majorBidi" w:hAnsiTheme="majorBidi" w:cstheme="majorBidi"/>
        </w:rPr>
        <w:t>F</w:t>
      </w:r>
      <w:r w:rsidRPr="00175885">
        <w:rPr>
          <w:rFonts w:asciiTheme="majorBidi" w:hAnsiTheme="majorBidi" w:cstheme="majorBidi"/>
        </w:rPr>
        <w:t xml:space="preserve">ramework and that the </w:t>
      </w:r>
      <w:r w:rsidR="00917375" w:rsidRPr="00175885">
        <w:rPr>
          <w:rFonts w:asciiTheme="majorBidi" w:hAnsiTheme="majorBidi" w:cstheme="majorBidi"/>
        </w:rPr>
        <w:t>I</w:t>
      </w:r>
      <w:r w:rsidRPr="00175885">
        <w:rPr>
          <w:rFonts w:asciiTheme="majorBidi" w:hAnsiTheme="majorBidi" w:cstheme="majorBidi"/>
        </w:rPr>
        <w:t xml:space="preserve">mplementation </w:t>
      </w:r>
      <w:r w:rsidR="00917375" w:rsidRPr="0034156F">
        <w:rPr>
          <w:rFonts w:asciiTheme="majorBidi" w:hAnsiTheme="majorBidi" w:cstheme="majorBidi"/>
        </w:rPr>
        <w:t>P</w:t>
      </w:r>
      <w:r w:rsidRPr="00175885">
        <w:rPr>
          <w:rFonts w:asciiTheme="majorBidi" w:hAnsiTheme="majorBidi" w:cstheme="majorBidi"/>
        </w:rPr>
        <w:t xml:space="preserve">lan can contribute to the achievement of the goals and targets relevant to biosafety in the </w:t>
      </w:r>
      <w:r w:rsidR="0057633C" w:rsidRPr="00175885">
        <w:rPr>
          <w:rFonts w:asciiTheme="majorBidi" w:hAnsiTheme="majorBidi" w:cstheme="majorBidi"/>
        </w:rPr>
        <w:t>Kunming-Montreal Global Biodiversity Framework</w:t>
      </w:r>
      <w:r w:rsidRPr="00175885">
        <w:rPr>
          <w:rFonts w:asciiTheme="majorBidi" w:hAnsiTheme="majorBidi" w:cstheme="majorBidi"/>
        </w:rPr>
        <w:t xml:space="preserve">, especially for Parties to the Convention that are also Parties to the Cartagena </w:t>
      </w:r>
      <w:proofErr w:type="gramStart"/>
      <w:r w:rsidRPr="00175885">
        <w:rPr>
          <w:rFonts w:asciiTheme="majorBidi" w:hAnsiTheme="majorBidi" w:cstheme="majorBidi"/>
        </w:rPr>
        <w:t>Protocol;</w:t>
      </w:r>
      <w:proofErr w:type="gramEnd"/>
    </w:p>
    <w:p w14:paraId="47ABA86C" w14:textId="06BC73CF" w:rsidR="00FE29CC" w:rsidRPr="00276058" w:rsidRDefault="00FE29CC" w:rsidP="00FE29CC">
      <w:pPr>
        <w:spacing w:before="120" w:after="120"/>
        <w:ind w:firstLine="720"/>
        <w:rPr>
          <w:rFonts w:asciiTheme="majorBidi" w:hAnsiTheme="majorBidi" w:cstheme="majorBidi"/>
        </w:rPr>
      </w:pPr>
      <w:r w:rsidRPr="00175885">
        <w:rPr>
          <w:rFonts w:asciiTheme="majorBidi" w:hAnsiTheme="majorBidi" w:cstheme="majorBidi"/>
        </w:rPr>
        <w:t>4.</w:t>
      </w:r>
      <w:r w:rsidRPr="00175885">
        <w:rPr>
          <w:rFonts w:asciiTheme="majorBidi" w:hAnsiTheme="majorBidi" w:cstheme="majorBidi"/>
        </w:rPr>
        <w:tab/>
      </w:r>
      <w:r w:rsidRPr="00175885">
        <w:rPr>
          <w:rFonts w:asciiTheme="majorBidi" w:hAnsiTheme="majorBidi" w:cstheme="majorBidi"/>
          <w:i/>
          <w:iCs/>
        </w:rPr>
        <w:t xml:space="preserve">Urges </w:t>
      </w:r>
      <w:r w:rsidRPr="00175885">
        <w:rPr>
          <w:rFonts w:asciiTheme="majorBidi" w:hAnsiTheme="majorBidi" w:cstheme="majorBidi"/>
        </w:rPr>
        <w:t xml:space="preserve">Parties and </w:t>
      </w:r>
      <w:r w:rsidRPr="00E00FF6">
        <w:rPr>
          <w:rFonts w:asciiTheme="majorBidi" w:hAnsiTheme="majorBidi" w:cstheme="majorBidi"/>
        </w:rPr>
        <w:t>invites</w:t>
      </w:r>
      <w:r w:rsidRPr="00175885">
        <w:rPr>
          <w:rFonts w:asciiTheme="majorBidi" w:hAnsiTheme="majorBidi" w:cstheme="majorBidi"/>
        </w:rPr>
        <w:t xml:space="preserve"> other Governments to review and align, as appropriate, their national action plans and programmes relevant to the implementation of the Protocol, including their national biodiversity strategies and </w:t>
      </w:r>
      <w:r w:rsidRPr="00276058">
        <w:rPr>
          <w:rFonts w:asciiTheme="majorBidi" w:hAnsiTheme="majorBidi" w:cstheme="majorBidi"/>
        </w:rPr>
        <w:t xml:space="preserve">action plans, with the </w:t>
      </w:r>
      <w:r w:rsidR="00917375" w:rsidRPr="00276058">
        <w:rPr>
          <w:rFonts w:asciiTheme="majorBidi" w:hAnsiTheme="majorBidi" w:cstheme="majorBidi"/>
        </w:rPr>
        <w:t>I</w:t>
      </w:r>
      <w:r w:rsidRPr="00276058">
        <w:rPr>
          <w:rFonts w:asciiTheme="majorBidi" w:hAnsiTheme="majorBidi" w:cstheme="majorBidi"/>
        </w:rPr>
        <w:t xml:space="preserve">mplementation </w:t>
      </w:r>
      <w:proofErr w:type="gramStart"/>
      <w:r w:rsidR="00917375" w:rsidRPr="00276058">
        <w:rPr>
          <w:rFonts w:asciiTheme="majorBidi" w:hAnsiTheme="majorBidi" w:cstheme="majorBidi"/>
        </w:rPr>
        <w:t>P</w:t>
      </w:r>
      <w:r w:rsidRPr="00276058">
        <w:rPr>
          <w:rFonts w:asciiTheme="majorBidi" w:hAnsiTheme="majorBidi" w:cstheme="majorBidi"/>
        </w:rPr>
        <w:t>lan;</w:t>
      </w:r>
      <w:proofErr w:type="gramEnd"/>
    </w:p>
    <w:p w14:paraId="495E73D5" w14:textId="2D3BF848" w:rsidR="00932060" w:rsidRPr="00276058" w:rsidRDefault="00932060" w:rsidP="00932060">
      <w:pPr>
        <w:spacing w:before="120" w:after="120"/>
        <w:ind w:firstLine="720"/>
        <w:rPr>
          <w:rFonts w:asciiTheme="majorBidi" w:hAnsiTheme="majorBidi" w:cstheme="majorBidi"/>
          <w:szCs w:val="22"/>
        </w:rPr>
      </w:pPr>
      <w:r w:rsidRPr="00276058">
        <w:rPr>
          <w:rFonts w:asciiTheme="majorBidi" w:hAnsiTheme="majorBidi" w:cstheme="majorBidi"/>
          <w:szCs w:val="22"/>
        </w:rPr>
        <w:t>5.</w:t>
      </w:r>
      <w:r w:rsidRPr="00276058">
        <w:rPr>
          <w:rFonts w:asciiTheme="majorBidi" w:hAnsiTheme="majorBidi" w:cstheme="majorBidi"/>
          <w:szCs w:val="22"/>
        </w:rPr>
        <w:tab/>
      </w:r>
      <w:r w:rsidRPr="00276058">
        <w:rPr>
          <w:rFonts w:asciiTheme="majorBidi" w:hAnsiTheme="majorBidi" w:cstheme="majorBidi"/>
          <w:i/>
          <w:szCs w:val="22"/>
        </w:rPr>
        <w:t xml:space="preserve">Decides </w:t>
      </w:r>
      <w:r w:rsidRPr="00276058">
        <w:rPr>
          <w:rFonts w:asciiTheme="majorBidi" w:hAnsiTheme="majorBidi" w:cstheme="majorBidi"/>
          <w:szCs w:val="22"/>
        </w:rPr>
        <w:t xml:space="preserve">that the baseline for the </w:t>
      </w:r>
      <w:r w:rsidR="00917375" w:rsidRPr="00276058">
        <w:rPr>
          <w:rFonts w:asciiTheme="majorBidi" w:hAnsiTheme="majorBidi" w:cstheme="majorBidi"/>
          <w:szCs w:val="22"/>
        </w:rPr>
        <w:t>I</w:t>
      </w:r>
      <w:r w:rsidRPr="00276058">
        <w:rPr>
          <w:rFonts w:asciiTheme="majorBidi" w:hAnsiTheme="majorBidi" w:cstheme="majorBidi"/>
          <w:szCs w:val="22"/>
        </w:rPr>
        <w:t xml:space="preserve">mplementation </w:t>
      </w:r>
      <w:r w:rsidR="00917375" w:rsidRPr="00276058">
        <w:rPr>
          <w:rFonts w:asciiTheme="majorBidi" w:hAnsiTheme="majorBidi" w:cstheme="majorBidi"/>
          <w:szCs w:val="22"/>
        </w:rPr>
        <w:t>P</w:t>
      </w:r>
      <w:r w:rsidRPr="00276058">
        <w:rPr>
          <w:rFonts w:asciiTheme="majorBidi" w:hAnsiTheme="majorBidi" w:cstheme="majorBidi"/>
          <w:szCs w:val="22"/>
        </w:rPr>
        <w:t>lan shall comprise information gathered in the fourth reporting cycle;</w:t>
      </w:r>
      <w:r w:rsidRPr="00276058">
        <w:rPr>
          <w:szCs w:val="22"/>
          <w:vertAlign w:val="superscript"/>
        </w:rPr>
        <w:footnoteReference w:id="5"/>
      </w:r>
      <w:r w:rsidRPr="00276058">
        <w:rPr>
          <w:rFonts w:asciiTheme="majorBidi" w:hAnsiTheme="majorBidi" w:cstheme="majorBidi"/>
          <w:szCs w:val="22"/>
        </w:rPr>
        <w:t xml:space="preserve"> </w:t>
      </w:r>
    </w:p>
    <w:p w14:paraId="478E84A6" w14:textId="468DBE4B" w:rsidR="00932060" w:rsidRPr="00276058" w:rsidRDefault="00932060" w:rsidP="00932060">
      <w:pPr>
        <w:spacing w:before="120" w:after="120"/>
        <w:ind w:firstLine="720"/>
        <w:rPr>
          <w:rFonts w:asciiTheme="majorBidi" w:hAnsiTheme="majorBidi" w:cstheme="majorBidi"/>
          <w:szCs w:val="22"/>
        </w:rPr>
      </w:pPr>
      <w:r w:rsidRPr="00276058">
        <w:rPr>
          <w:rFonts w:asciiTheme="majorBidi" w:hAnsiTheme="majorBidi" w:cstheme="majorBidi"/>
          <w:szCs w:val="22"/>
        </w:rPr>
        <w:t>6.</w:t>
      </w:r>
      <w:r w:rsidRPr="00276058">
        <w:rPr>
          <w:rFonts w:asciiTheme="majorBidi" w:hAnsiTheme="majorBidi" w:cstheme="majorBidi"/>
          <w:i/>
          <w:szCs w:val="22"/>
        </w:rPr>
        <w:tab/>
        <w:t xml:space="preserve">Also decides </w:t>
      </w:r>
      <w:r w:rsidRPr="00276058">
        <w:rPr>
          <w:rFonts w:asciiTheme="majorBidi" w:hAnsiTheme="majorBidi" w:cstheme="majorBidi"/>
          <w:szCs w:val="22"/>
        </w:rPr>
        <w:t xml:space="preserve">to conduct a midterm evaluation of the </w:t>
      </w:r>
      <w:r w:rsidR="00917375" w:rsidRPr="00276058">
        <w:rPr>
          <w:rFonts w:asciiTheme="majorBidi" w:hAnsiTheme="majorBidi" w:cstheme="majorBidi"/>
          <w:szCs w:val="22"/>
        </w:rPr>
        <w:t>I</w:t>
      </w:r>
      <w:r w:rsidRPr="00276058">
        <w:rPr>
          <w:rFonts w:asciiTheme="majorBidi" w:hAnsiTheme="majorBidi" w:cstheme="majorBidi"/>
          <w:szCs w:val="22"/>
        </w:rPr>
        <w:t xml:space="preserve">mplementation </w:t>
      </w:r>
      <w:r w:rsidR="00917375" w:rsidRPr="00276058">
        <w:rPr>
          <w:rFonts w:asciiTheme="majorBidi" w:hAnsiTheme="majorBidi" w:cstheme="majorBidi"/>
          <w:szCs w:val="22"/>
        </w:rPr>
        <w:t>P</w:t>
      </w:r>
      <w:r w:rsidRPr="00276058">
        <w:rPr>
          <w:rFonts w:asciiTheme="majorBidi" w:hAnsiTheme="majorBidi" w:cstheme="majorBidi"/>
          <w:szCs w:val="22"/>
        </w:rPr>
        <w:t xml:space="preserve">lan in conjunction with the fifth assessment and review of the </w:t>
      </w:r>
      <w:r w:rsidR="000B5581" w:rsidRPr="00276058">
        <w:rPr>
          <w:rFonts w:asciiTheme="majorBidi" w:hAnsiTheme="majorBidi" w:cstheme="majorBidi"/>
          <w:szCs w:val="22"/>
        </w:rPr>
        <w:t xml:space="preserve">effectiveness of the </w:t>
      </w:r>
      <w:proofErr w:type="gramStart"/>
      <w:r w:rsidRPr="00276058">
        <w:rPr>
          <w:rFonts w:asciiTheme="majorBidi" w:hAnsiTheme="majorBidi" w:cstheme="majorBidi"/>
          <w:szCs w:val="22"/>
        </w:rPr>
        <w:t>Protocol;</w:t>
      </w:r>
      <w:proofErr w:type="gramEnd"/>
      <w:r w:rsidRPr="00276058">
        <w:rPr>
          <w:rFonts w:asciiTheme="majorBidi" w:hAnsiTheme="majorBidi" w:cstheme="majorBidi"/>
          <w:szCs w:val="22"/>
        </w:rPr>
        <w:t xml:space="preserve"> </w:t>
      </w:r>
    </w:p>
    <w:p w14:paraId="4183BF14" w14:textId="3DB3F4F5" w:rsidR="00932060" w:rsidRPr="00276058" w:rsidRDefault="00932060" w:rsidP="00932060">
      <w:pPr>
        <w:spacing w:before="120" w:after="120"/>
        <w:ind w:firstLine="720"/>
        <w:rPr>
          <w:rFonts w:asciiTheme="majorBidi" w:hAnsiTheme="majorBidi" w:cstheme="majorBidi"/>
        </w:rPr>
      </w:pPr>
      <w:r w:rsidRPr="00276058">
        <w:rPr>
          <w:rFonts w:asciiTheme="majorBidi" w:hAnsiTheme="majorBidi" w:cstheme="majorBidi"/>
        </w:rPr>
        <w:t>7.</w:t>
      </w:r>
      <w:r w:rsidRPr="00276058">
        <w:rPr>
          <w:rFonts w:asciiTheme="majorBidi" w:hAnsiTheme="majorBidi" w:cstheme="majorBidi"/>
        </w:rPr>
        <w:tab/>
      </w:r>
      <w:r w:rsidRPr="00276058">
        <w:rPr>
          <w:rFonts w:asciiTheme="majorBidi" w:hAnsiTheme="majorBidi" w:cstheme="majorBidi"/>
          <w:i/>
          <w:iCs/>
        </w:rPr>
        <w:t>Requests</w:t>
      </w:r>
      <w:r w:rsidRPr="00276058">
        <w:rPr>
          <w:rFonts w:asciiTheme="majorBidi" w:hAnsiTheme="majorBidi" w:cstheme="majorBidi"/>
        </w:rPr>
        <w:t xml:space="preserve"> the Executive Secretary (a) to include in the reporting format for the fifth national report on the implementation of the Cartagena Protocol on Biosafety questions designed to elicit information on </w:t>
      </w:r>
      <w:r w:rsidRPr="001309D8">
        <w:rPr>
          <w:rFonts w:asciiTheme="majorBidi" w:hAnsiTheme="majorBidi" w:cstheme="majorBidi"/>
        </w:rPr>
        <w:t xml:space="preserve">the indicators of the </w:t>
      </w:r>
      <w:r w:rsidR="00917375" w:rsidRPr="001309D8">
        <w:rPr>
          <w:rFonts w:asciiTheme="majorBidi" w:hAnsiTheme="majorBidi" w:cstheme="majorBidi"/>
        </w:rPr>
        <w:t>I</w:t>
      </w:r>
      <w:r w:rsidRPr="001309D8">
        <w:rPr>
          <w:rFonts w:asciiTheme="majorBidi" w:hAnsiTheme="majorBidi" w:cstheme="majorBidi"/>
        </w:rPr>
        <w:t xml:space="preserve">mplementation </w:t>
      </w:r>
      <w:r w:rsidR="00917375" w:rsidRPr="001309D8">
        <w:rPr>
          <w:rFonts w:asciiTheme="majorBidi" w:hAnsiTheme="majorBidi" w:cstheme="majorBidi"/>
        </w:rPr>
        <w:t>P</w:t>
      </w:r>
      <w:r w:rsidRPr="001309D8">
        <w:rPr>
          <w:rFonts w:asciiTheme="majorBidi" w:hAnsiTheme="majorBidi" w:cstheme="majorBidi"/>
        </w:rPr>
        <w:t xml:space="preserve">lan and (b) to analyse and synthesize that information to facilitate the midterm evaluation in conjunction with the fifth assessment and review of the </w:t>
      </w:r>
      <w:r w:rsidR="00BE3DA5" w:rsidRPr="001309D8">
        <w:rPr>
          <w:rFonts w:asciiTheme="majorBidi" w:hAnsiTheme="majorBidi" w:cstheme="majorBidi"/>
        </w:rPr>
        <w:t xml:space="preserve">effectiveness of the </w:t>
      </w:r>
      <w:r w:rsidRPr="001309D8">
        <w:rPr>
          <w:rFonts w:asciiTheme="majorBidi" w:hAnsiTheme="majorBidi" w:cstheme="majorBidi"/>
        </w:rPr>
        <w:t xml:space="preserve">Cartagena Protocol, and </w:t>
      </w:r>
      <w:r w:rsidR="00207897" w:rsidRPr="001309D8">
        <w:rPr>
          <w:rFonts w:asciiTheme="majorBidi" w:hAnsiTheme="majorBidi" w:cstheme="majorBidi"/>
        </w:rPr>
        <w:t xml:space="preserve">to </w:t>
      </w:r>
      <w:r w:rsidRPr="001309D8">
        <w:rPr>
          <w:rFonts w:asciiTheme="majorBidi" w:hAnsiTheme="majorBidi" w:cstheme="majorBidi"/>
        </w:rPr>
        <w:t>make this information available to the Liaison Group and, as appropriate, the Compliance Committee;</w:t>
      </w:r>
    </w:p>
    <w:p w14:paraId="764635E2" w14:textId="23A4D07A" w:rsidR="00932060" w:rsidRPr="00276058" w:rsidRDefault="00932060" w:rsidP="00932060">
      <w:pPr>
        <w:spacing w:before="120" w:after="120"/>
        <w:ind w:firstLine="720"/>
        <w:rPr>
          <w:rFonts w:asciiTheme="majorBidi" w:hAnsiTheme="majorBidi" w:cstheme="majorBidi"/>
        </w:rPr>
      </w:pPr>
      <w:r w:rsidRPr="00276058">
        <w:rPr>
          <w:rFonts w:asciiTheme="majorBidi" w:hAnsiTheme="majorBidi" w:cstheme="majorBidi"/>
        </w:rPr>
        <w:t>8.</w:t>
      </w:r>
      <w:r w:rsidRPr="00276058">
        <w:rPr>
          <w:rFonts w:asciiTheme="majorBidi" w:hAnsiTheme="majorBidi" w:cstheme="majorBidi"/>
        </w:rPr>
        <w:tab/>
      </w:r>
      <w:r w:rsidRPr="00276058">
        <w:rPr>
          <w:rFonts w:asciiTheme="majorBidi" w:hAnsiTheme="majorBidi" w:cstheme="majorBidi"/>
          <w:i/>
        </w:rPr>
        <w:t>Requests</w:t>
      </w:r>
      <w:r w:rsidRPr="00276058">
        <w:rPr>
          <w:rFonts w:asciiTheme="majorBidi" w:hAnsiTheme="majorBidi" w:cstheme="majorBidi"/>
        </w:rPr>
        <w:t xml:space="preserve"> the Liaison Group on the Cartagena Protocol on Biosafety and the Compliance Committee, as appropriate, working in a complementary and non-duplicative manner, to contribute to the midterm evaluation of the </w:t>
      </w:r>
      <w:r w:rsidR="00917375" w:rsidRPr="00276058">
        <w:rPr>
          <w:rFonts w:asciiTheme="majorBidi" w:hAnsiTheme="majorBidi" w:cstheme="majorBidi"/>
        </w:rPr>
        <w:t>I</w:t>
      </w:r>
      <w:r w:rsidRPr="00276058">
        <w:rPr>
          <w:rFonts w:asciiTheme="majorBidi" w:hAnsiTheme="majorBidi" w:cstheme="majorBidi"/>
        </w:rPr>
        <w:t xml:space="preserve">mplementation </w:t>
      </w:r>
      <w:r w:rsidR="00917375" w:rsidRPr="00276058">
        <w:rPr>
          <w:rFonts w:asciiTheme="majorBidi" w:hAnsiTheme="majorBidi" w:cstheme="majorBidi"/>
        </w:rPr>
        <w:t>P</w:t>
      </w:r>
      <w:r w:rsidRPr="00276058">
        <w:rPr>
          <w:rFonts w:asciiTheme="majorBidi" w:hAnsiTheme="majorBidi" w:cstheme="majorBidi"/>
        </w:rPr>
        <w:t xml:space="preserve">lan, and to submit </w:t>
      </w:r>
      <w:r w:rsidR="00327590" w:rsidRPr="00276058">
        <w:rPr>
          <w:rFonts w:asciiTheme="majorBidi" w:hAnsiTheme="majorBidi" w:cstheme="majorBidi"/>
        </w:rPr>
        <w:t>their</w:t>
      </w:r>
      <w:r w:rsidRPr="00276058">
        <w:rPr>
          <w:rFonts w:asciiTheme="majorBidi" w:hAnsiTheme="majorBidi" w:cstheme="majorBidi"/>
        </w:rPr>
        <w:t xml:space="preserve"> conclusions for consideration by the Subsidiary Body on </w:t>
      </w:r>
      <w:proofErr w:type="gramStart"/>
      <w:r w:rsidRPr="00276058">
        <w:rPr>
          <w:rFonts w:asciiTheme="majorBidi" w:hAnsiTheme="majorBidi" w:cstheme="majorBidi"/>
        </w:rPr>
        <w:t>Implementation;</w:t>
      </w:r>
      <w:proofErr w:type="gramEnd"/>
    </w:p>
    <w:p w14:paraId="2CCF23BF" w14:textId="7F7EAF79" w:rsidR="00803173" w:rsidRDefault="00932060" w:rsidP="00E00FF6">
      <w:pPr>
        <w:spacing w:before="120" w:after="120"/>
        <w:ind w:firstLine="720"/>
        <w:rPr>
          <w:rFonts w:asciiTheme="majorBidi" w:hAnsiTheme="majorBidi" w:cstheme="majorBidi"/>
        </w:rPr>
      </w:pPr>
      <w:r w:rsidRPr="00276058">
        <w:rPr>
          <w:rFonts w:asciiTheme="majorBidi" w:hAnsiTheme="majorBidi" w:cstheme="majorBidi"/>
        </w:rPr>
        <w:t>9.</w:t>
      </w:r>
      <w:r w:rsidRPr="00276058">
        <w:rPr>
          <w:rFonts w:asciiTheme="majorBidi" w:hAnsiTheme="majorBidi" w:cstheme="majorBidi"/>
        </w:rPr>
        <w:tab/>
      </w:r>
      <w:r w:rsidRPr="00276058">
        <w:rPr>
          <w:rFonts w:asciiTheme="majorBidi" w:hAnsiTheme="majorBidi" w:cstheme="majorBidi"/>
          <w:i/>
          <w:iCs/>
        </w:rPr>
        <w:t>R</w:t>
      </w:r>
      <w:r w:rsidRPr="00276058">
        <w:rPr>
          <w:rFonts w:asciiTheme="majorBidi" w:hAnsiTheme="majorBidi" w:cstheme="majorBidi"/>
          <w:i/>
        </w:rPr>
        <w:t>equests</w:t>
      </w:r>
      <w:r w:rsidRPr="00276058">
        <w:rPr>
          <w:rFonts w:asciiTheme="majorBidi" w:hAnsiTheme="majorBidi" w:cstheme="majorBidi"/>
        </w:rPr>
        <w:t xml:space="preserve"> the Subsidiary Body on Implementation</w:t>
      </w:r>
      <w:r w:rsidR="00C824E3">
        <w:rPr>
          <w:rFonts w:asciiTheme="majorBidi" w:hAnsiTheme="majorBidi" w:cstheme="majorBidi"/>
        </w:rPr>
        <w:t>,</w:t>
      </w:r>
      <w:r w:rsidRPr="00276058">
        <w:rPr>
          <w:rFonts w:asciiTheme="majorBidi" w:hAnsiTheme="majorBidi" w:cstheme="majorBidi"/>
        </w:rPr>
        <w:t xml:space="preserve"> at </w:t>
      </w:r>
      <w:r w:rsidR="003D344A">
        <w:rPr>
          <w:rFonts w:asciiTheme="majorBidi" w:hAnsiTheme="majorBidi" w:cstheme="majorBidi"/>
        </w:rPr>
        <w:t xml:space="preserve">a </w:t>
      </w:r>
      <w:r w:rsidRPr="00276058">
        <w:rPr>
          <w:rFonts w:asciiTheme="majorBidi" w:hAnsiTheme="majorBidi" w:cstheme="majorBidi"/>
        </w:rPr>
        <w:t xml:space="preserve">meeting </w:t>
      </w:r>
      <w:r w:rsidR="00F24FB2">
        <w:rPr>
          <w:rFonts w:asciiTheme="majorBidi" w:hAnsiTheme="majorBidi" w:cstheme="majorBidi"/>
        </w:rPr>
        <w:t>to</w:t>
      </w:r>
      <w:r w:rsidR="00F24FB2" w:rsidRPr="00276058">
        <w:rPr>
          <w:rFonts w:asciiTheme="majorBidi" w:hAnsiTheme="majorBidi" w:cstheme="majorBidi"/>
        </w:rPr>
        <w:t xml:space="preserve"> </w:t>
      </w:r>
      <w:r w:rsidR="003D344A">
        <w:rPr>
          <w:rFonts w:asciiTheme="majorBidi" w:hAnsiTheme="majorBidi" w:cstheme="majorBidi"/>
        </w:rPr>
        <w:t xml:space="preserve">be held before </w:t>
      </w:r>
      <w:r w:rsidR="005D7635">
        <w:rPr>
          <w:rFonts w:asciiTheme="majorBidi" w:hAnsiTheme="majorBidi" w:cstheme="majorBidi"/>
        </w:rPr>
        <w:t>the twelfth meeting of the Conference of the Parties serving as the meeting of the Parties to the Cartagena Protocol</w:t>
      </w:r>
      <w:r w:rsidR="00F24FB2">
        <w:rPr>
          <w:rFonts w:asciiTheme="majorBidi" w:hAnsiTheme="majorBidi" w:cstheme="majorBidi"/>
        </w:rPr>
        <w:t xml:space="preserve">, to </w:t>
      </w:r>
      <w:r w:rsidRPr="00276058">
        <w:rPr>
          <w:rFonts w:asciiTheme="majorBidi" w:hAnsiTheme="majorBidi" w:cstheme="majorBidi"/>
        </w:rPr>
        <w:t>consider the information provided</w:t>
      </w:r>
      <w:r w:rsidR="00CC1407" w:rsidRPr="00276058">
        <w:rPr>
          <w:rFonts w:asciiTheme="majorBidi" w:hAnsiTheme="majorBidi" w:cstheme="majorBidi"/>
        </w:rPr>
        <w:t>,</w:t>
      </w:r>
      <w:r w:rsidRPr="00276058">
        <w:rPr>
          <w:rFonts w:asciiTheme="majorBidi" w:hAnsiTheme="majorBidi" w:cstheme="majorBidi"/>
        </w:rPr>
        <w:t xml:space="preserve"> and </w:t>
      </w:r>
      <w:r w:rsidR="00CC1407" w:rsidRPr="00276058">
        <w:rPr>
          <w:rFonts w:asciiTheme="majorBidi" w:hAnsiTheme="majorBidi" w:cstheme="majorBidi"/>
        </w:rPr>
        <w:t xml:space="preserve">the </w:t>
      </w:r>
      <w:r w:rsidRPr="00276058">
        <w:rPr>
          <w:rFonts w:asciiTheme="majorBidi" w:hAnsiTheme="majorBidi" w:cstheme="majorBidi"/>
        </w:rPr>
        <w:t xml:space="preserve">conclusions reached by the Liaison Group and the Compliance Committee, and to submit its findings and recommendations to the Conference of the Parties serving as the meeting of the Parties to the Cartagena Protocol at its twelfth meeting with a view to facilitating the midterm evaluation of the </w:t>
      </w:r>
      <w:r w:rsidR="00917375" w:rsidRPr="00276058">
        <w:rPr>
          <w:rFonts w:asciiTheme="majorBidi" w:hAnsiTheme="majorBidi" w:cstheme="majorBidi"/>
        </w:rPr>
        <w:t>I</w:t>
      </w:r>
      <w:r w:rsidRPr="00276058">
        <w:rPr>
          <w:rFonts w:asciiTheme="majorBidi" w:hAnsiTheme="majorBidi" w:cstheme="majorBidi"/>
        </w:rPr>
        <w:t xml:space="preserve">mplementation </w:t>
      </w:r>
      <w:r w:rsidR="00917375" w:rsidRPr="00276058">
        <w:rPr>
          <w:rFonts w:asciiTheme="majorBidi" w:hAnsiTheme="majorBidi" w:cstheme="majorBidi"/>
        </w:rPr>
        <w:t>P</w:t>
      </w:r>
      <w:r w:rsidRPr="00276058">
        <w:rPr>
          <w:rFonts w:asciiTheme="majorBidi" w:hAnsiTheme="majorBidi" w:cstheme="majorBidi"/>
        </w:rPr>
        <w:t>lan.</w:t>
      </w:r>
    </w:p>
    <w:p w14:paraId="290E30B7" w14:textId="77777777" w:rsidR="00A67402" w:rsidRDefault="00A67402">
      <w:pPr>
        <w:jc w:val="left"/>
        <w:rPr>
          <w:rFonts w:asciiTheme="majorBidi" w:hAnsiTheme="majorBidi" w:cstheme="majorBidi"/>
          <w:i/>
          <w:iCs/>
          <w:szCs w:val="22"/>
          <w:highlight w:val="green"/>
        </w:rPr>
      </w:pPr>
      <w:bookmarkStart w:id="0" w:name="_Toc118383060"/>
      <w:r>
        <w:rPr>
          <w:rFonts w:asciiTheme="majorBidi" w:hAnsiTheme="majorBidi" w:cstheme="majorBidi"/>
          <w:i/>
          <w:iCs/>
          <w:szCs w:val="22"/>
          <w:highlight w:val="green"/>
        </w:rPr>
        <w:br w:type="page"/>
      </w:r>
    </w:p>
    <w:p w14:paraId="588E12FF" w14:textId="458C0E52" w:rsidR="00847E2F" w:rsidRPr="00E73B5F" w:rsidRDefault="00847E2F" w:rsidP="00E00FF6">
      <w:pPr>
        <w:keepNext/>
        <w:spacing w:before="240" w:after="120"/>
        <w:jc w:val="center"/>
        <w:outlineLvl w:val="2"/>
        <w:rPr>
          <w:rFonts w:asciiTheme="majorBidi" w:hAnsiTheme="majorBidi" w:cstheme="majorBidi"/>
          <w:i/>
          <w:iCs/>
          <w:szCs w:val="22"/>
        </w:rPr>
      </w:pPr>
      <w:r w:rsidRPr="002C4F17">
        <w:rPr>
          <w:rFonts w:asciiTheme="majorBidi" w:hAnsiTheme="majorBidi" w:cstheme="majorBidi"/>
          <w:i/>
          <w:iCs/>
          <w:szCs w:val="22"/>
        </w:rPr>
        <w:t>An</w:t>
      </w:r>
      <w:r w:rsidRPr="00DB1D32">
        <w:rPr>
          <w:rFonts w:asciiTheme="majorBidi" w:hAnsiTheme="majorBidi" w:cstheme="majorBidi"/>
          <w:i/>
          <w:iCs/>
          <w:szCs w:val="22"/>
        </w:rPr>
        <w:t>nex</w:t>
      </w:r>
      <w:bookmarkEnd w:id="0"/>
    </w:p>
    <w:p w14:paraId="5D7B9D9F" w14:textId="4C95056E" w:rsidR="00847E2F" w:rsidRPr="00A76280" w:rsidRDefault="00C5474E" w:rsidP="00E00FF6">
      <w:pPr>
        <w:keepNext/>
        <w:spacing w:before="240" w:after="120"/>
        <w:jc w:val="center"/>
        <w:outlineLvl w:val="2"/>
        <w:rPr>
          <w:rFonts w:asciiTheme="majorBidi" w:hAnsiTheme="majorBidi" w:cstheme="majorBidi"/>
          <w:b/>
          <w:caps/>
          <w:szCs w:val="22"/>
        </w:rPr>
      </w:pPr>
      <w:bookmarkStart w:id="1" w:name="_Toc118383061"/>
      <w:r w:rsidRPr="00A76280">
        <w:rPr>
          <w:rFonts w:asciiTheme="majorBidi" w:hAnsiTheme="majorBidi" w:cstheme="majorBidi"/>
          <w:b/>
          <w:bCs/>
          <w:caps/>
          <w:szCs w:val="22"/>
        </w:rPr>
        <w:t xml:space="preserve">Implementation </w:t>
      </w:r>
      <w:r w:rsidR="00EB16C3" w:rsidRPr="00A76280">
        <w:rPr>
          <w:rFonts w:asciiTheme="majorBidi" w:hAnsiTheme="majorBidi" w:cstheme="majorBidi"/>
          <w:b/>
          <w:bCs/>
          <w:szCs w:val="22"/>
        </w:rPr>
        <w:t>P</w:t>
      </w:r>
      <w:r w:rsidRPr="00A76280">
        <w:rPr>
          <w:rFonts w:asciiTheme="majorBidi" w:hAnsiTheme="majorBidi" w:cstheme="majorBidi"/>
          <w:b/>
          <w:bCs/>
          <w:caps/>
          <w:szCs w:val="22"/>
        </w:rPr>
        <w:t>lan for the Cartagena Protocol</w:t>
      </w:r>
      <w:bookmarkEnd w:id="1"/>
      <w:r w:rsidRPr="00A76280">
        <w:rPr>
          <w:rFonts w:asciiTheme="majorBidi" w:hAnsiTheme="majorBidi" w:cstheme="majorBidi"/>
          <w:b/>
          <w:bCs/>
          <w:caps/>
          <w:szCs w:val="22"/>
        </w:rPr>
        <w:t xml:space="preserve"> </w:t>
      </w:r>
      <w:r w:rsidR="00D93C65" w:rsidRPr="00A76280">
        <w:rPr>
          <w:rFonts w:asciiTheme="majorBidi" w:hAnsiTheme="majorBidi" w:cstheme="majorBidi"/>
          <w:b/>
          <w:bCs/>
          <w:caps/>
          <w:szCs w:val="22"/>
        </w:rPr>
        <w:t xml:space="preserve">on </w:t>
      </w:r>
      <w:r w:rsidRPr="00A76280">
        <w:rPr>
          <w:rFonts w:asciiTheme="majorBidi" w:hAnsiTheme="majorBidi" w:cstheme="majorBidi"/>
          <w:b/>
          <w:bCs/>
          <w:caps/>
          <w:szCs w:val="22"/>
        </w:rPr>
        <w:t>Biosafety</w:t>
      </w:r>
    </w:p>
    <w:p w14:paraId="6A5AC68F" w14:textId="77777777" w:rsidR="00847E2F" w:rsidRPr="00A76280" w:rsidRDefault="00847E2F" w:rsidP="00E00FF6">
      <w:pPr>
        <w:keepNext/>
        <w:tabs>
          <w:tab w:val="left" w:pos="993"/>
        </w:tabs>
        <w:spacing w:before="240" w:after="120"/>
        <w:jc w:val="center"/>
        <w:rPr>
          <w:rFonts w:asciiTheme="majorBidi" w:hAnsiTheme="majorBidi" w:cstheme="majorBidi"/>
          <w:b/>
          <w:szCs w:val="22"/>
        </w:rPr>
      </w:pPr>
      <w:r w:rsidRPr="00A76280">
        <w:rPr>
          <w:rFonts w:asciiTheme="majorBidi" w:hAnsiTheme="majorBidi" w:cstheme="majorBidi"/>
          <w:b/>
          <w:szCs w:val="22"/>
        </w:rPr>
        <w:t>I.</w:t>
      </w:r>
      <w:r w:rsidRPr="00A76280">
        <w:rPr>
          <w:rFonts w:asciiTheme="majorBidi" w:hAnsiTheme="majorBidi" w:cstheme="majorBidi"/>
          <w:b/>
          <w:szCs w:val="22"/>
        </w:rPr>
        <w:tab/>
        <w:t>PURPOSE OF THE IMPLEMENTATION PLAN</w:t>
      </w:r>
    </w:p>
    <w:p w14:paraId="37804812" w14:textId="2A772ED2" w:rsidR="00847E2F" w:rsidRPr="00D94758" w:rsidRDefault="00847E2F" w:rsidP="00847E2F">
      <w:pPr>
        <w:spacing w:before="120" w:after="120"/>
        <w:rPr>
          <w:rFonts w:asciiTheme="majorBidi" w:hAnsiTheme="majorBidi" w:cstheme="majorBidi"/>
          <w:szCs w:val="22"/>
        </w:rPr>
      </w:pPr>
      <w:r w:rsidRPr="00A76280">
        <w:rPr>
          <w:rFonts w:asciiTheme="majorBidi" w:hAnsiTheme="majorBidi" w:cstheme="majorBidi"/>
          <w:szCs w:val="22"/>
        </w:rPr>
        <w:t>1.</w:t>
      </w:r>
      <w:r w:rsidRPr="00A76280">
        <w:rPr>
          <w:rFonts w:asciiTheme="majorBidi" w:hAnsiTheme="majorBidi" w:cstheme="majorBidi"/>
          <w:szCs w:val="22"/>
        </w:rPr>
        <w:tab/>
        <w:t xml:space="preserve">The Implementation Plan </w:t>
      </w:r>
      <w:r w:rsidR="00C9682E" w:rsidRPr="00A76280">
        <w:rPr>
          <w:rFonts w:asciiTheme="majorBidi" w:hAnsiTheme="majorBidi" w:cstheme="majorBidi"/>
          <w:szCs w:val="22"/>
        </w:rPr>
        <w:t xml:space="preserve">for the Cartagena Protocol on Biosafety </w:t>
      </w:r>
      <w:r w:rsidR="00281A84" w:rsidRPr="00A76280">
        <w:rPr>
          <w:rFonts w:asciiTheme="majorBidi" w:hAnsiTheme="majorBidi" w:cstheme="majorBidi"/>
          <w:szCs w:val="22"/>
        </w:rPr>
        <w:t>(hereinafter</w:t>
      </w:r>
      <w:r w:rsidR="00281A84" w:rsidRPr="00D94758">
        <w:rPr>
          <w:rFonts w:asciiTheme="majorBidi" w:hAnsiTheme="majorBidi" w:cstheme="majorBidi"/>
          <w:szCs w:val="22"/>
        </w:rPr>
        <w:t xml:space="preserve"> </w:t>
      </w:r>
      <w:r w:rsidR="00725937" w:rsidRPr="00D94758">
        <w:rPr>
          <w:rFonts w:asciiTheme="majorBidi" w:hAnsiTheme="majorBidi" w:cstheme="majorBidi"/>
          <w:szCs w:val="22"/>
        </w:rPr>
        <w:t>“</w:t>
      </w:r>
      <w:r w:rsidR="00281A84" w:rsidRPr="00D94758">
        <w:rPr>
          <w:rFonts w:asciiTheme="majorBidi" w:hAnsiTheme="majorBidi" w:cstheme="majorBidi"/>
          <w:szCs w:val="22"/>
        </w:rPr>
        <w:t>Implementation Plan</w:t>
      </w:r>
      <w:r w:rsidR="00725937" w:rsidRPr="00D94758">
        <w:rPr>
          <w:rFonts w:asciiTheme="majorBidi" w:hAnsiTheme="majorBidi" w:cstheme="majorBidi"/>
          <w:szCs w:val="22"/>
        </w:rPr>
        <w:t>”</w:t>
      </w:r>
      <w:r w:rsidR="00281A84" w:rsidRPr="00D94758">
        <w:rPr>
          <w:rFonts w:asciiTheme="majorBidi" w:hAnsiTheme="majorBidi" w:cstheme="majorBidi"/>
          <w:szCs w:val="22"/>
        </w:rPr>
        <w:t xml:space="preserve">) </w:t>
      </w:r>
      <w:r w:rsidRPr="00D94758">
        <w:rPr>
          <w:rFonts w:asciiTheme="majorBidi" w:hAnsiTheme="majorBidi" w:cstheme="majorBidi"/>
          <w:szCs w:val="22"/>
        </w:rPr>
        <w:t>has been developed as a framework of broad desirable achievements and accomplishments to help guide Parties in their implementation of the Protocol and measure progress in this regard for the period up to</w:t>
      </w:r>
      <w:r w:rsidR="00573E14" w:rsidRPr="00D94758">
        <w:rPr>
          <w:rFonts w:asciiTheme="majorBidi" w:hAnsiTheme="majorBidi" w:cstheme="majorBidi"/>
          <w:szCs w:val="22"/>
        </w:rPr>
        <w:t xml:space="preserve"> </w:t>
      </w:r>
      <w:r w:rsidRPr="00D94758">
        <w:rPr>
          <w:rFonts w:asciiTheme="majorBidi" w:hAnsiTheme="majorBidi" w:cstheme="majorBidi"/>
          <w:szCs w:val="22"/>
        </w:rPr>
        <w:t>2030.</w:t>
      </w:r>
    </w:p>
    <w:p w14:paraId="4F59B880" w14:textId="03A3C5FC" w:rsidR="00847E2F" w:rsidRPr="00D50D8C" w:rsidRDefault="00847E2F" w:rsidP="00847E2F">
      <w:pPr>
        <w:spacing w:before="120" w:after="120"/>
        <w:rPr>
          <w:rFonts w:asciiTheme="majorBidi" w:hAnsiTheme="majorBidi" w:cstheme="majorBidi"/>
          <w:szCs w:val="22"/>
        </w:rPr>
      </w:pPr>
      <w:r w:rsidRPr="00D94758">
        <w:rPr>
          <w:rFonts w:asciiTheme="majorBidi" w:hAnsiTheme="majorBidi" w:cstheme="majorBidi"/>
          <w:szCs w:val="22"/>
        </w:rPr>
        <w:t>2.</w:t>
      </w:r>
      <w:r w:rsidRPr="00D94758">
        <w:rPr>
          <w:rFonts w:asciiTheme="majorBidi" w:hAnsiTheme="majorBidi" w:cstheme="majorBidi"/>
          <w:szCs w:val="22"/>
        </w:rPr>
        <w:tab/>
        <w:t xml:space="preserve">The Implementation Plan is </w:t>
      </w:r>
      <w:r w:rsidRPr="0004210B">
        <w:rPr>
          <w:rFonts w:asciiTheme="majorBidi" w:hAnsiTheme="majorBidi" w:cstheme="majorBidi"/>
          <w:szCs w:val="22"/>
        </w:rPr>
        <w:t xml:space="preserve">complemented by the Capacity-building Action Plan </w:t>
      </w:r>
      <w:r w:rsidR="00B90BB3" w:rsidRPr="0004210B">
        <w:rPr>
          <w:rFonts w:asciiTheme="majorBidi" w:hAnsiTheme="majorBidi" w:cstheme="majorBidi"/>
        </w:rPr>
        <w:t>for the Cartagena Protocol on Biosafety</w:t>
      </w:r>
      <w:r w:rsidR="001727B5" w:rsidRPr="00E00FF6">
        <w:rPr>
          <w:rStyle w:val="FootnoteReference"/>
          <w:rFonts w:asciiTheme="majorBidi" w:hAnsiTheme="majorBidi" w:cstheme="majorBidi"/>
        </w:rPr>
        <w:footnoteReference w:id="6"/>
      </w:r>
      <w:r w:rsidR="00B90BB3" w:rsidRPr="0004210B">
        <w:rPr>
          <w:rFonts w:asciiTheme="majorBidi" w:hAnsiTheme="majorBidi" w:cstheme="majorBidi"/>
        </w:rPr>
        <w:t xml:space="preserve"> </w:t>
      </w:r>
      <w:r w:rsidRPr="0004210B">
        <w:rPr>
          <w:rFonts w:asciiTheme="majorBidi" w:hAnsiTheme="majorBidi" w:cstheme="majorBidi"/>
          <w:szCs w:val="22"/>
        </w:rPr>
        <w:t>with the purpose of facilitating the development and strengthening of the capacities of Parties to implement the Protocol, including</w:t>
      </w:r>
      <w:r w:rsidRPr="00284B0A">
        <w:rPr>
          <w:rFonts w:asciiTheme="majorBidi" w:hAnsiTheme="majorBidi" w:cstheme="majorBidi"/>
          <w:szCs w:val="22"/>
        </w:rPr>
        <w:t xml:space="preserve"> by fa</w:t>
      </w:r>
      <w:r w:rsidRPr="00D50D8C">
        <w:rPr>
          <w:rFonts w:asciiTheme="majorBidi" w:hAnsiTheme="majorBidi" w:cstheme="majorBidi"/>
          <w:szCs w:val="22"/>
        </w:rPr>
        <w:t>cilitating the engagement of partners, including donors</w:t>
      </w:r>
      <w:r w:rsidR="00E75C04" w:rsidRPr="00D50D8C">
        <w:rPr>
          <w:rFonts w:asciiTheme="majorBidi" w:hAnsiTheme="majorBidi" w:cstheme="majorBidi"/>
          <w:szCs w:val="22"/>
        </w:rPr>
        <w:t>,</w:t>
      </w:r>
      <w:r w:rsidRPr="00D50D8C">
        <w:rPr>
          <w:rFonts w:asciiTheme="majorBidi" w:hAnsiTheme="majorBidi" w:cstheme="majorBidi"/>
          <w:szCs w:val="22"/>
        </w:rPr>
        <w:t xml:space="preserve"> and by promoting regional and international cooperation and coordination. The Capacity-building Action Plan covers the same period as the Implementation Plan, up to 2030.</w:t>
      </w:r>
    </w:p>
    <w:p w14:paraId="4007D7CC" w14:textId="642258CF" w:rsidR="00847E2F" w:rsidRPr="00E73B5F" w:rsidRDefault="00847E2F" w:rsidP="00847E2F">
      <w:pPr>
        <w:spacing w:before="120" w:after="120"/>
        <w:rPr>
          <w:rFonts w:asciiTheme="majorBidi" w:hAnsiTheme="majorBidi" w:cstheme="majorBidi"/>
          <w:szCs w:val="22"/>
        </w:rPr>
      </w:pPr>
      <w:r w:rsidRPr="00D50D8C">
        <w:rPr>
          <w:rFonts w:asciiTheme="majorBidi" w:hAnsiTheme="majorBidi" w:cstheme="majorBidi"/>
          <w:szCs w:val="22"/>
        </w:rPr>
        <w:t>3.</w:t>
      </w:r>
      <w:r w:rsidRPr="00D50D8C">
        <w:rPr>
          <w:rFonts w:asciiTheme="majorBidi" w:hAnsiTheme="majorBidi" w:cstheme="majorBidi"/>
          <w:szCs w:val="22"/>
        </w:rPr>
        <w:tab/>
        <w:t>The Implementation Plan is directed primarily at Parties. Nonetheless, it is recognized that non-Parties</w:t>
      </w:r>
      <w:r w:rsidR="00D50D8C" w:rsidRPr="00D50D8C">
        <w:rPr>
          <w:rFonts w:asciiTheme="majorBidi" w:hAnsiTheme="majorBidi" w:cstheme="majorBidi"/>
          <w:szCs w:val="22"/>
        </w:rPr>
        <w:t>,</w:t>
      </w:r>
      <w:r w:rsidRPr="00D50D8C">
        <w:rPr>
          <w:rFonts w:asciiTheme="majorBidi" w:hAnsiTheme="majorBidi" w:cstheme="majorBidi"/>
          <w:szCs w:val="22"/>
        </w:rPr>
        <w:t xml:space="preserve"> stakeholders from different sectors, organizations, indigenous peoples and local communities</w:t>
      </w:r>
      <w:r w:rsidR="00D50D8C" w:rsidRPr="00D50D8C">
        <w:rPr>
          <w:rFonts w:asciiTheme="majorBidi" w:hAnsiTheme="majorBidi" w:cstheme="majorBidi"/>
          <w:szCs w:val="22"/>
        </w:rPr>
        <w:t>,</w:t>
      </w:r>
      <w:r w:rsidRPr="00D50D8C">
        <w:rPr>
          <w:rFonts w:asciiTheme="majorBidi" w:hAnsiTheme="majorBidi" w:cstheme="majorBidi"/>
          <w:szCs w:val="22"/>
        </w:rPr>
        <w:t xml:space="preserve"> and donors can support the implementation of the Protocol.</w:t>
      </w:r>
    </w:p>
    <w:p w14:paraId="07EE8A06" w14:textId="21437292" w:rsidR="00847E2F" w:rsidRPr="00E73B5F" w:rsidRDefault="00847E2F" w:rsidP="00E00FF6">
      <w:pPr>
        <w:keepNext/>
        <w:tabs>
          <w:tab w:val="left" w:pos="1134"/>
        </w:tabs>
        <w:spacing w:before="120" w:after="120"/>
        <w:ind w:left="1138" w:hanging="706"/>
        <w:jc w:val="left"/>
        <w:rPr>
          <w:rFonts w:asciiTheme="majorBidi" w:hAnsiTheme="majorBidi" w:cstheme="majorBidi"/>
          <w:b/>
          <w:szCs w:val="22"/>
        </w:rPr>
      </w:pPr>
      <w:r w:rsidRPr="00E73B5F">
        <w:rPr>
          <w:rFonts w:asciiTheme="majorBidi" w:hAnsiTheme="majorBidi" w:cstheme="majorBidi"/>
          <w:b/>
          <w:szCs w:val="22"/>
        </w:rPr>
        <w:t>II.</w:t>
      </w:r>
      <w:r w:rsidRPr="00E73B5F">
        <w:rPr>
          <w:rFonts w:asciiTheme="majorBidi" w:hAnsiTheme="majorBidi" w:cstheme="majorBidi"/>
          <w:b/>
          <w:szCs w:val="22"/>
        </w:rPr>
        <w:tab/>
      </w:r>
      <w:r w:rsidR="00234933" w:rsidRPr="00E00FF6">
        <w:rPr>
          <w:rFonts w:asciiTheme="majorBidi" w:hAnsiTheme="majorBidi" w:cstheme="majorBidi"/>
          <w:b/>
          <w:caps/>
          <w:szCs w:val="22"/>
        </w:rPr>
        <w:t>Linkage with the Kunming-Montreal Global Biodiversity Framework</w:t>
      </w:r>
      <w:r w:rsidR="00234933" w:rsidRPr="00E00FF6" w:rsidDel="00234933">
        <w:rPr>
          <w:rFonts w:asciiTheme="majorBidi" w:hAnsiTheme="majorBidi" w:cstheme="majorBidi"/>
          <w:b/>
          <w:caps/>
          <w:szCs w:val="22"/>
        </w:rPr>
        <w:t xml:space="preserve"> </w:t>
      </w:r>
      <w:r w:rsidR="00234933" w:rsidRPr="00E00FF6">
        <w:rPr>
          <w:rFonts w:asciiTheme="majorBidi" w:hAnsiTheme="majorBidi" w:cstheme="majorBidi"/>
          <w:b/>
          <w:caps/>
          <w:szCs w:val="22"/>
        </w:rPr>
        <w:t>and the 2030 Agenda for Sustainable Development</w:t>
      </w:r>
    </w:p>
    <w:p w14:paraId="6531C4A5" w14:textId="226652ED"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4.</w:t>
      </w:r>
      <w:r w:rsidRPr="00E73B5F">
        <w:rPr>
          <w:rFonts w:asciiTheme="majorBidi" w:hAnsiTheme="majorBidi" w:cstheme="majorBidi"/>
          <w:szCs w:val="22"/>
        </w:rPr>
        <w:tab/>
        <w:t xml:space="preserve">The Implementation Plan is anchored in and complementary to the </w:t>
      </w:r>
      <w:r w:rsidR="00234933" w:rsidRPr="00234933">
        <w:rPr>
          <w:rFonts w:asciiTheme="majorBidi" w:hAnsiTheme="majorBidi" w:cstheme="majorBidi"/>
          <w:szCs w:val="22"/>
        </w:rPr>
        <w:t xml:space="preserve">Kunming-Montreal Global </w:t>
      </w:r>
      <w:r w:rsidR="00234933" w:rsidRPr="00855E79">
        <w:rPr>
          <w:rFonts w:asciiTheme="majorBidi" w:hAnsiTheme="majorBidi" w:cstheme="majorBidi"/>
          <w:szCs w:val="22"/>
        </w:rPr>
        <w:t>Biodiversity Framework</w:t>
      </w:r>
      <w:r w:rsidRPr="00855E79">
        <w:rPr>
          <w:rFonts w:asciiTheme="majorBidi" w:hAnsiTheme="majorBidi" w:cstheme="majorBidi"/>
          <w:szCs w:val="22"/>
        </w:rPr>
        <w:t xml:space="preserve">, as its goals, objectives and outcomes contribute to achieving the </w:t>
      </w:r>
      <w:r w:rsidR="00234933" w:rsidRPr="00855E79">
        <w:rPr>
          <w:rFonts w:asciiTheme="majorBidi" w:hAnsiTheme="majorBidi" w:cstheme="majorBidi"/>
          <w:szCs w:val="22"/>
        </w:rPr>
        <w:t>F</w:t>
      </w:r>
      <w:r w:rsidRPr="00855E79">
        <w:rPr>
          <w:rFonts w:asciiTheme="majorBidi" w:hAnsiTheme="majorBidi" w:cstheme="majorBidi"/>
          <w:szCs w:val="22"/>
        </w:rPr>
        <w:t>ramework’s 2050 visi</w:t>
      </w:r>
      <w:r w:rsidRPr="00E73B5F">
        <w:rPr>
          <w:rFonts w:asciiTheme="majorBidi" w:hAnsiTheme="majorBidi" w:cstheme="majorBidi"/>
          <w:szCs w:val="22"/>
        </w:rPr>
        <w:t xml:space="preserve">on — “By 2050, biodiversity is valued, conserved, restored and wisely used, maintaining ecosystem services, sustaining a healthy planet and delivering </w:t>
      </w:r>
      <w:r w:rsidRPr="00C930CE">
        <w:rPr>
          <w:rFonts w:asciiTheme="majorBidi" w:hAnsiTheme="majorBidi" w:cstheme="majorBidi"/>
          <w:szCs w:val="22"/>
        </w:rPr>
        <w:t>benefits essential for all people” — and its mission —</w:t>
      </w:r>
      <w:r w:rsidR="00C930CE" w:rsidRPr="00C930CE">
        <w:rPr>
          <w:rFonts w:asciiTheme="majorBidi" w:hAnsiTheme="majorBidi" w:cstheme="majorBidi"/>
          <w:szCs w:val="22"/>
        </w:rPr>
        <w:t xml:space="preserve"> “To take urgent action to halt and reverse biodiversity loss to put nature on a path to recovery for the benefit of people and planet by conserving and sustainably using biodiversity and ensuring the fair and equitable sharing of benefits from the use of genetic resources, while providing the necessary means of implementation”. </w:t>
      </w:r>
      <w:r w:rsidRPr="00C930CE">
        <w:rPr>
          <w:rFonts w:asciiTheme="majorBidi" w:hAnsiTheme="majorBidi" w:cstheme="majorBidi"/>
          <w:szCs w:val="22"/>
        </w:rPr>
        <w:t>The Implementation Plan is intended to facilitate the implementation of</w:t>
      </w:r>
      <w:r w:rsidRPr="00E73B5F">
        <w:rPr>
          <w:rFonts w:asciiTheme="majorBidi" w:hAnsiTheme="majorBidi" w:cstheme="majorBidi"/>
          <w:szCs w:val="22"/>
        </w:rPr>
        <w:t xml:space="preserve"> the Cartagena Protocol and is addressed to Parties to the Cartagena Protocol. The Implementation Plan can also support and guide Parties in meeting goals and targets relevant to biosafety within the </w:t>
      </w:r>
      <w:r w:rsidR="002E0963">
        <w:rPr>
          <w:rFonts w:asciiTheme="majorBidi" w:hAnsiTheme="majorBidi" w:cstheme="majorBidi"/>
        </w:rPr>
        <w:t>Kunming-Montreal</w:t>
      </w:r>
      <w:r w:rsidR="002E0963" w:rsidRPr="0072615E">
        <w:rPr>
          <w:rFonts w:asciiTheme="majorBidi" w:hAnsiTheme="majorBidi" w:cstheme="majorBidi"/>
        </w:rPr>
        <w:t xml:space="preserve"> </w:t>
      </w:r>
      <w:r w:rsidR="002E0963">
        <w:rPr>
          <w:rFonts w:asciiTheme="majorBidi" w:hAnsiTheme="majorBidi" w:cstheme="majorBidi"/>
        </w:rPr>
        <w:t>G</w:t>
      </w:r>
      <w:r w:rsidR="002E0963" w:rsidRPr="0072615E">
        <w:rPr>
          <w:rFonts w:asciiTheme="majorBidi" w:hAnsiTheme="majorBidi" w:cstheme="majorBidi"/>
        </w:rPr>
        <w:t xml:space="preserve">lobal </w:t>
      </w:r>
      <w:r w:rsidR="002E0963">
        <w:rPr>
          <w:rFonts w:asciiTheme="majorBidi" w:hAnsiTheme="majorBidi" w:cstheme="majorBidi"/>
        </w:rPr>
        <w:t>B</w:t>
      </w:r>
      <w:r w:rsidR="002E0963" w:rsidRPr="0072615E">
        <w:rPr>
          <w:rFonts w:asciiTheme="majorBidi" w:hAnsiTheme="majorBidi" w:cstheme="majorBidi"/>
        </w:rPr>
        <w:t xml:space="preserve">iodiversity </w:t>
      </w:r>
      <w:r w:rsidR="002E0963">
        <w:rPr>
          <w:rFonts w:asciiTheme="majorBidi" w:hAnsiTheme="majorBidi" w:cstheme="majorBidi"/>
        </w:rPr>
        <w:t>F</w:t>
      </w:r>
      <w:r w:rsidR="002E0963" w:rsidRPr="0072615E">
        <w:rPr>
          <w:rFonts w:asciiTheme="majorBidi" w:hAnsiTheme="majorBidi" w:cstheme="majorBidi"/>
        </w:rPr>
        <w:t>ramework</w:t>
      </w:r>
      <w:r w:rsidRPr="00E73B5F">
        <w:rPr>
          <w:rFonts w:asciiTheme="majorBidi" w:hAnsiTheme="majorBidi" w:cstheme="majorBidi"/>
          <w:szCs w:val="22"/>
        </w:rPr>
        <w:t>.</w:t>
      </w:r>
    </w:p>
    <w:p w14:paraId="4151DE2F" w14:textId="77777777"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5.</w:t>
      </w:r>
      <w:r w:rsidRPr="00E73B5F">
        <w:rPr>
          <w:rFonts w:asciiTheme="majorBidi" w:hAnsiTheme="majorBidi" w:cstheme="majorBidi"/>
          <w:szCs w:val="22"/>
        </w:rPr>
        <w:tab/>
        <w:t>The Implementation Plan can also help to support Parties to achieve the Sustainable Development Goals, including for example Goals 2 (to end hunger, achieve food security and improved nutrition, and provide sustainable agriculture) and 3 (ensure healthy lives and promote well-being for all at all ages).</w:t>
      </w:r>
    </w:p>
    <w:p w14:paraId="7CC58EA8" w14:textId="77777777" w:rsidR="00847E2F" w:rsidRPr="00E73B5F" w:rsidRDefault="00847E2F" w:rsidP="00E00FF6">
      <w:pPr>
        <w:keepNext/>
        <w:tabs>
          <w:tab w:val="left" w:pos="993"/>
        </w:tabs>
        <w:spacing w:before="120" w:after="120"/>
        <w:jc w:val="center"/>
        <w:rPr>
          <w:rFonts w:asciiTheme="majorBidi" w:hAnsiTheme="majorBidi" w:cstheme="majorBidi"/>
          <w:b/>
          <w:szCs w:val="22"/>
        </w:rPr>
      </w:pPr>
      <w:r w:rsidRPr="00E73B5F">
        <w:rPr>
          <w:rFonts w:asciiTheme="majorBidi" w:hAnsiTheme="majorBidi" w:cstheme="majorBidi"/>
          <w:b/>
          <w:szCs w:val="22"/>
        </w:rPr>
        <w:t>III.</w:t>
      </w:r>
      <w:r w:rsidRPr="00E73B5F">
        <w:rPr>
          <w:rFonts w:asciiTheme="majorBidi" w:hAnsiTheme="majorBidi" w:cstheme="majorBidi"/>
          <w:b/>
          <w:szCs w:val="22"/>
        </w:rPr>
        <w:tab/>
        <w:t>STRUCTURE OF THE IMPLEMENTATION PLAN</w:t>
      </w:r>
    </w:p>
    <w:p w14:paraId="41FEBE37" w14:textId="43312C29" w:rsidR="00847E2F" w:rsidRPr="00A76280"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6</w:t>
      </w:r>
      <w:r w:rsidRPr="00E73B5F">
        <w:rPr>
          <w:rFonts w:asciiTheme="majorBidi" w:hAnsiTheme="majorBidi" w:cstheme="majorBidi"/>
          <w:szCs w:val="22"/>
        </w:rPr>
        <w:tab/>
      </w:r>
      <w:r w:rsidR="00A76280" w:rsidRPr="00E00FF6">
        <w:rPr>
          <w:rFonts w:asciiTheme="majorBidi" w:hAnsiTheme="majorBidi" w:cstheme="majorBidi"/>
          <w:szCs w:val="22"/>
        </w:rPr>
        <w:t>A</w:t>
      </w:r>
      <w:r w:rsidRPr="00A76280">
        <w:rPr>
          <w:rFonts w:asciiTheme="majorBidi" w:hAnsiTheme="majorBidi" w:cstheme="majorBidi"/>
          <w:szCs w:val="22"/>
        </w:rPr>
        <w:t xml:space="preserve"> </w:t>
      </w:r>
      <w:r w:rsidR="009832EA" w:rsidRPr="00A76280">
        <w:rPr>
          <w:rFonts w:asciiTheme="majorBidi" w:hAnsiTheme="majorBidi" w:cstheme="majorBidi"/>
          <w:szCs w:val="22"/>
        </w:rPr>
        <w:t>table containing</w:t>
      </w:r>
      <w:r w:rsidRPr="00A76280">
        <w:rPr>
          <w:rFonts w:asciiTheme="majorBidi" w:hAnsiTheme="majorBidi" w:cstheme="majorBidi"/>
          <w:szCs w:val="22"/>
        </w:rPr>
        <w:t xml:space="preserve"> the goals, objectives, </w:t>
      </w:r>
      <w:proofErr w:type="gramStart"/>
      <w:r w:rsidRPr="00A76280">
        <w:rPr>
          <w:rFonts w:asciiTheme="majorBidi" w:hAnsiTheme="majorBidi" w:cstheme="majorBidi"/>
          <w:szCs w:val="22"/>
        </w:rPr>
        <w:t>indicators</w:t>
      </w:r>
      <w:proofErr w:type="gramEnd"/>
      <w:r w:rsidRPr="00A76280">
        <w:rPr>
          <w:rFonts w:asciiTheme="majorBidi" w:hAnsiTheme="majorBidi" w:cstheme="majorBidi"/>
          <w:szCs w:val="22"/>
        </w:rPr>
        <w:t xml:space="preserve"> and outcomes of the Implementation Plan is presented</w:t>
      </w:r>
      <w:r w:rsidR="00A76280" w:rsidRPr="00A76280">
        <w:rPr>
          <w:rFonts w:asciiTheme="majorBidi" w:hAnsiTheme="majorBidi" w:cstheme="majorBidi"/>
          <w:szCs w:val="22"/>
        </w:rPr>
        <w:t xml:space="preserve"> in the appendix below</w:t>
      </w:r>
      <w:r w:rsidRPr="00A76280">
        <w:rPr>
          <w:rFonts w:asciiTheme="majorBidi" w:hAnsiTheme="majorBidi" w:cstheme="majorBidi"/>
          <w:szCs w:val="22"/>
        </w:rPr>
        <w:t>.</w:t>
      </w:r>
    </w:p>
    <w:p w14:paraId="64D40F22" w14:textId="3ACFD4BC" w:rsidR="00847E2F" w:rsidRPr="00E73B5F" w:rsidRDefault="00847E2F" w:rsidP="00847E2F">
      <w:pPr>
        <w:spacing w:before="120" w:after="120"/>
        <w:rPr>
          <w:rFonts w:asciiTheme="majorBidi" w:hAnsiTheme="majorBidi" w:cstheme="majorBidi"/>
          <w:szCs w:val="22"/>
        </w:rPr>
      </w:pPr>
      <w:r w:rsidRPr="00A76280">
        <w:rPr>
          <w:rFonts w:asciiTheme="majorBidi" w:hAnsiTheme="majorBidi" w:cstheme="majorBidi"/>
          <w:szCs w:val="22"/>
        </w:rPr>
        <w:t>7.</w:t>
      </w:r>
      <w:r w:rsidRPr="00E73B5F">
        <w:rPr>
          <w:rFonts w:asciiTheme="majorBidi" w:hAnsiTheme="majorBidi" w:cstheme="majorBidi"/>
          <w:szCs w:val="22"/>
        </w:rPr>
        <w:tab/>
        <w:t xml:space="preserve">The Implementation Plan outlines goals representing broad desirable achievements by Parties. The goals of the Implementation Plan are </w:t>
      </w:r>
      <w:r w:rsidRPr="00967FFE">
        <w:rPr>
          <w:rFonts w:asciiTheme="majorBidi" w:hAnsiTheme="majorBidi" w:cstheme="majorBidi"/>
          <w:szCs w:val="22"/>
        </w:rPr>
        <w:t xml:space="preserve">organized according to “areas </w:t>
      </w:r>
      <w:r w:rsidR="00967FFE" w:rsidRPr="00967FFE">
        <w:rPr>
          <w:rFonts w:asciiTheme="majorBidi" w:hAnsiTheme="majorBidi" w:cstheme="majorBidi"/>
          <w:szCs w:val="22"/>
        </w:rPr>
        <w:t>for</w:t>
      </w:r>
      <w:r w:rsidRPr="00967FFE">
        <w:rPr>
          <w:rFonts w:asciiTheme="majorBidi" w:hAnsiTheme="majorBidi" w:cstheme="majorBidi"/>
          <w:szCs w:val="22"/>
        </w:rPr>
        <w:t xml:space="preserve"> implementation” and “enabling environment”. The “areas </w:t>
      </w:r>
      <w:r w:rsidR="00967FFE" w:rsidRPr="00967FFE">
        <w:rPr>
          <w:rFonts w:asciiTheme="majorBidi" w:hAnsiTheme="majorBidi" w:cstheme="majorBidi"/>
          <w:szCs w:val="22"/>
        </w:rPr>
        <w:t>for</w:t>
      </w:r>
      <w:r w:rsidRPr="00967FFE">
        <w:rPr>
          <w:rFonts w:asciiTheme="majorBidi" w:hAnsiTheme="majorBidi" w:cstheme="majorBidi"/>
          <w:szCs w:val="22"/>
        </w:rPr>
        <w:t xml:space="preserve"> implementation” consist of goals concerning key elements for the implementation of the Protocol. The “enabling environment” comprises cross-cutting goals related to providing support for implementation, </w:t>
      </w:r>
      <w:proofErr w:type="gramStart"/>
      <w:r w:rsidRPr="00967FFE">
        <w:rPr>
          <w:rFonts w:asciiTheme="majorBidi" w:hAnsiTheme="majorBidi" w:cstheme="majorBidi"/>
          <w:szCs w:val="22"/>
        </w:rPr>
        <w:t>i.e.</w:t>
      </w:r>
      <w:proofErr w:type="gramEnd"/>
      <w:r w:rsidRPr="00967FFE">
        <w:rPr>
          <w:rFonts w:asciiTheme="majorBidi" w:hAnsiTheme="majorBidi" w:cstheme="majorBidi"/>
          <w:szCs w:val="22"/>
        </w:rPr>
        <w:t xml:space="preserve"> capacity-building, resource mobilization, cooperation, and public awareness, education and participation. The goals under the “enabling environment” represent cross-cutting achievements that benefit a variety of implementation-related goals and can be read in conjunction with the goals related to “areas for implementation”. Each goal includes corresponding objectives, </w:t>
      </w:r>
      <w:proofErr w:type="gramStart"/>
      <w:r w:rsidRPr="00967FFE">
        <w:rPr>
          <w:rFonts w:asciiTheme="majorBidi" w:hAnsiTheme="majorBidi" w:cstheme="majorBidi"/>
          <w:szCs w:val="22"/>
        </w:rPr>
        <w:t>outcomes</w:t>
      </w:r>
      <w:proofErr w:type="gramEnd"/>
      <w:r w:rsidRPr="00967FFE">
        <w:rPr>
          <w:rFonts w:asciiTheme="majorBidi" w:hAnsiTheme="majorBidi" w:cstheme="majorBidi"/>
          <w:szCs w:val="22"/>
        </w:rPr>
        <w:t xml:space="preserve"> and indicators.</w:t>
      </w:r>
    </w:p>
    <w:p w14:paraId="36556C4F" w14:textId="77777777"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8.</w:t>
      </w:r>
      <w:r w:rsidRPr="00E73B5F">
        <w:rPr>
          <w:rFonts w:asciiTheme="majorBidi" w:hAnsiTheme="majorBidi" w:cstheme="majorBidi"/>
          <w:szCs w:val="22"/>
        </w:rPr>
        <w:tab/>
        <w:t>The objectives describe key accomplishments to achieve the goal to which they relate. The objectives are not intended to provide an exhaustive list of accomplishments that may be relevant for the goal. The objectives follow the provisions in the Protocol, including both obligations and other provisions, and guidance provided through decisions of the Conference of the Parties serving as the meeting of the Parties to the Protocol. Most goals include multiple objectives.</w:t>
      </w:r>
    </w:p>
    <w:p w14:paraId="0628EE31" w14:textId="6468F499"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9.</w:t>
      </w:r>
      <w:r w:rsidRPr="00E73B5F">
        <w:rPr>
          <w:rFonts w:asciiTheme="majorBidi" w:hAnsiTheme="majorBidi" w:cstheme="majorBidi"/>
          <w:szCs w:val="22"/>
        </w:rPr>
        <w:tab/>
        <w:t xml:space="preserve">The indicators are designed to measure progress towards the objectives. The indicators are intended to be simple, </w:t>
      </w:r>
      <w:proofErr w:type="gramStart"/>
      <w:r w:rsidRPr="00E73B5F">
        <w:rPr>
          <w:rFonts w:asciiTheme="majorBidi" w:hAnsiTheme="majorBidi" w:cstheme="majorBidi"/>
          <w:szCs w:val="22"/>
        </w:rPr>
        <w:t>measurable</w:t>
      </w:r>
      <w:proofErr w:type="gramEnd"/>
      <w:r w:rsidRPr="00E73B5F">
        <w:rPr>
          <w:rFonts w:asciiTheme="majorBidi" w:hAnsiTheme="majorBidi" w:cstheme="majorBidi"/>
          <w:szCs w:val="22"/>
        </w:rPr>
        <w:t xml:space="preserve"> and relevant to the associated objective.</w:t>
      </w:r>
    </w:p>
    <w:p w14:paraId="6B4678F5" w14:textId="26BD538E" w:rsidR="00847E2F" w:rsidRPr="00E73B5F" w:rsidRDefault="00847E2F" w:rsidP="00847E2F">
      <w:pPr>
        <w:spacing w:before="120" w:after="120"/>
        <w:rPr>
          <w:rFonts w:asciiTheme="majorBidi" w:hAnsiTheme="majorBidi" w:cstheme="majorBidi"/>
          <w:szCs w:val="22"/>
        </w:rPr>
      </w:pPr>
      <w:r w:rsidRPr="009901AD">
        <w:rPr>
          <w:rFonts w:asciiTheme="majorBidi" w:hAnsiTheme="majorBidi" w:cstheme="majorBidi"/>
          <w:szCs w:val="22"/>
        </w:rPr>
        <w:t>10.</w:t>
      </w:r>
      <w:r w:rsidRPr="009901AD">
        <w:rPr>
          <w:rFonts w:asciiTheme="majorBidi" w:hAnsiTheme="majorBidi" w:cstheme="majorBidi"/>
          <w:szCs w:val="22"/>
        </w:rPr>
        <w:tab/>
        <w:t>The outcomes describe the effect of achieving the goal.</w:t>
      </w:r>
    </w:p>
    <w:p w14:paraId="099B40D3" w14:textId="25229199" w:rsidR="00847E2F" w:rsidRPr="002C4F17" w:rsidRDefault="00847E2F" w:rsidP="00847E2F">
      <w:pPr>
        <w:spacing w:before="120" w:after="120"/>
        <w:rPr>
          <w:rFonts w:asciiTheme="majorBidi" w:hAnsiTheme="majorBidi" w:cstheme="majorBidi"/>
          <w:szCs w:val="22"/>
        </w:rPr>
      </w:pPr>
      <w:r w:rsidRPr="002C4F17">
        <w:rPr>
          <w:rFonts w:asciiTheme="majorBidi" w:hAnsiTheme="majorBidi" w:cstheme="majorBidi"/>
          <w:szCs w:val="22"/>
        </w:rPr>
        <w:t>11.</w:t>
      </w:r>
      <w:r w:rsidRPr="002C4F17">
        <w:rPr>
          <w:rFonts w:asciiTheme="majorBidi" w:hAnsiTheme="majorBidi" w:cstheme="majorBidi"/>
          <w:szCs w:val="22"/>
        </w:rPr>
        <w:tab/>
        <w:t xml:space="preserve">The Nagoya – Kuala Lumpur Supplementary Protocol on Liability and Redress was adopted by the Conference of the Parties serving as the meeting of the Parties to the Protocol in 2010 (decision BS-V/11). The Strategic Plan for the </w:t>
      </w:r>
      <w:r w:rsidR="00B0709A" w:rsidRPr="002C4F17">
        <w:rPr>
          <w:rFonts w:asciiTheme="majorBidi" w:hAnsiTheme="majorBidi" w:cstheme="majorBidi"/>
          <w:szCs w:val="22"/>
        </w:rPr>
        <w:t>Cartagena Protocol on Biosafety for the period 2011</w:t>
      </w:r>
      <w:r w:rsidR="00086AA2">
        <w:rPr>
          <w:rFonts w:asciiTheme="majorBidi" w:hAnsiTheme="majorBidi" w:cstheme="majorBidi"/>
        </w:rPr>
        <w:t>–</w:t>
      </w:r>
      <w:r w:rsidR="00B0709A" w:rsidRPr="002C4F17">
        <w:rPr>
          <w:rFonts w:asciiTheme="majorBidi" w:hAnsiTheme="majorBidi" w:cstheme="majorBidi"/>
          <w:szCs w:val="22"/>
        </w:rPr>
        <w:t>2020</w:t>
      </w:r>
      <w:r w:rsidRPr="002C4F17">
        <w:rPr>
          <w:rFonts w:asciiTheme="majorBidi" w:hAnsiTheme="majorBidi" w:cstheme="majorBidi"/>
          <w:szCs w:val="22"/>
        </w:rPr>
        <w:t>, also adopted in 2010, included elements on liability and redress and the Supplementary Protocol. The Supplementary Protocol entered into force on 5 March 2018.</w:t>
      </w:r>
    </w:p>
    <w:p w14:paraId="24128ED5" w14:textId="3A38716D" w:rsidR="00847E2F" w:rsidRPr="002C4F17" w:rsidRDefault="00847E2F" w:rsidP="00847E2F">
      <w:pPr>
        <w:spacing w:before="120" w:after="120"/>
        <w:rPr>
          <w:rFonts w:asciiTheme="majorBidi" w:hAnsiTheme="majorBidi" w:cstheme="majorBidi"/>
          <w:szCs w:val="22"/>
        </w:rPr>
      </w:pPr>
      <w:r w:rsidRPr="002C4F17">
        <w:rPr>
          <w:rFonts w:asciiTheme="majorBidi" w:hAnsiTheme="majorBidi" w:cstheme="majorBidi"/>
          <w:szCs w:val="22"/>
        </w:rPr>
        <w:t>12.</w:t>
      </w:r>
      <w:r w:rsidRPr="002C4F17">
        <w:rPr>
          <w:rFonts w:asciiTheme="majorBidi" w:hAnsiTheme="majorBidi" w:cstheme="majorBidi"/>
          <w:szCs w:val="22"/>
        </w:rPr>
        <w:tab/>
        <w:t xml:space="preserve">A component on the Supplementary Protocol has been included in the </w:t>
      </w:r>
      <w:r w:rsidR="006810EE" w:rsidRPr="002C4F17">
        <w:rPr>
          <w:rFonts w:asciiTheme="majorBidi" w:hAnsiTheme="majorBidi" w:cstheme="majorBidi"/>
          <w:szCs w:val="22"/>
        </w:rPr>
        <w:t>a</w:t>
      </w:r>
      <w:r w:rsidRPr="002C4F17">
        <w:rPr>
          <w:rFonts w:asciiTheme="majorBidi" w:hAnsiTheme="majorBidi" w:cstheme="majorBidi"/>
          <w:szCs w:val="22"/>
        </w:rPr>
        <w:t>ppendix below. The inclusion of a component on the Supplementary Protocol is intended to support the implementation of the Cartagena Protocol and to contribute to the effective implementation of the Supplementary Protocol, while recognizing that they are separate legal instruments and that obligations arising from these instruments only bind the Parties to the respective instrument.</w:t>
      </w:r>
    </w:p>
    <w:p w14:paraId="76FE5359" w14:textId="77777777" w:rsidR="00847E2F" w:rsidRPr="002C4F17" w:rsidRDefault="00847E2F" w:rsidP="00E00FF6">
      <w:pPr>
        <w:keepNext/>
        <w:tabs>
          <w:tab w:val="left" w:pos="993"/>
        </w:tabs>
        <w:spacing w:before="120" w:after="120"/>
        <w:jc w:val="center"/>
        <w:rPr>
          <w:rFonts w:asciiTheme="majorBidi" w:hAnsiTheme="majorBidi" w:cstheme="majorBidi"/>
          <w:b/>
          <w:szCs w:val="22"/>
        </w:rPr>
      </w:pPr>
      <w:r w:rsidRPr="002C4F17">
        <w:rPr>
          <w:rFonts w:asciiTheme="majorBidi" w:hAnsiTheme="majorBidi" w:cstheme="majorBidi"/>
          <w:b/>
          <w:szCs w:val="22"/>
        </w:rPr>
        <w:t>IV.</w:t>
      </w:r>
      <w:r w:rsidRPr="002C4F17">
        <w:rPr>
          <w:rFonts w:asciiTheme="majorBidi" w:hAnsiTheme="majorBidi" w:cstheme="majorBidi"/>
          <w:b/>
          <w:szCs w:val="22"/>
        </w:rPr>
        <w:tab/>
        <w:t>EVALUATION AND REVIEW</w:t>
      </w:r>
    </w:p>
    <w:p w14:paraId="15D07299" w14:textId="77777777" w:rsidR="00847E2F" w:rsidRPr="002C4F17" w:rsidRDefault="00847E2F" w:rsidP="00847E2F">
      <w:pPr>
        <w:spacing w:before="120" w:after="120"/>
        <w:rPr>
          <w:rFonts w:asciiTheme="majorBidi" w:hAnsiTheme="majorBidi" w:cstheme="majorBidi"/>
          <w:szCs w:val="22"/>
        </w:rPr>
      </w:pPr>
      <w:r w:rsidRPr="002C4F17">
        <w:rPr>
          <w:rFonts w:asciiTheme="majorBidi" w:hAnsiTheme="majorBidi" w:cstheme="majorBidi"/>
          <w:szCs w:val="22"/>
        </w:rPr>
        <w:t>13.</w:t>
      </w:r>
      <w:r w:rsidRPr="002C4F17">
        <w:rPr>
          <w:rFonts w:asciiTheme="majorBidi" w:hAnsiTheme="majorBidi" w:cstheme="majorBidi"/>
          <w:szCs w:val="22"/>
        </w:rPr>
        <w:tab/>
        <w:t>The Conference of the Parties serving as the meeting of the Parties to the Cartagena Protocol shall undertake a midterm evaluation and may decide to undertake a final evaluation of the Implementation Plan. These evaluations may draw on information provided by Parties in their national reports and information in the Biosafety Clearing-House, among others. This information may be used to assess the extent to which the objectives of the Implementation Plan are being accomplished.</w:t>
      </w:r>
    </w:p>
    <w:p w14:paraId="78C91565" w14:textId="7524E9B9" w:rsidR="00847E2F" w:rsidRPr="002C4F17" w:rsidRDefault="00847E2F" w:rsidP="00847E2F">
      <w:pPr>
        <w:spacing w:before="120" w:after="120"/>
        <w:rPr>
          <w:rFonts w:asciiTheme="majorBidi" w:hAnsiTheme="majorBidi" w:cstheme="majorBidi"/>
          <w:szCs w:val="22"/>
        </w:rPr>
      </w:pPr>
      <w:r w:rsidRPr="002C4F17">
        <w:rPr>
          <w:rFonts w:asciiTheme="majorBidi" w:hAnsiTheme="majorBidi" w:cstheme="majorBidi"/>
          <w:szCs w:val="22"/>
        </w:rPr>
        <w:t>14.</w:t>
      </w:r>
      <w:r w:rsidRPr="002C4F17">
        <w:rPr>
          <w:rFonts w:asciiTheme="majorBidi" w:hAnsiTheme="majorBidi" w:cstheme="majorBidi"/>
          <w:szCs w:val="22"/>
        </w:rPr>
        <w:tab/>
        <w:t xml:space="preserve">The results of the fourth assessment and review of the effectiveness of the Cartagena Protocol and </w:t>
      </w:r>
      <w:r w:rsidR="006D4205" w:rsidRPr="002C4F17">
        <w:rPr>
          <w:rFonts w:asciiTheme="majorBidi" w:hAnsiTheme="majorBidi" w:cstheme="majorBidi"/>
          <w:szCs w:val="22"/>
        </w:rPr>
        <w:t xml:space="preserve">the </w:t>
      </w:r>
      <w:r w:rsidRPr="002C4F17">
        <w:rPr>
          <w:rFonts w:asciiTheme="majorBidi" w:hAnsiTheme="majorBidi" w:cstheme="majorBidi"/>
          <w:szCs w:val="22"/>
        </w:rPr>
        <w:t xml:space="preserve">final evaluation of the Strategic Plan of the Cartagena Protocol </w:t>
      </w:r>
      <w:r w:rsidR="00A20852" w:rsidRPr="002C4F17">
        <w:rPr>
          <w:rFonts w:asciiTheme="majorBidi" w:hAnsiTheme="majorBidi" w:cstheme="majorBidi"/>
          <w:szCs w:val="22"/>
        </w:rPr>
        <w:t xml:space="preserve">on Biosafety for the period 2011-2020 </w:t>
      </w:r>
      <w:r w:rsidRPr="002C4F17">
        <w:rPr>
          <w:rFonts w:asciiTheme="majorBidi" w:hAnsiTheme="majorBidi" w:cstheme="majorBidi"/>
          <w:szCs w:val="22"/>
        </w:rPr>
        <w:t>will be used to establish a baseline for measuring progress in achieving the goals of the Implementation Plan.</w:t>
      </w:r>
    </w:p>
    <w:p w14:paraId="5546BE46" w14:textId="77777777" w:rsidR="00847E2F" w:rsidRPr="00E73B5F" w:rsidRDefault="00847E2F" w:rsidP="00E00FF6">
      <w:pPr>
        <w:keepNext/>
        <w:tabs>
          <w:tab w:val="left" w:pos="993"/>
        </w:tabs>
        <w:spacing w:before="120" w:after="120"/>
        <w:jc w:val="center"/>
        <w:rPr>
          <w:rFonts w:asciiTheme="majorBidi" w:hAnsiTheme="majorBidi" w:cstheme="majorBidi"/>
          <w:b/>
          <w:szCs w:val="22"/>
        </w:rPr>
      </w:pPr>
      <w:r w:rsidRPr="002C4F17">
        <w:rPr>
          <w:rFonts w:asciiTheme="majorBidi" w:hAnsiTheme="majorBidi" w:cstheme="majorBidi"/>
          <w:b/>
          <w:szCs w:val="22"/>
        </w:rPr>
        <w:t>V.</w:t>
      </w:r>
      <w:r w:rsidRPr="002C4F17">
        <w:rPr>
          <w:rFonts w:asciiTheme="majorBidi" w:hAnsiTheme="majorBidi" w:cstheme="majorBidi"/>
          <w:b/>
          <w:szCs w:val="22"/>
        </w:rPr>
        <w:tab/>
        <w:t>PRIORITIES AND PROGRAMMING</w:t>
      </w:r>
    </w:p>
    <w:p w14:paraId="15FE6391" w14:textId="77777777"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15.</w:t>
      </w:r>
      <w:r w:rsidRPr="00E73B5F">
        <w:rPr>
          <w:rFonts w:asciiTheme="majorBidi" w:hAnsiTheme="majorBidi" w:cstheme="majorBidi"/>
          <w:szCs w:val="22"/>
        </w:rPr>
        <w:tab/>
        <w:t xml:space="preserve">The Conference of the Parties serving as the meeting of the Parties to the Cartagena Protocol may periodically set priorities to plan for and programme work to be undertaken within the </w:t>
      </w:r>
      <w:proofErr w:type="gramStart"/>
      <w:r w:rsidRPr="00E73B5F">
        <w:rPr>
          <w:rFonts w:asciiTheme="majorBidi" w:hAnsiTheme="majorBidi" w:cstheme="majorBidi"/>
          <w:szCs w:val="22"/>
        </w:rPr>
        <w:t>time period</w:t>
      </w:r>
      <w:proofErr w:type="gramEnd"/>
      <w:r w:rsidRPr="00E73B5F">
        <w:rPr>
          <w:rFonts w:asciiTheme="majorBidi" w:hAnsiTheme="majorBidi" w:cstheme="majorBidi"/>
          <w:szCs w:val="22"/>
        </w:rPr>
        <w:t xml:space="preserve"> of the Implementation Plan. This could include identifying milestones that lead to the achievement of the goals of the Implementation Plan.</w:t>
      </w:r>
    </w:p>
    <w:p w14:paraId="5B3E66E0" w14:textId="22642A15"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16.</w:t>
      </w:r>
      <w:r w:rsidRPr="00E73B5F">
        <w:rPr>
          <w:rFonts w:asciiTheme="majorBidi" w:hAnsiTheme="majorBidi" w:cstheme="majorBidi"/>
          <w:szCs w:val="22"/>
        </w:rPr>
        <w:tab/>
        <w:t>In deciding on priorities and programming, the Conference of the Parties serving as the meeting of the Parties to the Cartagena Protocol may wish to take into consideration developments and advancements in the field of biosafety and biotechnology. In this regard, the Implementation Plan has taken the approach that where organisms developed through new technologies constitute “living modified organisms” as defined in the Protocol, these organisms are addressed in the Plan.</w:t>
      </w:r>
    </w:p>
    <w:p w14:paraId="03FD77DF" w14:textId="77777777" w:rsidR="00847E2F" w:rsidRPr="00E73B5F" w:rsidRDefault="00847E2F" w:rsidP="00847E2F">
      <w:pPr>
        <w:keepNext/>
        <w:tabs>
          <w:tab w:val="left" w:pos="993"/>
        </w:tabs>
        <w:spacing w:before="120" w:after="120"/>
        <w:jc w:val="center"/>
        <w:rPr>
          <w:rFonts w:asciiTheme="majorBidi" w:hAnsiTheme="majorBidi" w:cstheme="majorBidi"/>
          <w:b/>
          <w:szCs w:val="22"/>
        </w:rPr>
      </w:pPr>
      <w:r w:rsidRPr="00E73B5F">
        <w:rPr>
          <w:rFonts w:asciiTheme="majorBidi" w:hAnsiTheme="majorBidi" w:cstheme="majorBidi"/>
          <w:b/>
          <w:szCs w:val="22"/>
        </w:rPr>
        <w:t>VI.</w:t>
      </w:r>
      <w:r w:rsidRPr="00E73B5F">
        <w:rPr>
          <w:rFonts w:asciiTheme="majorBidi" w:hAnsiTheme="majorBidi" w:cstheme="majorBidi"/>
          <w:b/>
          <w:szCs w:val="22"/>
        </w:rPr>
        <w:tab/>
        <w:t>RESOURCES</w:t>
      </w:r>
    </w:p>
    <w:p w14:paraId="2DEC46FB" w14:textId="77AF260B" w:rsidR="00847E2F" w:rsidRPr="00E73B5F" w:rsidRDefault="00847E2F" w:rsidP="00847E2F">
      <w:pPr>
        <w:spacing w:before="120" w:after="120"/>
        <w:rPr>
          <w:rFonts w:asciiTheme="majorBidi" w:hAnsiTheme="majorBidi" w:cstheme="majorBidi"/>
          <w:szCs w:val="22"/>
        </w:rPr>
      </w:pPr>
      <w:r w:rsidRPr="00E73B5F">
        <w:rPr>
          <w:rFonts w:asciiTheme="majorBidi" w:hAnsiTheme="majorBidi" w:cstheme="majorBidi"/>
          <w:szCs w:val="22"/>
        </w:rPr>
        <w:t>17.</w:t>
      </w:r>
      <w:r w:rsidRPr="00E73B5F">
        <w:rPr>
          <w:rFonts w:asciiTheme="majorBidi" w:hAnsiTheme="majorBidi" w:cstheme="majorBidi"/>
          <w:szCs w:val="22"/>
        </w:rPr>
        <w:tab/>
        <w:t xml:space="preserve">The successful implementation of the Protocol depends to a large extent on having access to adequate human, technical and financial </w:t>
      </w:r>
      <w:proofErr w:type="gramStart"/>
      <w:r w:rsidRPr="00E73B5F">
        <w:rPr>
          <w:rFonts w:asciiTheme="majorBidi" w:hAnsiTheme="majorBidi" w:cstheme="majorBidi"/>
          <w:szCs w:val="22"/>
        </w:rPr>
        <w:t>resources</w:t>
      </w:r>
      <w:proofErr w:type="gramEnd"/>
      <w:r w:rsidRPr="00E73B5F">
        <w:rPr>
          <w:rFonts w:asciiTheme="majorBidi" w:hAnsiTheme="majorBidi" w:cstheme="majorBidi"/>
          <w:szCs w:val="22"/>
        </w:rPr>
        <w:t xml:space="preserve"> and effective cooperation, in accordance with Articles</w:t>
      </w:r>
      <w:r w:rsidR="00981FF9">
        <w:rPr>
          <w:rFonts w:asciiTheme="majorBidi" w:hAnsiTheme="majorBidi" w:cstheme="majorBidi"/>
          <w:szCs w:val="22"/>
        </w:rPr>
        <w:t> </w:t>
      </w:r>
      <w:r w:rsidRPr="00E73B5F">
        <w:rPr>
          <w:rFonts w:asciiTheme="majorBidi" w:hAnsiTheme="majorBidi" w:cstheme="majorBidi"/>
          <w:szCs w:val="22"/>
        </w:rPr>
        <w:t xml:space="preserve">22 and 28 of the Protocol. The Implementation Plan aims at supporting Parties in this regard, including </w:t>
      </w:r>
      <w:proofErr w:type="gramStart"/>
      <w:r w:rsidRPr="00E73B5F">
        <w:rPr>
          <w:rFonts w:asciiTheme="majorBidi" w:hAnsiTheme="majorBidi" w:cstheme="majorBidi"/>
          <w:szCs w:val="22"/>
        </w:rPr>
        <w:t>in particular under</w:t>
      </w:r>
      <w:proofErr w:type="gramEnd"/>
      <w:r w:rsidRPr="00E73B5F">
        <w:rPr>
          <w:rFonts w:asciiTheme="majorBidi" w:hAnsiTheme="majorBidi" w:cstheme="majorBidi"/>
          <w:szCs w:val="22"/>
        </w:rPr>
        <w:t xml:space="preserve"> the goals related to creating an enabling environment.</w:t>
      </w:r>
    </w:p>
    <w:p w14:paraId="5C6BE206" w14:textId="77777777" w:rsidR="00847E2F" w:rsidRPr="00E73B5F" w:rsidRDefault="00847E2F" w:rsidP="00E00FF6">
      <w:pPr>
        <w:keepNext/>
        <w:tabs>
          <w:tab w:val="left" w:pos="993"/>
        </w:tabs>
        <w:spacing w:before="120" w:after="120"/>
        <w:jc w:val="center"/>
        <w:rPr>
          <w:rFonts w:asciiTheme="majorBidi" w:hAnsiTheme="majorBidi" w:cstheme="majorBidi"/>
          <w:b/>
          <w:szCs w:val="22"/>
        </w:rPr>
      </w:pPr>
      <w:r w:rsidRPr="00E73B5F">
        <w:rPr>
          <w:rFonts w:asciiTheme="majorBidi" w:hAnsiTheme="majorBidi" w:cstheme="majorBidi"/>
          <w:b/>
          <w:szCs w:val="22"/>
        </w:rPr>
        <w:t>VII.</w:t>
      </w:r>
      <w:r w:rsidRPr="00E73B5F">
        <w:rPr>
          <w:rFonts w:asciiTheme="majorBidi" w:hAnsiTheme="majorBidi" w:cstheme="majorBidi"/>
          <w:b/>
          <w:szCs w:val="22"/>
        </w:rPr>
        <w:tab/>
        <w:t>ROLE OF THE SECRETARIAT</w:t>
      </w:r>
    </w:p>
    <w:p w14:paraId="31CAEE07" w14:textId="26AD2406" w:rsidR="00847E2F" w:rsidRDefault="00847E2F" w:rsidP="00847E2F">
      <w:pPr>
        <w:rPr>
          <w:rFonts w:asciiTheme="majorBidi" w:hAnsiTheme="majorBidi" w:cstheme="majorBidi"/>
          <w:szCs w:val="22"/>
        </w:rPr>
      </w:pPr>
      <w:r w:rsidRPr="00E73B5F">
        <w:rPr>
          <w:rFonts w:asciiTheme="majorBidi" w:hAnsiTheme="majorBidi" w:cstheme="majorBidi"/>
          <w:szCs w:val="22"/>
        </w:rPr>
        <w:t>18.</w:t>
      </w:r>
      <w:r w:rsidRPr="00E73B5F">
        <w:rPr>
          <w:rFonts w:asciiTheme="majorBidi" w:hAnsiTheme="majorBidi" w:cstheme="majorBidi"/>
          <w:szCs w:val="22"/>
        </w:rPr>
        <w:tab/>
        <w:t xml:space="preserve">While the Implementation Plan is directed primarily at Parties, the Secretariat of the Convention on Biological Diversity will support the Parties in their efforts to implement the Protocol, following the guidance of the Conference of the Parties serving as the meeting of the Parties to the Cartagena Protocol and in accordance with Article 31 of the Cartagena Protocol and Article 24 of the Convention on Biological Diversity. This support includes managing and maintaining the Biosafety Clearing-House as well as undertaking activities, including capacity-building activities, as requested by the Conference of the Parties serving as the meeting of the Parties to the </w:t>
      </w:r>
      <w:r w:rsidRPr="00A1456A">
        <w:rPr>
          <w:rFonts w:asciiTheme="majorBidi" w:hAnsiTheme="majorBidi" w:cstheme="majorBidi"/>
          <w:szCs w:val="22"/>
        </w:rPr>
        <w:t>Protocol.</w:t>
      </w:r>
      <w:r w:rsidRPr="00E73B5F">
        <w:rPr>
          <w:rFonts w:asciiTheme="majorBidi" w:hAnsiTheme="majorBidi" w:cstheme="majorBidi"/>
          <w:szCs w:val="22"/>
        </w:rPr>
        <w:t xml:space="preserve"> </w:t>
      </w:r>
    </w:p>
    <w:p w14:paraId="4C91BF94" w14:textId="765B9822" w:rsidR="008A5484" w:rsidRDefault="008A5484">
      <w:pPr>
        <w:jc w:val="left"/>
        <w:rPr>
          <w:rFonts w:asciiTheme="majorBidi" w:hAnsiTheme="majorBidi" w:cstheme="majorBidi"/>
          <w:szCs w:val="22"/>
        </w:rPr>
      </w:pPr>
    </w:p>
    <w:p w14:paraId="60061D2D" w14:textId="1767AA9B" w:rsidR="00271B84" w:rsidRPr="00E00FF6" w:rsidRDefault="00271B84" w:rsidP="00E00FF6">
      <w:pPr>
        <w:keepNext/>
        <w:spacing w:before="240" w:after="120"/>
        <w:jc w:val="center"/>
        <w:outlineLvl w:val="3"/>
        <w:rPr>
          <w:i/>
          <w:iCs/>
          <w:szCs w:val="22"/>
        </w:rPr>
      </w:pPr>
      <w:r w:rsidRPr="00E00FF6">
        <w:rPr>
          <w:i/>
          <w:iCs/>
          <w:szCs w:val="22"/>
        </w:rPr>
        <w:t>Appendix</w:t>
      </w:r>
    </w:p>
    <w:tbl>
      <w:tblPr>
        <w:tblStyle w:val="TableGrid"/>
        <w:tblW w:w="11057" w:type="dxa"/>
        <w:tblInd w:w="-856" w:type="dxa"/>
        <w:tblLook w:val="04A0" w:firstRow="1" w:lastRow="0" w:firstColumn="1" w:lastColumn="0" w:noHBand="0" w:noVBand="1"/>
      </w:tblPr>
      <w:tblGrid>
        <w:gridCol w:w="1844"/>
        <w:gridCol w:w="3118"/>
        <w:gridCol w:w="3809"/>
        <w:gridCol w:w="2286"/>
      </w:tblGrid>
      <w:tr w:rsidR="00C11F37" w:rsidRPr="003F052A" w14:paraId="2908D183" w14:textId="77777777" w:rsidTr="00017233">
        <w:trPr>
          <w:tblHeader/>
        </w:trPr>
        <w:tc>
          <w:tcPr>
            <w:tcW w:w="11057" w:type="dxa"/>
            <w:gridSpan w:val="4"/>
          </w:tcPr>
          <w:p w14:paraId="4B1CC044" w14:textId="687E4DA9" w:rsidR="00C11F37" w:rsidRPr="003F052A" w:rsidRDefault="00C11F37" w:rsidP="00E00FF6">
            <w:pPr>
              <w:keepNext/>
              <w:suppressLineNumbers/>
              <w:suppressAutoHyphens/>
              <w:spacing w:before="60" w:after="120"/>
              <w:jc w:val="center"/>
              <w:rPr>
                <w:bCs/>
                <w:kern w:val="22"/>
                <w:szCs w:val="22"/>
              </w:rPr>
            </w:pPr>
            <w:r w:rsidRPr="00BC580C">
              <w:rPr>
                <w:rFonts w:eastAsia="MS Mincho"/>
                <w:b/>
                <w:bCs/>
                <w:kern w:val="22"/>
                <w:szCs w:val="22"/>
              </w:rPr>
              <w:t>Implementation Plan</w:t>
            </w:r>
            <w:r w:rsidR="007815C9" w:rsidRPr="00BC580C">
              <w:rPr>
                <w:rFonts w:eastAsia="MS Mincho"/>
                <w:b/>
                <w:bCs/>
                <w:kern w:val="22"/>
                <w:szCs w:val="22"/>
              </w:rPr>
              <w:t xml:space="preserve"> for the Cartagena Protocol on Biosafety</w:t>
            </w:r>
          </w:p>
        </w:tc>
      </w:tr>
      <w:tr w:rsidR="00C11F37" w:rsidRPr="003F052A" w14:paraId="11E0B9DC" w14:textId="77777777" w:rsidTr="00E00FF6">
        <w:trPr>
          <w:trHeight w:val="341"/>
          <w:tblHeader/>
        </w:trPr>
        <w:tc>
          <w:tcPr>
            <w:tcW w:w="1844" w:type="dxa"/>
            <w:tcBorders>
              <w:bottom w:val="nil"/>
            </w:tcBorders>
            <w:vAlign w:val="center"/>
          </w:tcPr>
          <w:p w14:paraId="525A5C24" w14:textId="77777777" w:rsidR="00C11F37" w:rsidRPr="003F052A" w:rsidRDefault="00C11F37" w:rsidP="003F052A">
            <w:pPr>
              <w:suppressLineNumbers/>
              <w:suppressAutoHyphens/>
              <w:spacing w:before="60" w:after="120"/>
              <w:jc w:val="center"/>
              <w:rPr>
                <w:bCs/>
                <w:kern w:val="22"/>
                <w:szCs w:val="22"/>
              </w:rPr>
            </w:pPr>
            <w:r w:rsidRPr="003F052A">
              <w:rPr>
                <w:rFonts w:eastAsia="MS Mincho"/>
                <w:b/>
                <w:bCs/>
                <w:kern w:val="22"/>
                <w:szCs w:val="22"/>
              </w:rPr>
              <w:t>Goals</w:t>
            </w:r>
          </w:p>
        </w:tc>
        <w:tc>
          <w:tcPr>
            <w:tcW w:w="3118" w:type="dxa"/>
            <w:tcBorders>
              <w:bottom w:val="nil"/>
            </w:tcBorders>
            <w:vAlign w:val="center"/>
          </w:tcPr>
          <w:p w14:paraId="6F8DAAD7" w14:textId="77777777" w:rsidR="00C11F37" w:rsidRPr="003F052A" w:rsidRDefault="00C11F37" w:rsidP="00E00FF6">
            <w:pPr>
              <w:keepNext/>
              <w:suppressLineNumbers/>
              <w:suppressAutoHyphens/>
              <w:spacing w:before="60" w:after="120"/>
              <w:jc w:val="center"/>
              <w:rPr>
                <w:bCs/>
                <w:kern w:val="22"/>
                <w:szCs w:val="22"/>
              </w:rPr>
            </w:pPr>
            <w:r w:rsidRPr="003F052A">
              <w:rPr>
                <w:rFonts w:eastAsia="MS Mincho"/>
                <w:b/>
                <w:iCs/>
                <w:kern w:val="22"/>
                <w:szCs w:val="22"/>
              </w:rPr>
              <w:t>Objectives</w:t>
            </w:r>
          </w:p>
        </w:tc>
        <w:tc>
          <w:tcPr>
            <w:tcW w:w="3809" w:type="dxa"/>
            <w:tcBorders>
              <w:bottom w:val="nil"/>
            </w:tcBorders>
            <w:vAlign w:val="center"/>
          </w:tcPr>
          <w:p w14:paraId="28DFEB2D" w14:textId="77777777" w:rsidR="00C11F37" w:rsidRPr="003F052A" w:rsidRDefault="00C11F37" w:rsidP="003F052A">
            <w:pPr>
              <w:suppressLineNumbers/>
              <w:suppressAutoHyphens/>
              <w:spacing w:before="60" w:after="120"/>
              <w:jc w:val="center"/>
              <w:rPr>
                <w:bCs/>
                <w:kern w:val="22"/>
                <w:szCs w:val="22"/>
              </w:rPr>
            </w:pPr>
            <w:r w:rsidRPr="003F052A">
              <w:rPr>
                <w:rFonts w:eastAsia="MS Mincho"/>
                <w:b/>
                <w:iCs/>
                <w:kern w:val="22"/>
                <w:szCs w:val="22"/>
              </w:rPr>
              <w:t>Indicators</w:t>
            </w:r>
          </w:p>
        </w:tc>
        <w:tc>
          <w:tcPr>
            <w:tcW w:w="2286" w:type="dxa"/>
            <w:tcBorders>
              <w:bottom w:val="nil"/>
            </w:tcBorders>
            <w:vAlign w:val="center"/>
          </w:tcPr>
          <w:p w14:paraId="314DD492" w14:textId="77777777" w:rsidR="00C11F37" w:rsidRPr="003F052A" w:rsidRDefault="00C11F37" w:rsidP="003F052A">
            <w:pPr>
              <w:suppressLineNumbers/>
              <w:suppressAutoHyphens/>
              <w:spacing w:before="60" w:after="120"/>
              <w:jc w:val="center"/>
              <w:rPr>
                <w:bCs/>
                <w:kern w:val="22"/>
                <w:szCs w:val="22"/>
              </w:rPr>
            </w:pPr>
            <w:r w:rsidRPr="003F052A">
              <w:rPr>
                <w:rFonts w:eastAsia="MS Mincho"/>
                <w:b/>
                <w:bCs/>
                <w:kern w:val="22"/>
                <w:szCs w:val="22"/>
              </w:rPr>
              <w:t>Outcomes</w:t>
            </w:r>
          </w:p>
        </w:tc>
      </w:tr>
      <w:tr w:rsidR="00C11F37" w:rsidRPr="003F052A" w14:paraId="3E51385B" w14:textId="77777777" w:rsidTr="00E00FF6">
        <w:trPr>
          <w:trHeight w:val="444"/>
        </w:trPr>
        <w:tc>
          <w:tcPr>
            <w:tcW w:w="1844" w:type="dxa"/>
            <w:tcBorders>
              <w:top w:val="nil"/>
            </w:tcBorders>
          </w:tcPr>
          <w:p w14:paraId="7546F812" w14:textId="77777777" w:rsidR="00C11F37" w:rsidRPr="003F052A" w:rsidRDefault="00C11F37" w:rsidP="003F052A">
            <w:pPr>
              <w:suppressLineNumbers/>
              <w:suppressAutoHyphens/>
              <w:spacing w:before="60" w:after="120"/>
              <w:jc w:val="center"/>
              <w:rPr>
                <w:bCs/>
                <w:kern w:val="22"/>
                <w:szCs w:val="22"/>
              </w:rPr>
            </w:pPr>
            <w:r w:rsidRPr="003F052A">
              <w:rPr>
                <w:rFonts w:eastAsia="MS Mincho"/>
                <w:i/>
                <w:iCs/>
                <w:kern w:val="22"/>
                <w:szCs w:val="22"/>
              </w:rPr>
              <w:t>(Desirable achievements)</w:t>
            </w:r>
          </w:p>
        </w:tc>
        <w:tc>
          <w:tcPr>
            <w:tcW w:w="3118" w:type="dxa"/>
            <w:tcBorders>
              <w:top w:val="nil"/>
            </w:tcBorders>
          </w:tcPr>
          <w:p w14:paraId="3EA7D1DC" w14:textId="77777777" w:rsidR="00C11F37" w:rsidRPr="003F052A" w:rsidRDefault="00C11F37" w:rsidP="00E00FF6">
            <w:pPr>
              <w:keepNext/>
              <w:suppressLineNumbers/>
              <w:suppressAutoHyphens/>
              <w:spacing w:before="60" w:after="120"/>
              <w:jc w:val="center"/>
              <w:rPr>
                <w:bCs/>
                <w:kern w:val="22"/>
                <w:szCs w:val="22"/>
              </w:rPr>
            </w:pPr>
            <w:r w:rsidRPr="003F052A">
              <w:rPr>
                <w:i/>
                <w:iCs/>
                <w:kern w:val="22"/>
                <w:szCs w:val="22"/>
              </w:rPr>
              <w:t>(What must be accomplished to achieve the goal)</w:t>
            </w:r>
          </w:p>
        </w:tc>
        <w:tc>
          <w:tcPr>
            <w:tcW w:w="3809" w:type="dxa"/>
            <w:tcBorders>
              <w:top w:val="nil"/>
            </w:tcBorders>
          </w:tcPr>
          <w:p w14:paraId="472AC08F" w14:textId="77777777" w:rsidR="00C11F37" w:rsidRPr="003F052A" w:rsidRDefault="00C11F37" w:rsidP="003F052A">
            <w:pPr>
              <w:suppressLineNumbers/>
              <w:suppressAutoHyphens/>
              <w:spacing w:before="60" w:after="120"/>
              <w:jc w:val="center"/>
              <w:rPr>
                <w:bCs/>
                <w:kern w:val="22"/>
                <w:szCs w:val="22"/>
              </w:rPr>
            </w:pPr>
            <w:r w:rsidRPr="003F052A">
              <w:rPr>
                <w:rFonts w:eastAsia="MS Mincho"/>
                <w:i/>
                <w:iCs/>
                <w:kern w:val="22"/>
                <w:szCs w:val="22"/>
              </w:rPr>
              <w:t>(Measuring progress towards objectives)</w:t>
            </w:r>
          </w:p>
        </w:tc>
        <w:tc>
          <w:tcPr>
            <w:tcW w:w="2286" w:type="dxa"/>
            <w:tcBorders>
              <w:top w:val="nil"/>
            </w:tcBorders>
          </w:tcPr>
          <w:p w14:paraId="4E2A0D68" w14:textId="77777777" w:rsidR="00C11F37" w:rsidRPr="003F052A" w:rsidRDefault="00C11F37" w:rsidP="003F052A">
            <w:pPr>
              <w:suppressLineNumbers/>
              <w:suppressAutoHyphens/>
              <w:spacing w:before="60" w:after="120"/>
              <w:jc w:val="center"/>
              <w:rPr>
                <w:bCs/>
                <w:kern w:val="22"/>
                <w:szCs w:val="22"/>
              </w:rPr>
            </w:pPr>
            <w:r w:rsidRPr="003F052A">
              <w:rPr>
                <w:rFonts w:eastAsia="MS Mincho"/>
                <w:i/>
                <w:iCs/>
                <w:kern w:val="22"/>
                <w:szCs w:val="22"/>
              </w:rPr>
              <w:t>(The effect of achieving the goal)</w:t>
            </w:r>
          </w:p>
        </w:tc>
      </w:tr>
      <w:tr w:rsidR="00C11F37" w:rsidRPr="003F052A" w14:paraId="0DEEB1C2" w14:textId="77777777" w:rsidTr="00017233">
        <w:tc>
          <w:tcPr>
            <w:tcW w:w="11057" w:type="dxa"/>
            <w:gridSpan w:val="4"/>
          </w:tcPr>
          <w:p w14:paraId="4CEBD246" w14:textId="54A4F38D" w:rsidR="00C11F37" w:rsidRPr="00A97D83" w:rsidRDefault="00C11F37" w:rsidP="00E00FF6">
            <w:pPr>
              <w:keepNext/>
              <w:suppressLineNumbers/>
              <w:suppressAutoHyphens/>
              <w:spacing w:before="60" w:after="120"/>
              <w:jc w:val="center"/>
              <w:rPr>
                <w:bCs/>
                <w:kern w:val="22"/>
                <w:szCs w:val="22"/>
              </w:rPr>
            </w:pPr>
            <w:r w:rsidRPr="00A97D83">
              <w:rPr>
                <w:rFonts w:eastAsia="MS Mincho"/>
                <w:b/>
                <w:bCs/>
                <w:kern w:val="22"/>
                <w:szCs w:val="22"/>
              </w:rPr>
              <w:t>A.</w:t>
            </w:r>
            <w:r w:rsidR="00782A81" w:rsidRPr="00A97D83">
              <w:rPr>
                <w:rFonts w:eastAsia="MS Mincho"/>
                <w:b/>
                <w:bCs/>
                <w:kern w:val="22"/>
                <w:szCs w:val="22"/>
              </w:rPr>
              <w:tab/>
            </w:r>
            <w:r w:rsidRPr="00A97D83">
              <w:rPr>
                <w:rFonts w:eastAsia="MS Mincho"/>
                <w:b/>
                <w:bCs/>
                <w:kern w:val="22"/>
                <w:szCs w:val="22"/>
              </w:rPr>
              <w:t>Areas for implementation</w:t>
            </w:r>
          </w:p>
        </w:tc>
      </w:tr>
      <w:tr w:rsidR="00C11F37" w:rsidRPr="003F052A" w14:paraId="419D241B" w14:textId="77777777" w:rsidTr="00E00FF6">
        <w:tc>
          <w:tcPr>
            <w:tcW w:w="1844" w:type="dxa"/>
          </w:tcPr>
          <w:p w14:paraId="1926094A" w14:textId="77777777" w:rsidR="00C11F37" w:rsidRPr="003F052A" w:rsidRDefault="00C11F37" w:rsidP="003F052A">
            <w:pPr>
              <w:suppressLineNumbers/>
              <w:suppressAutoHyphens/>
              <w:spacing w:before="60" w:after="120"/>
              <w:jc w:val="left"/>
              <w:rPr>
                <w:bCs/>
                <w:kern w:val="22"/>
                <w:szCs w:val="22"/>
              </w:rPr>
            </w:pPr>
            <w:r w:rsidRPr="003F052A">
              <w:rPr>
                <w:rFonts w:eastAsia="MS Mincho"/>
                <w:b/>
                <w:bCs/>
                <w:kern w:val="22"/>
                <w:szCs w:val="22"/>
              </w:rPr>
              <w:t>A.1. Parties have in place functional national biosafety frameworks</w:t>
            </w:r>
          </w:p>
        </w:tc>
        <w:tc>
          <w:tcPr>
            <w:tcW w:w="3118" w:type="dxa"/>
          </w:tcPr>
          <w:p w14:paraId="633F1CFE"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A.1.1. Parties have adopted and implemented legal, administrative and other measures to fulfil their obligations under the </w:t>
            </w:r>
            <w:proofErr w:type="gramStart"/>
            <w:r w:rsidRPr="003F052A">
              <w:rPr>
                <w:rFonts w:eastAsia="MS Mincho"/>
                <w:kern w:val="22"/>
                <w:szCs w:val="22"/>
              </w:rPr>
              <w:t>Protocol;</w:t>
            </w:r>
            <w:proofErr w:type="gramEnd"/>
          </w:p>
          <w:p w14:paraId="0748368F" w14:textId="57204AFA" w:rsidR="00C11F37" w:rsidRPr="003F052A" w:rsidRDefault="00C11F37" w:rsidP="003F052A">
            <w:pPr>
              <w:suppressLineNumbers/>
              <w:suppressAutoHyphens/>
              <w:spacing w:before="60" w:after="60"/>
              <w:jc w:val="left"/>
              <w:rPr>
                <w:rFonts w:eastAsia="MS Mincho"/>
                <w:kern w:val="22"/>
                <w:szCs w:val="22"/>
              </w:rPr>
            </w:pPr>
            <w:r w:rsidRPr="00BC580C">
              <w:rPr>
                <w:rFonts w:eastAsia="MS Mincho"/>
                <w:kern w:val="22"/>
                <w:szCs w:val="22"/>
              </w:rPr>
              <w:t>A.1.2. Parties have designated competent national authorities and national focal points for the Protocol and emergency measures (Art</w:t>
            </w:r>
            <w:r w:rsidR="006D3B12" w:rsidRPr="00BC580C">
              <w:rPr>
                <w:rFonts w:eastAsia="MS Mincho"/>
                <w:kern w:val="22"/>
                <w:szCs w:val="22"/>
              </w:rPr>
              <w:t>icle </w:t>
            </w:r>
            <w:r w:rsidRPr="00BC580C">
              <w:rPr>
                <w:rFonts w:eastAsia="MS Mincho"/>
                <w:kern w:val="22"/>
                <w:szCs w:val="22"/>
              </w:rPr>
              <w:t xml:space="preserve">17) contact </w:t>
            </w:r>
            <w:proofErr w:type="gramStart"/>
            <w:r w:rsidRPr="00BC580C">
              <w:rPr>
                <w:rFonts w:eastAsia="MS Mincho"/>
                <w:kern w:val="22"/>
                <w:szCs w:val="22"/>
              </w:rPr>
              <w:t>point</w:t>
            </w:r>
            <w:r w:rsidR="00BC580C" w:rsidRPr="00E00FF6">
              <w:rPr>
                <w:rFonts w:eastAsia="MS Mincho"/>
                <w:kern w:val="22"/>
                <w:szCs w:val="22"/>
              </w:rPr>
              <w:t>s</w:t>
            </w:r>
            <w:r w:rsidRPr="00BC580C">
              <w:rPr>
                <w:rFonts w:eastAsia="MS Mincho"/>
                <w:kern w:val="22"/>
                <w:szCs w:val="22"/>
              </w:rPr>
              <w:t>;</w:t>
            </w:r>
            <w:proofErr w:type="gramEnd"/>
          </w:p>
          <w:p w14:paraId="7861D035" w14:textId="77777777" w:rsidR="00C11F37" w:rsidRPr="003F052A" w:rsidRDefault="00C11F37" w:rsidP="003F052A">
            <w:pPr>
              <w:suppressLineNumbers/>
              <w:suppressAutoHyphens/>
              <w:spacing w:before="60" w:after="120"/>
              <w:jc w:val="left"/>
              <w:rPr>
                <w:bCs/>
                <w:kern w:val="22"/>
                <w:szCs w:val="22"/>
              </w:rPr>
            </w:pPr>
            <w:r w:rsidRPr="003F052A">
              <w:rPr>
                <w:rFonts w:eastAsia="MS Mincho"/>
                <w:spacing w:val="-2"/>
                <w:kern w:val="22"/>
                <w:szCs w:val="22"/>
              </w:rPr>
              <w:t>A.1.3. Competent national authorities have adequately trained staff to carry out their tasks.</w:t>
            </w:r>
          </w:p>
        </w:tc>
        <w:tc>
          <w:tcPr>
            <w:tcW w:w="3809" w:type="dxa"/>
          </w:tcPr>
          <w:p w14:paraId="5B7D6D4D" w14:textId="77777777" w:rsidR="00C11F37" w:rsidRPr="00A97D83" w:rsidRDefault="00C11F37" w:rsidP="003F052A">
            <w:pPr>
              <w:suppressLineNumbers/>
              <w:suppressAutoHyphens/>
              <w:spacing w:before="60" w:after="60"/>
              <w:jc w:val="left"/>
              <w:rPr>
                <w:rFonts w:eastAsia="MS Mincho"/>
                <w:kern w:val="22"/>
                <w:szCs w:val="22"/>
              </w:rPr>
            </w:pPr>
            <w:r w:rsidRPr="00A97D83">
              <w:rPr>
                <w:rFonts w:eastAsia="MS Mincho"/>
                <w:kern w:val="22"/>
                <w:szCs w:val="22"/>
              </w:rPr>
              <w:t xml:space="preserve">(a) Percentage of Parties that have measures in place to implement the provisions of the </w:t>
            </w:r>
            <w:proofErr w:type="gramStart"/>
            <w:r w:rsidRPr="00A97D83">
              <w:rPr>
                <w:rFonts w:eastAsia="MS Mincho"/>
                <w:kern w:val="22"/>
                <w:szCs w:val="22"/>
              </w:rPr>
              <w:t>Protocol;</w:t>
            </w:r>
            <w:proofErr w:type="gramEnd"/>
          </w:p>
          <w:p w14:paraId="75D6FA1C" w14:textId="0CE94219" w:rsidR="00C11F37" w:rsidRPr="00A97D83" w:rsidRDefault="00C11F37" w:rsidP="003F052A">
            <w:pPr>
              <w:suppressLineNumbers/>
              <w:suppressAutoHyphens/>
              <w:spacing w:before="60" w:after="60"/>
              <w:jc w:val="left"/>
              <w:rPr>
                <w:rFonts w:eastAsia="MS Mincho"/>
                <w:kern w:val="22"/>
                <w:szCs w:val="22"/>
              </w:rPr>
            </w:pPr>
            <w:r w:rsidRPr="00A97D83">
              <w:rPr>
                <w:rFonts w:eastAsia="MS Mincho"/>
                <w:kern w:val="22"/>
                <w:szCs w:val="22"/>
              </w:rPr>
              <w:t>(b) Percentage of Parties that have designated a national focal point, competent national authorities for the Protocol and an emergency measures (Art</w:t>
            </w:r>
            <w:r w:rsidR="006D3B12" w:rsidRPr="00A97D83">
              <w:rPr>
                <w:rFonts w:eastAsia="MS Mincho"/>
                <w:kern w:val="22"/>
                <w:szCs w:val="22"/>
              </w:rPr>
              <w:t>icle </w:t>
            </w:r>
            <w:r w:rsidRPr="00A97D83">
              <w:rPr>
                <w:rFonts w:eastAsia="MS Mincho"/>
                <w:kern w:val="22"/>
                <w:szCs w:val="22"/>
              </w:rPr>
              <w:t xml:space="preserve">17) contact point and have notified the Secretariat </w:t>
            </w:r>
            <w:proofErr w:type="gramStart"/>
            <w:r w:rsidRPr="00A97D83">
              <w:rPr>
                <w:rFonts w:eastAsia="MS Mincho"/>
                <w:kern w:val="22"/>
                <w:szCs w:val="22"/>
              </w:rPr>
              <w:t>accordingly;</w:t>
            </w:r>
            <w:proofErr w:type="gramEnd"/>
          </w:p>
          <w:p w14:paraId="53460DE4" w14:textId="67A7AA5D" w:rsidR="00C11F37" w:rsidRPr="00A97D83" w:rsidRDefault="00C11F37" w:rsidP="003F052A">
            <w:pPr>
              <w:suppressLineNumbers/>
              <w:suppressAutoHyphens/>
              <w:spacing w:before="60" w:after="120"/>
              <w:jc w:val="left"/>
              <w:rPr>
                <w:bCs/>
                <w:kern w:val="22"/>
                <w:szCs w:val="22"/>
              </w:rPr>
            </w:pPr>
            <w:r w:rsidRPr="00A97D83">
              <w:rPr>
                <w:rFonts w:eastAsia="MS Mincho"/>
                <w:kern w:val="22"/>
                <w:szCs w:val="22"/>
              </w:rPr>
              <w:t>(c) Percentage of Parties that have qualified staff to operationalize their national biosafety frameworks.</w:t>
            </w:r>
          </w:p>
        </w:tc>
        <w:tc>
          <w:tcPr>
            <w:tcW w:w="2286" w:type="dxa"/>
          </w:tcPr>
          <w:p w14:paraId="418FB846" w14:textId="6B99746C"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Functional national biosafety frameworks enable competent authorities, national focal </w:t>
            </w:r>
            <w:proofErr w:type="gramStart"/>
            <w:r w:rsidRPr="003F052A">
              <w:rPr>
                <w:rFonts w:eastAsia="MS Mincho"/>
                <w:kern w:val="22"/>
                <w:szCs w:val="22"/>
              </w:rPr>
              <w:t>points</w:t>
            </w:r>
            <w:proofErr w:type="gramEnd"/>
            <w:r w:rsidRPr="003F052A">
              <w:rPr>
                <w:rFonts w:eastAsia="MS Mincho"/>
                <w:kern w:val="22"/>
                <w:szCs w:val="22"/>
              </w:rPr>
              <w:t xml:space="preserve"> and Article</w:t>
            </w:r>
            <w:r w:rsidR="004F0189" w:rsidRPr="003F052A">
              <w:rPr>
                <w:rFonts w:eastAsia="MS Mincho"/>
                <w:kern w:val="22"/>
                <w:szCs w:val="22"/>
              </w:rPr>
              <w:t> </w:t>
            </w:r>
            <w:r w:rsidRPr="003F052A">
              <w:rPr>
                <w:rFonts w:eastAsia="MS Mincho"/>
                <w:kern w:val="22"/>
                <w:szCs w:val="22"/>
              </w:rPr>
              <w:t xml:space="preserve">17 contact points of all Parties to effectively and efficiently fulfil their obligations under the Protocol </w:t>
            </w:r>
          </w:p>
        </w:tc>
      </w:tr>
      <w:tr w:rsidR="00C11F37" w:rsidRPr="003F052A" w14:paraId="05B85E89" w14:textId="77777777" w:rsidTr="00E00FF6">
        <w:tc>
          <w:tcPr>
            <w:tcW w:w="1844" w:type="dxa"/>
          </w:tcPr>
          <w:p w14:paraId="447EEF02" w14:textId="2E71079F" w:rsidR="00C11F37" w:rsidRPr="002A3C9E" w:rsidRDefault="00C11F37" w:rsidP="003F052A">
            <w:pPr>
              <w:suppressLineNumbers/>
              <w:suppressAutoHyphens/>
              <w:spacing w:before="60" w:after="120"/>
              <w:jc w:val="left"/>
              <w:rPr>
                <w:bCs/>
                <w:kern w:val="22"/>
                <w:szCs w:val="22"/>
              </w:rPr>
            </w:pPr>
            <w:r w:rsidRPr="002A3C9E">
              <w:rPr>
                <w:rFonts w:eastAsia="MS Mincho"/>
                <w:b/>
                <w:kern w:val="22"/>
                <w:szCs w:val="22"/>
              </w:rPr>
              <w:t xml:space="preserve">A.2. Parties have improved the availability and exchange of relevant information through the </w:t>
            </w:r>
            <w:r w:rsidR="002A3C9E" w:rsidRPr="00005D2B">
              <w:rPr>
                <w:rFonts w:eastAsia="MS Mincho"/>
                <w:b/>
                <w:kern w:val="22"/>
                <w:szCs w:val="22"/>
              </w:rPr>
              <w:t>Biosafety Clearing-House (</w:t>
            </w:r>
            <w:r w:rsidRPr="002A3C9E">
              <w:rPr>
                <w:rFonts w:eastAsia="MS Mincho"/>
                <w:b/>
                <w:kern w:val="22"/>
                <w:szCs w:val="22"/>
              </w:rPr>
              <w:t>BCH</w:t>
            </w:r>
            <w:r w:rsidR="002A3C9E" w:rsidRPr="002A3C9E">
              <w:rPr>
                <w:rFonts w:eastAsia="MS Mincho"/>
                <w:b/>
                <w:kern w:val="22"/>
                <w:szCs w:val="22"/>
              </w:rPr>
              <w:t>)</w:t>
            </w:r>
          </w:p>
        </w:tc>
        <w:tc>
          <w:tcPr>
            <w:tcW w:w="3118" w:type="dxa"/>
          </w:tcPr>
          <w:p w14:paraId="54A3F957" w14:textId="77777777" w:rsidR="00C11F37" w:rsidRPr="002A3C9E" w:rsidRDefault="00C11F37" w:rsidP="003F052A">
            <w:pPr>
              <w:suppressLineNumbers/>
              <w:suppressAutoHyphens/>
              <w:spacing w:before="60" w:after="60"/>
              <w:jc w:val="left"/>
              <w:rPr>
                <w:rFonts w:eastAsia="MS Mincho"/>
                <w:kern w:val="22"/>
                <w:szCs w:val="22"/>
              </w:rPr>
            </w:pPr>
            <w:r w:rsidRPr="002A3C9E">
              <w:rPr>
                <w:rFonts w:eastAsia="MS Mincho"/>
                <w:kern w:val="22"/>
                <w:szCs w:val="22"/>
              </w:rPr>
              <w:t xml:space="preserve">A.2.1. Parties provide accurate and complete mandatory information in the BCH in accordance with their obligations under the </w:t>
            </w:r>
            <w:proofErr w:type="gramStart"/>
            <w:r w:rsidRPr="002A3C9E">
              <w:rPr>
                <w:rFonts w:eastAsia="MS Mincho"/>
                <w:kern w:val="22"/>
                <w:szCs w:val="22"/>
              </w:rPr>
              <w:t>Protocol;</w:t>
            </w:r>
            <w:proofErr w:type="gramEnd"/>
          </w:p>
          <w:p w14:paraId="31A161BD" w14:textId="77777777" w:rsidR="00C11F37" w:rsidRPr="002A3C9E" w:rsidRDefault="00C11F37" w:rsidP="003F052A">
            <w:pPr>
              <w:suppressLineNumbers/>
              <w:suppressAutoHyphens/>
              <w:spacing w:before="60" w:after="120"/>
              <w:jc w:val="left"/>
              <w:rPr>
                <w:bCs/>
                <w:kern w:val="22"/>
                <w:szCs w:val="22"/>
              </w:rPr>
            </w:pPr>
            <w:r w:rsidRPr="002A3C9E">
              <w:rPr>
                <w:rFonts w:eastAsia="MS Mincho"/>
                <w:szCs w:val="22"/>
              </w:rPr>
              <w:t xml:space="preserve">A.2.2. Parties publish any non-mandatory biosafety-related information through the </w:t>
            </w:r>
            <w:r w:rsidRPr="002A3C9E" w:rsidDel="00AA5C88">
              <w:rPr>
                <w:rFonts w:eastAsia="MS Mincho"/>
                <w:kern w:val="22"/>
                <w:szCs w:val="22"/>
              </w:rPr>
              <w:t>BCH</w:t>
            </w:r>
            <w:r w:rsidRPr="002A3C9E">
              <w:rPr>
                <w:rFonts w:eastAsia="MS Mincho"/>
                <w:kern w:val="22"/>
                <w:szCs w:val="22"/>
              </w:rPr>
              <w:t>.</w:t>
            </w:r>
          </w:p>
        </w:tc>
        <w:tc>
          <w:tcPr>
            <w:tcW w:w="3809" w:type="dxa"/>
          </w:tcPr>
          <w:p w14:paraId="172F4F0D" w14:textId="77777777" w:rsidR="00C11F37" w:rsidRPr="00C11A8C" w:rsidRDefault="00C11F37" w:rsidP="003F052A">
            <w:pPr>
              <w:suppressLineNumbers/>
              <w:suppressAutoHyphens/>
              <w:spacing w:before="60" w:after="60"/>
              <w:jc w:val="left"/>
              <w:rPr>
                <w:rFonts w:eastAsia="MS Mincho"/>
                <w:kern w:val="22"/>
                <w:szCs w:val="22"/>
              </w:rPr>
            </w:pPr>
            <w:r w:rsidRPr="00C11A8C">
              <w:rPr>
                <w:rFonts w:eastAsia="MS Mincho"/>
                <w:kern w:val="22"/>
                <w:szCs w:val="22"/>
              </w:rPr>
              <w:t xml:space="preserve">(a) Percentage of Parties making mandatory information available to the </w:t>
            </w:r>
            <w:proofErr w:type="gramStart"/>
            <w:r w:rsidRPr="00C11A8C">
              <w:rPr>
                <w:rFonts w:eastAsia="MS Mincho"/>
                <w:kern w:val="22"/>
                <w:szCs w:val="22"/>
              </w:rPr>
              <w:t>BCH;</w:t>
            </w:r>
            <w:proofErr w:type="gramEnd"/>
          </w:p>
          <w:p w14:paraId="0CF872D4" w14:textId="3A28EEEA" w:rsidR="00C11F37" w:rsidRPr="00C11A8C" w:rsidRDefault="00C11F37" w:rsidP="003F052A">
            <w:pPr>
              <w:suppressLineNumbers/>
              <w:suppressAutoHyphens/>
              <w:spacing w:before="60" w:after="60"/>
              <w:jc w:val="left"/>
              <w:rPr>
                <w:rFonts w:eastAsia="MS Mincho"/>
                <w:kern w:val="22"/>
                <w:szCs w:val="22"/>
              </w:rPr>
            </w:pPr>
            <w:r w:rsidRPr="00C11A8C">
              <w:rPr>
                <w:rFonts w:eastAsia="MS Mincho"/>
                <w:szCs w:val="22"/>
              </w:rPr>
              <w:t>(b) Percentage of Parties that publish any non-mandatory</w:t>
            </w:r>
            <w:r w:rsidRPr="00C11A8C" w:rsidDel="006200B2">
              <w:rPr>
                <w:rFonts w:eastAsia="MS Mincho"/>
                <w:kern w:val="22"/>
                <w:szCs w:val="22"/>
              </w:rPr>
              <w:t xml:space="preserve"> biosafety-related information through the </w:t>
            </w:r>
            <w:proofErr w:type="gramStart"/>
            <w:r w:rsidRPr="00C11A8C" w:rsidDel="006200B2">
              <w:rPr>
                <w:rFonts w:eastAsia="MS Mincho"/>
                <w:kern w:val="22"/>
                <w:szCs w:val="22"/>
              </w:rPr>
              <w:t>BC</w:t>
            </w:r>
            <w:r w:rsidRPr="00C11A8C">
              <w:rPr>
                <w:rFonts w:eastAsia="MS Mincho"/>
                <w:kern w:val="22"/>
                <w:szCs w:val="22"/>
              </w:rPr>
              <w:t>H;</w:t>
            </w:r>
            <w:proofErr w:type="gramEnd"/>
          </w:p>
          <w:p w14:paraId="3259DEF9" w14:textId="28AC3613" w:rsidR="00C11F37" w:rsidRPr="00C11A8C" w:rsidRDefault="00C11F37" w:rsidP="003F052A">
            <w:pPr>
              <w:suppressLineNumbers/>
              <w:suppressAutoHyphens/>
              <w:spacing w:before="60" w:after="60"/>
              <w:jc w:val="left"/>
              <w:rPr>
                <w:rFonts w:eastAsia="MS Mincho"/>
                <w:szCs w:val="22"/>
              </w:rPr>
            </w:pPr>
            <w:r w:rsidRPr="00C11A8C">
              <w:rPr>
                <w:rFonts w:eastAsia="MS Mincho"/>
                <w:kern w:val="22"/>
                <w:szCs w:val="22"/>
              </w:rPr>
              <w:t xml:space="preserve">(c) Number of active users of and visits to the </w:t>
            </w:r>
            <w:proofErr w:type="gramStart"/>
            <w:r w:rsidRPr="00C11A8C">
              <w:rPr>
                <w:rFonts w:eastAsia="MS Mincho"/>
                <w:kern w:val="22"/>
                <w:szCs w:val="22"/>
              </w:rPr>
              <w:t>BCH;</w:t>
            </w:r>
            <w:proofErr w:type="gramEnd"/>
          </w:p>
          <w:p w14:paraId="3CCBB386" w14:textId="77777777" w:rsidR="00C11F37" w:rsidRPr="00C11A8C" w:rsidRDefault="00C11F37" w:rsidP="003F052A">
            <w:pPr>
              <w:suppressLineNumbers/>
              <w:suppressAutoHyphens/>
              <w:spacing w:before="60" w:after="120"/>
              <w:jc w:val="left"/>
              <w:rPr>
                <w:bCs/>
                <w:kern w:val="22"/>
                <w:szCs w:val="22"/>
              </w:rPr>
            </w:pPr>
            <w:r w:rsidRPr="00C11A8C">
              <w:rPr>
                <w:rFonts w:eastAsia="MS Mincho"/>
                <w:szCs w:val="22"/>
              </w:rPr>
              <w:t>(d) Percentage of decisions in the BCH with associated reports on risk assessment.</w:t>
            </w:r>
          </w:p>
        </w:tc>
        <w:tc>
          <w:tcPr>
            <w:tcW w:w="2286" w:type="dxa"/>
          </w:tcPr>
          <w:p w14:paraId="6DB2F6F1" w14:textId="511D4A22" w:rsidR="00C11F37" w:rsidRPr="00C11A8C" w:rsidRDefault="00C11F37" w:rsidP="003F052A">
            <w:pPr>
              <w:suppressLineNumbers/>
              <w:suppressAutoHyphens/>
              <w:spacing w:before="60" w:after="120"/>
              <w:jc w:val="left"/>
              <w:rPr>
                <w:bCs/>
                <w:kern w:val="22"/>
                <w:szCs w:val="22"/>
              </w:rPr>
            </w:pPr>
            <w:r w:rsidRPr="00C11A8C">
              <w:rPr>
                <w:rFonts w:eastAsia="MS Mincho"/>
                <w:kern w:val="22"/>
                <w:szCs w:val="22"/>
              </w:rPr>
              <w:t>BCH facilitates the availability and exchange of biosafety-related information and enables Parties to take informed decisions</w:t>
            </w:r>
          </w:p>
        </w:tc>
      </w:tr>
      <w:tr w:rsidR="00C11F37" w:rsidRPr="003F052A" w14:paraId="7D7274C2" w14:textId="77777777" w:rsidTr="00E00FF6">
        <w:tc>
          <w:tcPr>
            <w:tcW w:w="1844" w:type="dxa"/>
          </w:tcPr>
          <w:p w14:paraId="0D0F5F4D" w14:textId="5C33625C"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A.3.</w:t>
            </w:r>
            <w:r w:rsidR="002424B3" w:rsidRPr="003F052A">
              <w:rPr>
                <w:rFonts w:eastAsia="MS Mincho"/>
                <w:b/>
                <w:kern w:val="22"/>
                <w:szCs w:val="22"/>
              </w:rPr>
              <w:t xml:space="preserve"> </w:t>
            </w:r>
            <w:r w:rsidRPr="003F052A">
              <w:rPr>
                <w:rFonts w:eastAsia="MS Mincho"/>
                <w:b/>
                <w:kern w:val="22"/>
                <w:szCs w:val="22"/>
              </w:rPr>
              <w:t>Full information on the implementation of the Protocol is made available by Parties in a timely manner</w:t>
            </w:r>
          </w:p>
        </w:tc>
        <w:tc>
          <w:tcPr>
            <w:tcW w:w="3118" w:type="dxa"/>
          </w:tcPr>
          <w:p w14:paraId="21C7C2EC"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A.3.1. Parties submit complete national reports within the established deadline.</w:t>
            </w:r>
          </w:p>
        </w:tc>
        <w:tc>
          <w:tcPr>
            <w:tcW w:w="3809" w:type="dxa"/>
          </w:tcPr>
          <w:p w14:paraId="078DA92F"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that have submitted a complete national report within the established </w:t>
            </w:r>
            <w:proofErr w:type="gramStart"/>
            <w:r w:rsidRPr="003F052A">
              <w:rPr>
                <w:rFonts w:eastAsia="MS Mincho"/>
                <w:kern w:val="22"/>
                <w:szCs w:val="22"/>
              </w:rPr>
              <w:t>deadline;</w:t>
            </w:r>
            <w:proofErr w:type="gramEnd"/>
          </w:p>
          <w:p w14:paraId="60A0348F" w14:textId="79144E0A" w:rsidR="00C11F37" w:rsidRPr="003F052A" w:rsidRDefault="00C11F37" w:rsidP="003F052A">
            <w:pPr>
              <w:suppressLineNumbers/>
              <w:suppressAutoHyphens/>
              <w:spacing w:before="60" w:after="120"/>
              <w:jc w:val="left"/>
              <w:rPr>
                <w:bCs/>
                <w:kern w:val="22"/>
                <w:szCs w:val="22"/>
              </w:rPr>
            </w:pPr>
            <w:r w:rsidRPr="003F052A" w:rsidDel="00FB7A5F">
              <w:rPr>
                <w:rFonts w:eastAsia="MS Mincho"/>
                <w:kern w:val="22"/>
                <w:szCs w:val="22"/>
              </w:rPr>
              <w:t xml:space="preserve">(b) Percentage of eligible Parties that have accessed </w:t>
            </w:r>
            <w:r w:rsidR="00C44FC4">
              <w:rPr>
                <w:rFonts w:eastAsia="MS Mincho"/>
                <w:kern w:val="22"/>
                <w:szCs w:val="22"/>
              </w:rPr>
              <w:t>Global Environment Facility</w:t>
            </w:r>
            <w:r w:rsidRPr="003F052A" w:rsidDel="00FB7A5F">
              <w:rPr>
                <w:rFonts w:eastAsia="MS Mincho"/>
                <w:kern w:val="22"/>
                <w:szCs w:val="22"/>
              </w:rPr>
              <w:t xml:space="preserve"> funding for the preparation of their national report in a timely manner.</w:t>
            </w:r>
          </w:p>
        </w:tc>
        <w:tc>
          <w:tcPr>
            <w:tcW w:w="2286" w:type="dxa"/>
          </w:tcPr>
          <w:p w14:paraId="7D0D2C89"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Accurate and timely information on the implementation of the Protocol enables the Conference of the Parties serving as the meeting of the Parties to the Protocol to set priorities and identify where support is needed</w:t>
            </w:r>
          </w:p>
        </w:tc>
      </w:tr>
      <w:tr w:rsidR="00C11F37" w:rsidRPr="003F052A" w14:paraId="1B86FB5A" w14:textId="77777777" w:rsidTr="00E00FF6">
        <w:tc>
          <w:tcPr>
            <w:tcW w:w="1844" w:type="dxa"/>
          </w:tcPr>
          <w:p w14:paraId="2AF63362" w14:textId="77777777" w:rsidR="00C11F37" w:rsidRPr="003F052A" w:rsidRDefault="00C11F37" w:rsidP="003F052A">
            <w:pPr>
              <w:suppressLineNumbers/>
              <w:suppressAutoHyphens/>
              <w:spacing w:before="60" w:after="120"/>
              <w:jc w:val="left"/>
              <w:rPr>
                <w:rFonts w:eastAsia="MS Mincho"/>
                <w:b/>
                <w:kern w:val="22"/>
                <w:szCs w:val="22"/>
              </w:rPr>
            </w:pPr>
            <w:r w:rsidRPr="003F052A">
              <w:rPr>
                <w:rFonts w:eastAsia="MS Mincho"/>
                <w:b/>
                <w:bCs/>
                <w:kern w:val="22"/>
                <w:szCs w:val="22"/>
              </w:rPr>
              <w:t xml:space="preserve">A.4. Parties </w:t>
            </w:r>
            <w:proofErr w:type="gramStart"/>
            <w:r w:rsidRPr="003F052A">
              <w:rPr>
                <w:rFonts w:eastAsia="MS Mincho"/>
                <w:b/>
                <w:bCs/>
                <w:kern w:val="22"/>
                <w:szCs w:val="22"/>
              </w:rPr>
              <w:t>are in compliance with</w:t>
            </w:r>
            <w:proofErr w:type="gramEnd"/>
            <w:r w:rsidRPr="003F052A">
              <w:rPr>
                <w:rFonts w:eastAsia="MS Mincho"/>
                <w:b/>
                <w:bCs/>
                <w:kern w:val="22"/>
                <w:szCs w:val="22"/>
              </w:rPr>
              <w:t xml:space="preserve"> the requirements of the Protocol</w:t>
            </w:r>
          </w:p>
        </w:tc>
        <w:tc>
          <w:tcPr>
            <w:tcW w:w="3118" w:type="dxa"/>
          </w:tcPr>
          <w:p w14:paraId="421E08A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A.4.1. Parties comply with their obligations under the </w:t>
            </w:r>
            <w:proofErr w:type="gramStart"/>
            <w:r w:rsidRPr="003F052A">
              <w:rPr>
                <w:rFonts w:eastAsia="MS Mincho"/>
                <w:kern w:val="22"/>
                <w:szCs w:val="22"/>
              </w:rPr>
              <w:t>Protocol;</w:t>
            </w:r>
            <w:proofErr w:type="gramEnd"/>
          </w:p>
          <w:p w14:paraId="153E9E2D" w14:textId="77777777"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 xml:space="preserve">A.4.2. Parties resolve issues of non-compliance </w:t>
            </w:r>
            <w:r w:rsidRPr="003F052A" w:rsidDel="00CD55F8">
              <w:rPr>
                <w:rFonts w:eastAsia="MS Mincho"/>
                <w:kern w:val="22"/>
                <w:szCs w:val="22"/>
              </w:rPr>
              <w:t>identified by the Compliance Committee</w:t>
            </w:r>
            <w:r w:rsidRPr="003F052A">
              <w:rPr>
                <w:rFonts w:eastAsia="MS Mincho"/>
                <w:kern w:val="22"/>
                <w:szCs w:val="22"/>
              </w:rPr>
              <w:t>.</w:t>
            </w:r>
          </w:p>
        </w:tc>
        <w:tc>
          <w:tcPr>
            <w:tcW w:w="3809" w:type="dxa"/>
          </w:tcPr>
          <w:p w14:paraId="1E46DDF8"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that comply with their obligations under the </w:t>
            </w:r>
            <w:proofErr w:type="gramStart"/>
            <w:r w:rsidRPr="003F052A">
              <w:rPr>
                <w:rFonts w:eastAsia="MS Mincho"/>
                <w:kern w:val="22"/>
                <w:szCs w:val="22"/>
              </w:rPr>
              <w:t>Protocol;</w:t>
            </w:r>
            <w:proofErr w:type="gramEnd"/>
          </w:p>
          <w:p w14:paraId="1FBE40B9"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(b) Percentage of Parties that have resolved non-compliance issues identified by the Compliance Committee.</w:t>
            </w:r>
          </w:p>
        </w:tc>
        <w:tc>
          <w:tcPr>
            <w:tcW w:w="2286" w:type="dxa"/>
          </w:tcPr>
          <w:p w14:paraId="60C5B393" w14:textId="77777777"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 xml:space="preserve">Effective compliance </w:t>
            </w:r>
            <w:r w:rsidRPr="003F052A">
              <w:rPr>
                <w:rFonts w:eastAsia="MS Mincho"/>
                <w:szCs w:val="22"/>
              </w:rPr>
              <w:t>mechanism</w:t>
            </w:r>
            <w:r w:rsidRPr="003F052A" w:rsidDel="00F46A36">
              <w:rPr>
                <w:rFonts w:eastAsia="MS Mincho"/>
                <w:kern w:val="22"/>
                <w:szCs w:val="22"/>
              </w:rPr>
              <w:t xml:space="preserve"> </w:t>
            </w:r>
            <w:r w:rsidRPr="003F052A">
              <w:rPr>
                <w:rFonts w:eastAsia="MS Mincho"/>
                <w:kern w:val="22"/>
                <w:szCs w:val="22"/>
              </w:rPr>
              <w:t>facilitates implementation of the Protocol</w:t>
            </w:r>
          </w:p>
        </w:tc>
      </w:tr>
      <w:tr w:rsidR="00C11F37" w:rsidRPr="003F052A" w14:paraId="6B498861" w14:textId="77777777" w:rsidTr="00E00FF6">
        <w:tc>
          <w:tcPr>
            <w:tcW w:w="1844" w:type="dxa"/>
          </w:tcPr>
          <w:p w14:paraId="24656338" w14:textId="6957DA05" w:rsidR="00C11F37" w:rsidRPr="003F052A" w:rsidRDefault="00C11F37" w:rsidP="003F052A">
            <w:pPr>
              <w:suppressLineNumbers/>
              <w:suppressAutoHyphens/>
              <w:spacing w:before="60" w:after="120"/>
              <w:jc w:val="left"/>
              <w:rPr>
                <w:rFonts w:eastAsia="MS Mincho"/>
                <w:b/>
                <w:kern w:val="22"/>
                <w:szCs w:val="22"/>
              </w:rPr>
            </w:pPr>
            <w:r w:rsidRPr="003F052A">
              <w:rPr>
                <w:rFonts w:eastAsia="MS Mincho"/>
                <w:b/>
                <w:bCs/>
                <w:kern w:val="22"/>
                <w:szCs w:val="22"/>
              </w:rPr>
              <w:t xml:space="preserve">A.5. Parties carry out scientifically sound risk assessments of </w:t>
            </w:r>
            <w:r w:rsidR="002424B3">
              <w:rPr>
                <w:rFonts w:eastAsia="MS Mincho"/>
                <w:b/>
                <w:bCs/>
                <w:kern w:val="22"/>
                <w:szCs w:val="22"/>
              </w:rPr>
              <w:t>living modified organisms (</w:t>
            </w:r>
            <w:r w:rsidRPr="003F052A">
              <w:rPr>
                <w:rFonts w:eastAsia="MS Mincho"/>
                <w:b/>
                <w:bCs/>
                <w:kern w:val="22"/>
                <w:szCs w:val="22"/>
              </w:rPr>
              <w:t>LMOs</w:t>
            </w:r>
            <w:r w:rsidR="002424B3">
              <w:rPr>
                <w:rFonts w:eastAsia="MS Mincho"/>
                <w:b/>
                <w:bCs/>
                <w:kern w:val="22"/>
                <w:szCs w:val="22"/>
              </w:rPr>
              <w:t>)</w:t>
            </w:r>
            <w:r w:rsidRPr="003F052A">
              <w:rPr>
                <w:rFonts w:eastAsia="MS Mincho"/>
                <w:b/>
                <w:bCs/>
                <w:kern w:val="22"/>
                <w:szCs w:val="22"/>
              </w:rPr>
              <w:t>, and manage and control identified risks to prevent adverse effects of LMOs on the conservation and sustainable use of biological diversity, taking also into account risks to human health</w:t>
            </w:r>
          </w:p>
        </w:tc>
        <w:tc>
          <w:tcPr>
            <w:tcW w:w="3118" w:type="dxa"/>
          </w:tcPr>
          <w:p w14:paraId="609C25AC" w14:textId="1B02CAC0"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A.5.1. Parties apply scientifically sound and appropriate procedures for risk assessment and risk management of LMOs, in accordance with Annex III </w:t>
            </w:r>
            <w:r w:rsidR="0079020E">
              <w:rPr>
                <w:rFonts w:eastAsia="MS Mincho"/>
                <w:kern w:val="22"/>
                <w:szCs w:val="22"/>
              </w:rPr>
              <w:t>to</w:t>
            </w:r>
            <w:r w:rsidRPr="003F052A">
              <w:rPr>
                <w:rFonts w:eastAsia="MS Mincho"/>
                <w:kern w:val="22"/>
                <w:szCs w:val="22"/>
              </w:rPr>
              <w:t xml:space="preserve"> the </w:t>
            </w:r>
            <w:proofErr w:type="gramStart"/>
            <w:r w:rsidRPr="003F052A">
              <w:rPr>
                <w:rFonts w:eastAsia="MS Mincho"/>
                <w:kern w:val="22"/>
                <w:szCs w:val="22"/>
              </w:rPr>
              <w:t>Protocol;</w:t>
            </w:r>
            <w:proofErr w:type="gramEnd"/>
          </w:p>
          <w:p w14:paraId="615E1884" w14:textId="77777777"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A.5.2. Parties develop (as necessary), have access to and use appropriate resource materials for carrying out scientifically sound risk assessment and risk management.</w:t>
            </w:r>
          </w:p>
        </w:tc>
        <w:tc>
          <w:tcPr>
            <w:tcW w:w="3809" w:type="dxa"/>
          </w:tcPr>
          <w:p w14:paraId="71DF6268"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that undertake risk assessment for decision-making on LMOs, where required under the </w:t>
            </w:r>
            <w:proofErr w:type="gramStart"/>
            <w:r w:rsidRPr="003F052A">
              <w:rPr>
                <w:rFonts w:eastAsia="MS Mincho"/>
                <w:szCs w:val="22"/>
              </w:rPr>
              <w:t>Protocol;</w:t>
            </w:r>
            <w:proofErr w:type="gramEnd"/>
          </w:p>
          <w:p w14:paraId="21CF238C"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that have access to and use relevant risk assessment and risk management resource </w:t>
            </w:r>
            <w:proofErr w:type="gramStart"/>
            <w:r w:rsidRPr="003F052A">
              <w:rPr>
                <w:rFonts w:eastAsia="MS Mincho"/>
                <w:kern w:val="22"/>
                <w:szCs w:val="22"/>
              </w:rPr>
              <w:t>materials;</w:t>
            </w:r>
            <w:proofErr w:type="gramEnd"/>
          </w:p>
          <w:p w14:paraId="22937DC4" w14:textId="5528D7A1"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(c) Percentage of Parties carrying out risk assessments, considering other available scientific evidence, referred to in Article</w:t>
            </w:r>
            <w:r w:rsidR="002424B3">
              <w:rPr>
                <w:rFonts w:eastAsia="MS Mincho"/>
                <w:kern w:val="22"/>
                <w:szCs w:val="22"/>
              </w:rPr>
              <w:t> </w:t>
            </w:r>
            <w:proofErr w:type="gramStart"/>
            <w:r w:rsidRPr="003F052A">
              <w:rPr>
                <w:rFonts w:eastAsia="MS Mincho"/>
                <w:kern w:val="22"/>
                <w:szCs w:val="22"/>
              </w:rPr>
              <w:t>15</w:t>
            </w:r>
            <w:r w:rsidRPr="003F052A">
              <w:rPr>
                <w:rFonts w:eastAsia="MS Mincho"/>
                <w:szCs w:val="22"/>
              </w:rPr>
              <w:t>;</w:t>
            </w:r>
            <w:proofErr w:type="gramEnd"/>
            <w:r w:rsidRPr="003F052A">
              <w:rPr>
                <w:rFonts w:eastAsia="MS Mincho"/>
                <w:szCs w:val="22"/>
              </w:rPr>
              <w:t xml:space="preserve"> </w:t>
            </w:r>
          </w:p>
          <w:p w14:paraId="0F4C7BC2"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szCs w:val="22"/>
              </w:rPr>
              <w:t>(d) Percentage of Parties that have measures in place to identify LMOs or specific traits that may have adverse effects on the conservation and sustainable use of biological diversity and adopt risk mitigation measures.</w:t>
            </w:r>
          </w:p>
        </w:tc>
        <w:tc>
          <w:tcPr>
            <w:tcW w:w="2286" w:type="dxa"/>
          </w:tcPr>
          <w:p w14:paraId="043473C2" w14:textId="77777777"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 xml:space="preserve">Parties identify, </w:t>
            </w:r>
            <w:proofErr w:type="gramStart"/>
            <w:r w:rsidRPr="003F052A">
              <w:rPr>
                <w:rFonts w:eastAsia="MS Mincho"/>
                <w:kern w:val="22"/>
                <w:szCs w:val="22"/>
              </w:rPr>
              <w:t>assess</w:t>
            </w:r>
            <w:proofErr w:type="gramEnd"/>
            <w:r w:rsidRPr="003F052A">
              <w:rPr>
                <w:rFonts w:eastAsia="MS Mincho"/>
                <w:kern w:val="22"/>
                <w:szCs w:val="22"/>
              </w:rPr>
              <w:t xml:space="preserve"> and appropriately manage and control risks of LMOs to biodiversity, taking also into account risks to human health </w:t>
            </w:r>
          </w:p>
        </w:tc>
      </w:tr>
      <w:tr w:rsidR="00C11F37" w:rsidRPr="003F052A" w14:paraId="27036BB3" w14:textId="77777777" w:rsidTr="00E00FF6">
        <w:tc>
          <w:tcPr>
            <w:tcW w:w="1844" w:type="dxa"/>
          </w:tcPr>
          <w:p w14:paraId="7F01E633" w14:textId="77777777" w:rsidR="00C11F37" w:rsidRPr="003F052A" w:rsidRDefault="00C11F37" w:rsidP="003F052A">
            <w:pPr>
              <w:suppressLineNumbers/>
              <w:suppressAutoHyphens/>
              <w:spacing w:before="60" w:after="120"/>
              <w:jc w:val="left"/>
              <w:rPr>
                <w:rFonts w:eastAsia="MS Mincho"/>
                <w:b/>
                <w:kern w:val="22"/>
                <w:szCs w:val="22"/>
              </w:rPr>
            </w:pPr>
            <w:r w:rsidRPr="003F052A">
              <w:rPr>
                <w:rFonts w:eastAsia="MS Mincho"/>
                <w:b/>
                <w:kern w:val="22"/>
                <w:szCs w:val="22"/>
              </w:rPr>
              <w:t>A.6. Parties prevent and address illegal and unintentional transboundary movements of LMOs</w:t>
            </w:r>
          </w:p>
        </w:tc>
        <w:tc>
          <w:tcPr>
            <w:tcW w:w="3118" w:type="dxa"/>
          </w:tcPr>
          <w:p w14:paraId="06E92133" w14:textId="77777777"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A.6.1. Parties have adopted appropriate measures to prevent and address illegal and unintentional transboundary movements of LMOs.</w:t>
            </w:r>
          </w:p>
        </w:tc>
        <w:tc>
          <w:tcPr>
            <w:tcW w:w="3809" w:type="dxa"/>
          </w:tcPr>
          <w:p w14:paraId="38AB5FF2"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(a) Percentage of Parties that have measures in place to prevent and address illegal and unintentional transboundary movements of LMOs.</w:t>
            </w:r>
          </w:p>
        </w:tc>
        <w:tc>
          <w:tcPr>
            <w:tcW w:w="2286" w:type="dxa"/>
          </w:tcPr>
          <w:p w14:paraId="218C8628" w14:textId="4E17B9B9" w:rsidR="00C11F37" w:rsidRPr="003F052A" w:rsidRDefault="00C11F37" w:rsidP="003F052A">
            <w:pPr>
              <w:suppressLineNumbers/>
              <w:suppressAutoHyphens/>
              <w:spacing w:before="60" w:after="120"/>
              <w:jc w:val="left"/>
              <w:rPr>
                <w:rFonts w:eastAsia="MS Mincho"/>
                <w:kern w:val="22"/>
                <w:szCs w:val="22"/>
              </w:rPr>
            </w:pPr>
            <w:r w:rsidRPr="003F052A">
              <w:rPr>
                <w:rFonts w:eastAsia="MS Mincho"/>
                <w:kern w:val="22"/>
                <w:szCs w:val="22"/>
              </w:rPr>
              <w:t xml:space="preserve">Illegal and unintentional transboundary movements of LMOs </w:t>
            </w:r>
            <w:r w:rsidR="008426D6">
              <w:rPr>
                <w:rFonts w:eastAsia="MS Mincho"/>
                <w:kern w:val="22"/>
                <w:szCs w:val="22"/>
              </w:rPr>
              <w:t xml:space="preserve">are </w:t>
            </w:r>
            <w:r w:rsidRPr="003F052A">
              <w:rPr>
                <w:rFonts w:eastAsia="MS Mincho"/>
                <w:kern w:val="22"/>
                <w:szCs w:val="22"/>
              </w:rPr>
              <w:t>prevented or minimized</w:t>
            </w:r>
          </w:p>
        </w:tc>
      </w:tr>
      <w:tr w:rsidR="00C11F37" w:rsidRPr="003F052A" w14:paraId="2FECD730" w14:textId="77777777" w:rsidTr="00E00FF6">
        <w:tc>
          <w:tcPr>
            <w:tcW w:w="1844" w:type="dxa"/>
          </w:tcPr>
          <w:p w14:paraId="49476A39"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 xml:space="preserve">A.7. Parties have measures in place to fulfil the handling, transport, </w:t>
            </w:r>
            <w:proofErr w:type="gramStart"/>
            <w:r w:rsidRPr="003F052A">
              <w:rPr>
                <w:rFonts w:eastAsia="MS Mincho"/>
                <w:b/>
                <w:kern w:val="22"/>
                <w:szCs w:val="22"/>
              </w:rPr>
              <w:t>packaging</w:t>
            </w:r>
            <w:proofErr w:type="gramEnd"/>
            <w:r w:rsidRPr="003F052A">
              <w:rPr>
                <w:rFonts w:eastAsia="MS Mincho"/>
                <w:b/>
                <w:kern w:val="22"/>
                <w:szCs w:val="22"/>
              </w:rPr>
              <w:t xml:space="preserve"> and identification requirements of LMOs under Article 18 of the Protocol</w:t>
            </w:r>
          </w:p>
        </w:tc>
        <w:tc>
          <w:tcPr>
            <w:tcW w:w="3118" w:type="dxa"/>
          </w:tcPr>
          <w:p w14:paraId="53C2EF63"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A.7.1. Parties have adopted the necessary measures to require that LMOs subject to transboundary movement are handled, packaged and transported under conditions of safety</w:t>
            </w:r>
            <w:r w:rsidRPr="003F052A">
              <w:rPr>
                <w:rFonts w:eastAsia="MS Mincho"/>
                <w:szCs w:val="22"/>
              </w:rPr>
              <w:t xml:space="preserve">, taking into consideration relevant international rules and standards, as </w:t>
            </w:r>
            <w:proofErr w:type="gramStart"/>
            <w:r w:rsidRPr="003F052A">
              <w:rPr>
                <w:rFonts w:eastAsia="MS Mincho"/>
                <w:szCs w:val="22"/>
              </w:rPr>
              <w:t>appropriate;</w:t>
            </w:r>
            <w:proofErr w:type="gramEnd"/>
          </w:p>
          <w:p w14:paraId="78668B45"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A.7.2. Parties have measures in place to fulfil the documentation requirements for LMOs intended for direct use as food or feed, or for processing, LMOs destined for contained use, LMOs for intentional introduction into the environment, and other LMOs.</w:t>
            </w:r>
          </w:p>
        </w:tc>
        <w:tc>
          <w:tcPr>
            <w:tcW w:w="3809" w:type="dxa"/>
          </w:tcPr>
          <w:p w14:paraId="10F9BBE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(a) Percentage of Parties that have taken necessary measures to require that LMOs subject to transboundary movement are handled, packaged and transported under conditions of safety</w:t>
            </w:r>
            <w:r w:rsidRPr="003F052A">
              <w:rPr>
                <w:rFonts w:eastAsia="MS Mincho"/>
                <w:szCs w:val="22"/>
              </w:rPr>
              <w:t xml:space="preserve">, </w:t>
            </w:r>
            <w:r w:rsidRPr="003F052A" w:rsidDel="009815AB">
              <w:rPr>
                <w:rFonts w:eastAsia="MS Mincho"/>
                <w:kern w:val="22"/>
                <w:szCs w:val="22"/>
              </w:rPr>
              <w:t>taking into consideration relevant international rules and standards</w:t>
            </w:r>
            <w:r w:rsidRPr="003F052A">
              <w:rPr>
                <w:rFonts w:eastAsia="MS Mincho"/>
                <w:szCs w:val="22"/>
              </w:rPr>
              <w:t xml:space="preserve">, as </w:t>
            </w:r>
            <w:proofErr w:type="gramStart"/>
            <w:r w:rsidRPr="003F052A">
              <w:rPr>
                <w:rFonts w:eastAsia="MS Mincho"/>
                <w:szCs w:val="22"/>
              </w:rPr>
              <w:t>appropriate</w:t>
            </w:r>
            <w:r w:rsidRPr="003F052A">
              <w:rPr>
                <w:rFonts w:eastAsia="MS Mincho"/>
                <w:kern w:val="22"/>
                <w:szCs w:val="22"/>
              </w:rPr>
              <w:t>;</w:t>
            </w:r>
            <w:proofErr w:type="gramEnd"/>
          </w:p>
          <w:p w14:paraId="57AA145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that have put in place documentation requirements for LMOs intended for direct use as food or feed, or for </w:t>
            </w:r>
            <w:proofErr w:type="gramStart"/>
            <w:r w:rsidRPr="003F052A">
              <w:rPr>
                <w:rFonts w:eastAsia="MS Mincho"/>
                <w:kern w:val="22"/>
                <w:szCs w:val="22"/>
              </w:rPr>
              <w:t>processing;</w:t>
            </w:r>
            <w:proofErr w:type="gramEnd"/>
          </w:p>
          <w:p w14:paraId="32DB0068"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(c) Percentage of Parties that have put in place documentation requirements for LMOs destined for contained </w:t>
            </w:r>
            <w:proofErr w:type="gramStart"/>
            <w:r w:rsidRPr="003F052A">
              <w:rPr>
                <w:rFonts w:eastAsia="MS Mincho"/>
                <w:kern w:val="22"/>
                <w:szCs w:val="22"/>
              </w:rPr>
              <w:t>use;</w:t>
            </w:r>
            <w:proofErr w:type="gramEnd"/>
          </w:p>
          <w:p w14:paraId="16AB7578"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(d) Percentage of Parties that have put in place documentation requirements for LMOs for intentional introduction into the environment and other LMOs.</w:t>
            </w:r>
          </w:p>
        </w:tc>
        <w:tc>
          <w:tcPr>
            <w:tcW w:w="2286" w:type="dxa"/>
          </w:tcPr>
          <w:p w14:paraId="4AC62E59"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Through appropriate handling, transport, </w:t>
            </w:r>
            <w:proofErr w:type="gramStart"/>
            <w:r w:rsidRPr="003F052A">
              <w:rPr>
                <w:rFonts w:eastAsia="MS Mincho"/>
                <w:kern w:val="22"/>
                <w:szCs w:val="22"/>
              </w:rPr>
              <w:t>packaging</w:t>
            </w:r>
            <w:proofErr w:type="gramEnd"/>
            <w:r w:rsidRPr="003F052A">
              <w:rPr>
                <w:rFonts w:eastAsia="MS Mincho"/>
                <w:kern w:val="22"/>
                <w:szCs w:val="22"/>
              </w:rPr>
              <w:t xml:space="preserve"> and identification of LMOs, Parties are able to safely manage intentional transboundary movements of LMOs</w:t>
            </w:r>
          </w:p>
        </w:tc>
      </w:tr>
      <w:tr w:rsidR="00C11F37" w:rsidRPr="003F052A" w14:paraId="614BEDA7" w14:textId="77777777" w:rsidTr="00E00FF6">
        <w:tc>
          <w:tcPr>
            <w:tcW w:w="1844" w:type="dxa"/>
          </w:tcPr>
          <w:p w14:paraId="2C081186"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 xml:space="preserve">A.8. Parties </w:t>
            </w:r>
            <w:proofErr w:type="gramStart"/>
            <w:r w:rsidRPr="003F052A">
              <w:rPr>
                <w:rFonts w:eastAsia="MS Mincho"/>
                <w:b/>
                <w:kern w:val="22"/>
                <w:szCs w:val="22"/>
              </w:rPr>
              <w:t>are able to</w:t>
            </w:r>
            <w:proofErr w:type="gramEnd"/>
            <w:r w:rsidRPr="003F052A">
              <w:rPr>
                <w:rFonts w:eastAsia="MS Mincho"/>
                <w:b/>
                <w:kern w:val="22"/>
                <w:szCs w:val="22"/>
              </w:rPr>
              <w:t xml:space="preserve"> detect and identify LMOs</w:t>
            </w:r>
          </w:p>
        </w:tc>
        <w:tc>
          <w:tcPr>
            <w:tcW w:w="3118" w:type="dxa"/>
          </w:tcPr>
          <w:p w14:paraId="4C95074A"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A.8.1. Parties have access to the necessary technical infrastructure and expertise for the detection and identification of </w:t>
            </w:r>
            <w:proofErr w:type="gramStart"/>
            <w:r w:rsidRPr="003F052A">
              <w:rPr>
                <w:rFonts w:eastAsia="MS Mincho"/>
                <w:kern w:val="22"/>
                <w:szCs w:val="22"/>
              </w:rPr>
              <w:t>LMOs;</w:t>
            </w:r>
            <w:proofErr w:type="gramEnd"/>
          </w:p>
          <w:p w14:paraId="0C4571E9"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A.8.2. Parties have access to and use appropriate resource materials for the detection and identification of </w:t>
            </w:r>
            <w:proofErr w:type="gramStart"/>
            <w:r w:rsidRPr="003F052A">
              <w:rPr>
                <w:rFonts w:eastAsia="MS Mincho"/>
                <w:kern w:val="22"/>
                <w:szCs w:val="22"/>
              </w:rPr>
              <w:t>LMOs;</w:t>
            </w:r>
            <w:proofErr w:type="gramEnd"/>
          </w:p>
          <w:p w14:paraId="5F2FAAD2"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A.8.3. Parties have access to and use the necessary information to detect and identify LMOs, including detection methods and certified reference materials.</w:t>
            </w:r>
          </w:p>
        </w:tc>
        <w:tc>
          <w:tcPr>
            <w:tcW w:w="3809" w:type="dxa"/>
          </w:tcPr>
          <w:p w14:paraId="42B91673" w14:textId="1AE517F4"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LMOs </w:t>
            </w:r>
            <w:r w:rsidR="00896D04">
              <w:rPr>
                <w:rFonts w:eastAsia="MS Mincho"/>
                <w:kern w:val="22"/>
                <w:szCs w:val="22"/>
              </w:rPr>
              <w:t>i</w:t>
            </w:r>
            <w:r w:rsidRPr="003F052A">
              <w:rPr>
                <w:rFonts w:eastAsia="MS Mincho"/>
                <w:kern w:val="22"/>
                <w:szCs w:val="22"/>
              </w:rPr>
              <w:t xml:space="preserve">n the BCH for which detection methods are </w:t>
            </w:r>
            <w:proofErr w:type="gramStart"/>
            <w:r w:rsidRPr="003F052A">
              <w:rPr>
                <w:rFonts w:eastAsia="MS Mincho"/>
                <w:kern w:val="22"/>
                <w:szCs w:val="22"/>
              </w:rPr>
              <w:t>available;</w:t>
            </w:r>
            <w:proofErr w:type="gramEnd"/>
          </w:p>
          <w:p w14:paraId="519F23A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that have access to and use resource materials and detection methods to detect and identify </w:t>
            </w:r>
            <w:proofErr w:type="gramStart"/>
            <w:r w:rsidRPr="003F052A">
              <w:rPr>
                <w:rFonts w:eastAsia="MS Mincho"/>
                <w:kern w:val="22"/>
                <w:szCs w:val="22"/>
              </w:rPr>
              <w:t>LMOs;</w:t>
            </w:r>
            <w:proofErr w:type="gramEnd"/>
          </w:p>
          <w:p w14:paraId="61278A65"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(c) Percentage of Parties that have access to and use certified reference materials necessary to detect and identify </w:t>
            </w:r>
            <w:proofErr w:type="gramStart"/>
            <w:r w:rsidRPr="003F052A">
              <w:rPr>
                <w:rFonts w:eastAsia="MS Mincho"/>
                <w:kern w:val="22"/>
                <w:szCs w:val="22"/>
              </w:rPr>
              <w:t>LMOs;</w:t>
            </w:r>
            <w:proofErr w:type="gramEnd"/>
          </w:p>
          <w:p w14:paraId="44F51E88"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(d) Percentage of Parties that have access to the technical infrastructure needed to detect and identify LMOs.</w:t>
            </w:r>
          </w:p>
        </w:tc>
        <w:tc>
          <w:tcPr>
            <w:tcW w:w="2286" w:type="dxa"/>
          </w:tcPr>
          <w:p w14:paraId="0AA11915"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By detecting and identifying LMOs, Parties </w:t>
            </w:r>
            <w:proofErr w:type="gramStart"/>
            <w:r w:rsidRPr="003F052A">
              <w:rPr>
                <w:rFonts w:eastAsia="MS Mincho"/>
                <w:kern w:val="22"/>
                <w:szCs w:val="22"/>
              </w:rPr>
              <w:t>are able to</w:t>
            </w:r>
            <w:proofErr w:type="gramEnd"/>
            <w:r w:rsidRPr="003F052A">
              <w:rPr>
                <w:rFonts w:eastAsia="MS Mincho"/>
                <w:kern w:val="22"/>
                <w:szCs w:val="22"/>
              </w:rPr>
              <w:t xml:space="preserve"> respond to unintentional and illegal transboundary movements and to implement the handling, transport, packaging and identification requirements in accordance with the Protocol</w:t>
            </w:r>
          </w:p>
        </w:tc>
      </w:tr>
      <w:tr w:rsidR="00C11F37" w:rsidRPr="003F052A" w14:paraId="6205C1C7" w14:textId="77777777" w:rsidTr="00E00FF6">
        <w:tc>
          <w:tcPr>
            <w:tcW w:w="1844" w:type="dxa"/>
          </w:tcPr>
          <w:p w14:paraId="38E91442" w14:textId="61D4A4A9" w:rsidR="00C11F37" w:rsidRPr="00991D16" w:rsidRDefault="00C11F37" w:rsidP="003F052A">
            <w:pPr>
              <w:suppressLineNumbers/>
              <w:suppressAutoHyphens/>
              <w:spacing w:before="60" w:after="120"/>
              <w:jc w:val="left"/>
              <w:rPr>
                <w:bCs/>
                <w:kern w:val="22"/>
                <w:szCs w:val="22"/>
              </w:rPr>
            </w:pPr>
            <w:r w:rsidRPr="00991D16">
              <w:rPr>
                <w:rFonts w:eastAsia="MS Mincho"/>
                <w:b/>
                <w:kern w:val="22"/>
                <w:szCs w:val="22"/>
              </w:rPr>
              <w:t>A.9.</w:t>
            </w:r>
            <w:r w:rsidRPr="00991D16">
              <w:rPr>
                <w:rFonts w:eastAsia="MS Mincho"/>
                <w:b/>
                <w:kern w:val="22"/>
                <w:szCs w:val="22"/>
                <w:lang w:eastAsia="en-CA"/>
              </w:rPr>
              <w:t xml:space="preserve"> Parties that choose to do so </w:t>
            </w:r>
            <w:proofErr w:type="gramStart"/>
            <w:r w:rsidRPr="00991D16">
              <w:rPr>
                <w:rFonts w:eastAsia="MS Mincho"/>
                <w:b/>
                <w:kern w:val="22"/>
                <w:szCs w:val="22"/>
                <w:lang w:eastAsia="en-CA"/>
              </w:rPr>
              <w:t>take into account</w:t>
            </w:r>
            <w:proofErr w:type="gramEnd"/>
            <w:r w:rsidRPr="00991D16">
              <w:rPr>
                <w:rFonts w:eastAsia="MS Mincho"/>
                <w:b/>
                <w:kern w:val="22"/>
                <w:szCs w:val="22"/>
                <w:lang w:eastAsia="en-CA"/>
              </w:rPr>
              <w:t xml:space="preserve"> socioeconomic considerations when making decisions on the import of LMOs and cooperate on research and information exchange in accordance with Article 26 of the Protocol</w:t>
            </w:r>
          </w:p>
        </w:tc>
        <w:tc>
          <w:tcPr>
            <w:tcW w:w="3118" w:type="dxa"/>
          </w:tcPr>
          <w:p w14:paraId="60BAF3BA" w14:textId="35BDCA00" w:rsidR="00C11F37" w:rsidRPr="00991D16" w:rsidRDefault="00C11F37" w:rsidP="003F052A">
            <w:pPr>
              <w:suppressLineNumbers/>
              <w:suppressAutoHyphens/>
              <w:spacing w:before="60" w:after="60"/>
              <w:jc w:val="left"/>
              <w:rPr>
                <w:rFonts w:eastAsia="MS Mincho"/>
                <w:kern w:val="22"/>
                <w:szCs w:val="22"/>
              </w:rPr>
            </w:pPr>
            <w:r w:rsidRPr="00991D16">
              <w:rPr>
                <w:rFonts w:eastAsia="MS Mincho"/>
                <w:kern w:val="22"/>
                <w:szCs w:val="22"/>
              </w:rPr>
              <w:t xml:space="preserve">A.9.1. Parties that choose to do so take socioeconomic considerations into account in decision-making in accordance with Article </w:t>
            </w:r>
            <w:proofErr w:type="gramStart"/>
            <w:r w:rsidRPr="00991D16">
              <w:rPr>
                <w:rFonts w:eastAsia="MS Mincho"/>
                <w:kern w:val="22"/>
                <w:szCs w:val="22"/>
              </w:rPr>
              <w:t>26;</w:t>
            </w:r>
            <w:proofErr w:type="gramEnd"/>
          </w:p>
          <w:p w14:paraId="7F2518E8" w14:textId="77777777" w:rsidR="00C11F37" w:rsidRPr="00991D16" w:rsidRDefault="00C11F37" w:rsidP="003F052A">
            <w:pPr>
              <w:suppressLineNumbers/>
              <w:suppressAutoHyphens/>
              <w:spacing w:before="60" w:after="60"/>
              <w:jc w:val="left"/>
              <w:rPr>
                <w:rFonts w:eastAsia="MS Mincho"/>
                <w:kern w:val="22"/>
                <w:szCs w:val="22"/>
              </w:rPr>
            </w:pPr>
            <w:r w:rsidRPr="00991D16">
              <w:rPr>
                <w:rFonts w:eastAsia="MS Mincho"/>
                <w:kern w:val="22"/>
                <w:szCs w:val="22"/>
              </w:rPr>
              <w:t xml:space="preserve">A.9.2. Parties that choose to take into account socioeconomic considerations in accordance with Article 26 have access to and are able to use resource </w:t>
            </w:r>
            <w:proofErr w:type="gramStart"/>
            <w:r w:rsidRPr="00991D16">
              <w:rPr>
                <w:rFonts w:eastAsia="MS Mincho"/>
                <w:kern w:val="22"/>
                <w:szCs w:val="22"/>
              </w:rPr>
              <w:t>materials;</w:t>
            </w:r>
            <w:proofErr w:type="gramEnd"/>
          </w:p>
          <w:p w14:paraId="4D398387" w14:textId="5D6CF630" w:rsidR="00C11F37" w:rsidRPr="00991D16" w:rsidRDefault="00C11F37" w:rsidP="003F052A">
            <w:pPr>
              <w:suppressLineNumbers/>
              <w:suppressAutoHyphens/>
              <w:spacing w:before="60" w:after="120"/>
              <w:jc w:val="left"/>
              <w:rPr>
                <w:bCs/>
                <w:kern w:val="22"/>
                <w:szCs w:val="22"/>
              </w:rPr>
            </w:pPr>
            <w:r w:rsidRPr="00991D16">
              <w:rPr>
                <w:rFonts w:eastAsia="MS Mincho"/>
                <w:kern w:val="22"/>
                <w:szCs w:val="22"/>
              </w:rPr>
              <w:t xml:space="preserve">A.9.3. Parties that choose to do so cooperate on research and information exchange on any socioeconomic impacts of living modified organisms on the conservation and sustainable use of biological diversity, especially on indigenous peoples and local communities, in accordance with Article 26 of the Protocol. </w:t>
            </w:r>
          </w:p>
        </w:tc>
        <w:tc>
          <w:tcPr>
            <w:tcW w:w="3809" w:type="dxa"/>
          </w:tcPr>
          <w:p w14:paraId="3277A6A3" w14:textId="77777777" w:rsidR="00C11F37" w:rsidRPr="00991D16" w:rsidRDefault="00C11F37" w:rsidP="003F052A">
            <w:pPr>
              <w:suppressLineNumbers/>
              <w:suppressAutoHyphens/>
              <w:spacing w:before="60" w:after="60"/>
              <w:jc w:val="left"/>
              <w:rPr>
                <w:rFonts w:eastAsia="MS Mincho"/>
                <w:kern w:val="22"/>
                <w:szCs w:val="22"/>
              </w:rPr>
            </w:pPr>
            <w:r w:rsidRPr="00991D16">
              <w:rPr>
                <w:rFonts w:eastAsia="MS Mincho"/>
                <w:kern w:val="22"/>
                <w:szCs w:val="22"/>
              </w:rPr>
              <w:t xml:space="preserve">(a) Percentage of Parties that take into account socioeconomic considerations in decision-making in accordance with Article 26 of the </w:t>
            </w:r>
            <w:proofErr w:type="gramStart"/>
            <w:r w:rsidRPr="00991D16">
              <w:rPr>
                <w:rFonts w:eastAsia="MS Mincho"/>
                <w:kern w:val="22"/>
                <w:szCs w:val="22"/>
              </w:rPr>
              <w:t>Protocol;</w:t>
            </w:r>
            <w:proofErr w:type="gramEnd"/>
          </w:p>
          <w:p w14:paraId="334097D4" w14:textId="382D897F" w:rsidR="00C11F37" w:rsidRPr="00991D16" w:rsidDel="00A61A44" w:rsidRDefault="00C11F37" w:rsidP="00E00FF6">
            <w:pPr>
              <w:suppressLineNumbers/>
              <w:suppressAutoHyphens/>
              <w:spacing w:before="60" w:after="120"/>
              <w:jc w:val="left"/>
              <w:rPr>
                <w:rFonts w:eastAsia="MS Mincho"/>
                <w:kern w:val="22"/>
                <w:szCs w:val="22"/>
              </w:rPr>
            </w:pPr>
            <w:r w:rsidRPr="00991D16">
              <w:rPr>
                <w:rFonts w:eastAsia="MS Mincho"/>
                <w:szCs w:val="22"/>
              </w:rPr>
              <w:t xml:space="preserve">(b) Percentage of Parties that access and use resource materials for taking socioeconomic considerations into </w:t>
            </w:r>
            <w:proofErr w:type="gramStart"/>
            <w:r w:rsidRPr="00991D16">
              <w:rPr>
                <w:rFonts w:eastAsia="MS Mincho"/>
                <w:szCs w:val="22"/>
              </w:rPr>
              <w:t>account;</w:t>
            </w:r>
            <w:proofErr w:type="gramEnd"/>
          </w:p>
          <w:p w14:paraId="500D66F9" w14:textId="21747D9B" w:rsidR="00C11F37" w:rsidRPr="00991D16" w:rsidRDefault="00C11F37" w:rsidP="003F052A">
            <w:pPr>
              <w:suppressLineNumbers/>
              <w:suppressAutoHyphens/>
              <w:spacing w:before="60" w:after="120"/>
              <w:jc w:val="left"/>
              <w:rPr>
                <w:bCs/>
                <w:kern w:val="22"/>
                <w:szCs w:val="22"/>
              </w:rPr>
            </w:pPr>
            <w:r w:rsidRPr="00991D16">
              <w:rPr>
                <w:rFonts w:eastAsia="MS Mincho"/>
                <w:kern w:val="22"/>
                <w:szCs w:val="22"/>
              </w:rPr>
              <w:t>(</w:t>
            </w:r>
            <w:r w:rsidRPr="00991D16">
              <w:rPr>
                <w:rFonts w:eastAsia="MS Mincho"/>
                <w:szCs w:val="22"/>
              </w:rPr>
              <w:t>c</w:t>
            </w:r>
            <w:r w:rsidRPr="00991D16">
              <w:rPr>
                <w:rFonts w:eastAsia="MS Mincho"/>
                <w:kern w:val="22"/>
                <w:szCs w:val="22"/>
              </w:rPr>
              <w:t>) Percentage of Parties that cooperate on research and information exchange on any socioeconomic impacts of LMOs on the conservation and sustainable use of biological diversity, especially on indigenous peoples and local communities, in accordance with Article</w:t>
            </w:r>
            <w:r w:rsidR="00462820" w:rsidRPr="00991D16">
              <w:rPr>
                <w:rFonts w:eastAsia="MS Mincho"/>
                <w:kern w:val="22"/>
                <w:szCs w:val="22"/>
              </w:rPr>
              <w:t> </w:t>
            </w:r>
            <w:r w:rsidRPr="00991D16">
              <w:rPr>
                <w:rFonts w:eastAsia="MS Mincho"/>
                <w:kern w:val="22"/>
                <w:szCs w:val="22"/>
              </w:rPr>
              <w:t>26 of the Protocol.</w:t>
            </w:r>
          </w:p>
        </w:tc>
        <w:tc>
          <w:tcPr>
            <w:tcW w:w="2286" w:type="dxa"/>
          </w:tcPr>
          <w:p w14:paraId="4774AC60" w14:textId="1089C299" w:rsidR="00C11F37" w:rsidRPr="00991D16" w:rsidRDefault="00C11F37" w:rsidP="003F052A">
            <w:pPr>
              <w:suppressLineNumbers/>
              <w:suppressAutoHyphens/>
              <w:spacing w:before="60" w:after="120"/>
              <w:jc w:val="left"/>
              <w:rPr>
                <w:bCs/>
                <w:kern w:val="22"/>
                <w:szCs w:val="22"/>
              </w:rPr>
            </w:pPr>
            <w:r w:rsidRPr="00991D16">
              <w:rPr>
                <w:rFonts w:eastAsia="Times New Roman Bold"/>
                <w:szCs w:val="22"/>
              </w:rPr>
              <w:t xml:space="preserve">Parties that choose to do so </w:t>
            </w:r>
            <w:proofErr w:type="gramStart"/>
            <w:r w:rsidRPr="00991D16">
              <w:rPr>
                <w:rFonts w:eastAsia="Times New Roman Bold"/>
                <w:szCs w:val="22"/>
              </w:rPr>
              <w:t>take into account</w:t>
            </w:r>
            <w:proofErr w:type="gramEnd"/>
            <w:r w:rsidRPr="00991D16">
              <w:rPr>
                <w:rFonts w:eastAsia="Times New Roman Bold"/>
                <w:szCs w:val="22"/>
              </w:rPr>
              <w:t xml:space="preserve"> socioeconomic considerations in decision-making on imports of LMOs and cooperate on research and information exchange in accordance with Article 26</w:t>
            </w:r>
          </w:p>
        </w:tc>
      </w:tr>
      <w:tr w:rsidR="00C11F37" w:rsidRPr="003F052A" w14:paraId="1B96D38F" w14:textId="77777777" w:rsidTr="00E00FF6">
        <w:tc>
          <w:tcPr>
            <w:tcW w:w="1844" w:type="dxa"/>
          </w:tcPr>
          <w:p w14:paraId="11E7E682"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A.10. Parties to the Cartagena Protocol become Parties to the Nagoya –</w:t>
            </w:r>
            <w:r w:rsidRPr="003F052A">
              <w:rPr>
                <w:rFonts w:eastAsia="MS Mincho"/>
                <w:b/>
                <w:kern w:val="22"/>
                <w:szCs w:val="22"/>
              </w:rPr>
              <w:softHyphen/>
              <w:t xml:space="preserve"> Kuala Lumpur Supplementary Protocol on Liability and Redress and have in place measures to fulfil their obligations under the Supplementary Protocol</w:t>
            </w:r>
          </w:p>
        </w:tc>
        <w:tc>
          <w:tcPr>
            <w:tcW w:w="3118" w:type="dxa"/>
          </w:tcPr>
          <w:p w14:paraId="0882BC55"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A.10.1. Increased number of Parties to the Supplementary </w:t>
            </w:r>
            <w:proofErr w:type="gramStart"/>
            <w:r w:rsidRPr="003F052A">
              <w:rPr>
                <w:rFonts w:eastAsia="MS Mincho"/>
                <w:kern w:val="22"/>
                <w:szCs w:val="22"/>
              </w:rPr>
              <w:t>Protocol;</w:t>
            </w:r>
            <w:proofErr w:type="gramEnd"/>
          </w:p>
          <w:p w14:paraId="1A7FB7B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A.10.2. Parties to the Supplementary Protocol have adopted and implemented appropriate measures to give effect to the provisions of the Supplementary </w:t>
            </w:r>
            <w:proofErr w:type="gramStart"/>
            <w:r w:rsidRPr="003F052A">
              <w:rPr>
                <w:rFonts w:eastAsia="MS Mincho"/>
                <w:kern w:val="22"/>
                <w:szCs w:val="22"/>
              </w:rPr>
              <w:t>Protocol;</w:t>
            </w:r>
            <w:proofErr w:type="gramEnd"/>
          </w:p>
          <w:p w14:paraId="30B788C0"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A.10.3 Parties to the Supplementary Protocol report on the implementation of the Supplementary Protocol.</w:t>
            </w:r>
          </w:p>
        </w:tc>
        <w:tc>
          <w:tcPr>
            <w:tcW w:w="3809" w:type="dxa"/>
          </w:tcPr>
          <w:p w14:paraId="0C05FA1B"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to the Cartagena Protocol that have become Parties to the Supplementary </w:t>
            </w:r>
            <w:proofErr w:type="gramStart"/>
            <w:r w:rsidRPr="003F052A">
              <w:rPr>
                <w:rFonts w:eastAsia="MS Mincho"/>
                <w:kern w:val="22"/>
                <w:szCs w:val="22"/>
              </w:rPr>
              <w:t>Protocol;</w:t>
            </w:r>
            <w:proofErr w:type="gramEnd"/>
          </w:p>
          <w:p w14:paraId="5C5894CE"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to the Supplementary Protocol that have the necessary measures in place to implement the provisions of the Supplementary </w:t>
            </w:r>
            <w:proofErr w:type="gramStart"/>
            <w:r w:rsidRPr="003F052A">
              <w:rPr>
                <w:rFonts w:eastAsia="MS Mincho"/>
                <w:kern w:val="22"/>
                <w:szCs w:val="22"/>
              </w:rPr>
              <w:t>Protocol;</w:t>
            </w:r>
            <w:proofErr w:type="gramEnd"/>
          </w:p>
          <w:p w14:paraId="4D51891D"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(c) Percentage of Parties to the Supplementary Protocol reporting on the implementation of the Supplementary Protocol.</w:t>
            </w:r>
          </w:p>
        </w:tc>
        <w:tc>
          <w:tcPr>
            <w:tcW w:w="2286" w:type="dxa"/>
          </w:tcPr>
          <w:p w14:paraId="4C05F50D"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Increased number of ratifications of the Nagoya – Kuala Lumpur Supplementary Protocol on Liability and Redress advances the development of national rules and procedures on liability and redress for damage resulting from </w:t>
            </w:r>
            <w:r w:rsidRPr="00C3335A">
              <w:rPr>
                <w:rFonts w:eastAsia="MS Mincho"/>
                <w:kern w:val="22"/>
                <w:szCs w:val="22"/>
              </w:rPr>
              <w:t>LMOs originating in a transbounda</w:t>
            </w:r>
            <w:r w:rsidRPr="003F052A">
              <w:rPr>
                <w:rFonts w:eastAsia="MS Mincho"/>
                <w:kern w:val="22"/>
                <w:szCs w:val="22"/>
              </w:rPr>
              <w:t>ry movement</w:t>
            </w:r>
          </w:p>
        </w:tc>
      </w:tr>
      <w:tr w:rsidR="00C11F37" w:rsidRPr="003F052A" w14:paraId="79705A30" w14:textId="77777777" w:rsidTr="00017233">
        <w:tc>
          <w:tcPr>
            <w:tcW w:w="11057" w:type="dxa"/>
            <w:gridSpan w:val="4"/>
          </w:tcPr>
          <w:p w14:paraId="043ED4A4" w14:textId="77777777" w:rsidR="00C11F37" w:rsidRPr="003F052A" w:rsidRDefault="00C11F37" w:rsidP="00E00FF6">
            <w:pPr>
              <w:keepNext/>
              <w:suppressLineNumbers/>
              <w:suppressAutoHyphens/>
              <w:spacing w:before="60" w:after="120"/>
              <w:jc w:val="center"/>
              <w:rPr>
                <w:bCs/>
                <w:kern w:val="22"/>
                <w:szCs w:val="22"/>
              </w:rPr>
            </w:pPr>
            <w:r w:rsidRPr="003F052A">
              <w:rPr>
                <w:rFonts w:eastAsia="MS Mincho"/>
                <w:b/>
                <w:bCs/>
                <w:kern w:val="22"/>
                <w:szCs w:val="22"/>
              </w:rPr>
              <w:t>B.</w:t>
            </w:r>
            <w:r w:rsidRPr="003F052A">
              <w:rPr>
                <w:rFonts w:eastAsia="MS Mincho"/>
                <w:b/>
                <w:bCs/>
                <w:kern w:val="22"/>
                <w:szCs w:val="22"/>
              </w:rPr>
              <w:tab/>
              <w:t>Enabling environment</w:t>
            </w:r>
          </w:p>
        </w:tc>
      </w:tr>
      <w:tr w:rsidR="00C11F37" w:rsidRPr="003F052A" w14:paraId="4B552B9D" w14:textId="77777777" w:rsidTr="00E00FF6">
        <w:tc>
          <w:tcPr>
            <w:tcW w:w="1844" w:type="dxa"/>
          </w:tcPr>
          <w:p w14:paraId="6640CFA2"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B.1. Parties engage in capacity-building activities</w:t>
            </w:r>
          </w:p>
        </w:tc>
        <w:tc>
          <w:tcPr>
            <w:tcW w:w="3118" w:type="dxa"/>
          </w:tcPr>
          <w:p w14:paraId="5F6A5EC7" w14:textId="45BD5A45"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B.1.1. Parties have identified and prioritized their capacity-building </w:t>
            </w:r>
            <w:proofErr w:type="gramStart"/>
            <w:r w:rsidRPr="003F052A">
              <w:rPr>
                <w:rFonts w:eastAsia="MS Mincho"/>
                <w:kern w:val="22"/>
                <w:szCs w:val="22"/>
              </w:rPr>
              <w:t>needs</w:t>
            </w:r>
            <w:r w:rsidR="00CE392A" w:rsidRPr="003F052A">
              <w:rPr>
                <w:rFonts w:eastAsia="MS Mincho"/>
                <w:kern w:val="22"/>
                <w:szCs w:val="22"/>
              </w:rPr>
              <w:t>;</w:t>
            </w:r>
            <w:proofErr w:type="gramEnd"/>
          </w:p>
          <w:p w14:paraId="0EC2EBD6" w14:textId="0FFB2E2B"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B.1.2. Parties undertake capacity-building </w:t>
            </w:r>
            <w:r w:rsidRPr="00A97D83">
              <w:rPr>
                <w:rFonts w:eastAsia="MS Mincho"/>
                <w:kern w:val="22"/>
                <w:szCs w:val="22"/>
              </w:rPr>
              <w:t>activities, as set out in the Capacity-</w:t>
            </w:r>
            <w:r w:rsidR="002371DD" w:rsidRPr="00A97D83">
              <w:rPr>
                <w:rFonts w:eastAsia="MS Mincho"/>
                <w:kern w:val="22"/>
                <w:szCs w:val="22"/>
              </w:rPr>
              <w:t>b</w:t>
            </w:r>
            <w:r w:rsidRPr="00A97D83">
              <w:rPr>
                <w:rFonts w:eastAsia="MS Mincho"/>
                <w:kern w:val="22"/>
                <w:szCs w:val="22"/>
              </w:rPr>
              <w:t>uilding</w:t>
            </w:r>
            <w:r w:rsidRPr="00A97D83" w:rsidDel="007F79E1">
              <w:rPr>
                <w:rFonts w:eastAsia="MS Mincho"/>
                <w:kern w:val="22"/>
                <w:szCs w:val="22"/>
              </w:rPr>
              <w:t xml:space="preserve"> </w:t>
            </w:r>
            <w:r w:rsidRPr="00A97D83">
              <w:rPr>
                <w:rFonts w:eastAsia="MS Mincho"/>
                <w:kern w:val="22"/>
                <w:szCs w:val="22"/>
              </w:rPr>
              <w:t>Action Plan</w:t>
            </w:r>
            <w:r w:rsidR="00122A9E" w:rsidRPr="00A97D83">
              <w:rPr>
                <w:rFonts w:eastAsia="MS Mincho"/>
                <w:kern w:val="22"/>
                <w:szCs w:val="22"/>
              </w:rPr>
              <w:t xml:space="preserve"> for the Cartagena Protocol on </w:t>
            </w:r>
            <w:proofErr w:type="gramStart"/>
            <w:r w:rsidR="00122A9E" w:rsidRPr="00A97D83">
              <w:rPr>
                <w:rFonts w:eastAsia="MS Mincho"/>
                <w:kern w:val="22"/>
                <w:szCs w:val="22"/>
              </w:rPr>
              <w:t>Biosafe</w:t>
            </w:r>
            <w:r w:rsidR="00122A9E" w:rsidRPr="0034156F">
              <w:rPr>
                <w:rFonts w:eastAsia="MS Mincho"/>
                <w:kern w:val="22"/>
                <w:szCs w:val="22"/>
              </w:rPr>
              <w:t>t</w:t>
            </w:r>
            <w:r w:rsidR="00122A9E" w:rsidRPr="00A97D83">
              <w:rPr>
                <w:rFonts w:eastAsia="MS Mincho"/>
                <w:kern w:val="22"/>
                <w:szCs w:val="22"/>
              </w:rPr>
              <w:t>y</w:t>
            </w:r>
            <w:r w:rsidR="00CE392A" w:rsidRPr="00A97D83">
              <w:rPr>
                <w:rFonts w:eastAsia="MS Mincho"/>
                <w:kern w:val="22"/>
                <w:szCs w:val="22"/>
              </w:rPr>
              <w:t>;</w:t>
            </w:r>
            <w:proofErr w:type="gramEnd"/>
          </w:p>
          <w:p w14:paraId="66DE27AA"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B.1.3. Parties use capacity-building materials, including online </w:t>
            </w:r>
            <w:proofErr w:type="gramStart"/>
            <w:r w:rsidRPr="003F052A">
              <w:rPr>
                <w:rFonts w:eastAsia="MS Mincho"/>
                <w:kern w:val="22"/>
                <w:szCs w:val="22"/>
              </w:rPr>
              <w:t>resources;</w:t>
            </w:r>
            <w:proofErr w:type="gramEnd"/>
          </w:p>
          <w:p w14:paraId="73A48410"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B.1.4. Parties cooperate to strengthen capacities for the implementation of the Protocol.</w:t>
            </w:r>
          </w:p>
        </w:tc>
        <w:tc>
          <w:tcPr>
            <w:tcW w:w="3809" w:type="dxa"/>
          </w:tcPr>
          <w:p w14:paraId="096B5BD1" w14:textId="77777777" w:rsidR="00C11F37" w:rsidRPr="003F052A" w:rsidRDefault="00C11F37" w:rsidP="003F052A">
            <w:pPr>
              <w:suppressLineNumbers/>
              <w:suppressAutoHyphens/>
              <w:spacing w:before="60" w:after="60"/>
              <w:jc w:val="left"/>
              <w:rPr>
                <w:kern w:val="22"/>
                <w:szCs w:val="22"/>
              </w:rPr>
            </w:pPr>
            <w:r w:rsidRPr="003F052A">
              <w:rPr>
                <w:kern w:val="22"/>
                <w:szCs w:val="22"/>
              </w:rPr>
              <w:t xml:space="preserve">(a) </w:t>
            </w:r>
            <w:r w:rsidRPr="003F052A">
              <w:rPr>
                <w:rFonts w:eastAsia="MS Mincho"/>
                <w:kern w:val="22"/>
                <w:szCs w:val="22"/>
              </w:rPr>
              <w:t>Percentage</w:t>
            </w:r>
            <w:r w:rsidRPr="003F052A">
              <w:rPr>
                <w:kern w:val="22"/>
                <w:szCs w:val="22"/>
              </w:rPr>
              <w:t xml:space="preserve"> of Parties that have identified and prioritized their capacity-building </w:t>
            </w:r>
            <w:proofErr w:type="gramStart"/>
            <w:r w:rsidRPr="003F052A">
              <w:rPr>
                <w:kern w:val="22"/>
                <w:szCs w:val="22"/>
              </w:rPr>
              <w:t>needs;</w:t>
            </w:r>
            <w:proofErr w:type="gramEnd"/>
          </w:p>
          <w:p w14:paraId="76AE1A18" w14:textId="77777777" w:rsidR="00C11F37" w:rsidRPr="003F052A" w:rsidRDefault="00C11F37" w:rsidP="003F052A">
            <w:pPr>
              <w:suppressLineNumbers/>
              <w:suppressAutoHyphens/>
              <w:spacing w:before="60" w:after="60"/>
              <w:jc w:val="left"/>
              <w:rPr>
                <w:kern w:val="22"/>
                <w:szCs w:val="22"/>
              </w:rPr>
            </w:pPr>
            <w:r w:rsidRPr="003F052A">
              <w:rPr>
                <w:kern w:val="22"/>
                <w:szCs w:val="22"/>
              </w:rPr>
              <w:t xml:space="preserve">(b) Percentage of Parties undertaking capacity-building </w:t>
            </w:r>
            <w:proofErr w:type="gramStart"/>
            <w:r w:rsidRPr="003F052A">
              <w:rPr>
                <w:kern w:val="22"/>
                <w:szCs w:val="22"/>
              </w:rPr>
              <w:t>activities;</w:t>
            </w:r>
            <w:proofErr w:type="gramEnd"/>
          </w:p>
          <w:p w14:paraId="102BFB44" w14:textId="77777777" w:rsidR="00C11F37" w:rsidRPr="003F052A" w:rsidRDefault="00C11F37" w:rsidP="003F052A">
            <w:pPr>
              <w:suppressLineNumbers/>
              <w:suppressAutoHyphens/>
              <w:spacing w:before="60" w:after="60"/>
              <w:jc w:val="left"/>
              <w:rPr>
                <w:kern w:val="22"/>
                <w:szCs w:val="22"/>
              </w:rPr>
            </w:pPr>
            <w:r w:rsidRPr="003F052A">
              <w:rPr>
                <w:kern w:val="22"/>
                <w:szCs w:val="22"/>
              </w:rPr>
              <w:t xml:space="preserve">(c) Percentage of Parties with capacity-building needs that use capacity-building materials, including online </w:t>
            </w:r>
            <w:proofErr w:type="gramStart"/>
            <w:r w:rsidRPr="003F052A">
              <w:rPr>
                <w:kern w:val="22"/>
                <w:szCs w:val="22"/>
              </w:rPr>
              <w:t>resources;</w:t>
            </w:r>
            <w:proofErr w:type="gramEnd"/>
          </w:p>
          <w:p w14:paraId="02530C97" w14:textId="77777777" w:rsidR="00C11F37" w:rsidRPr="003F052A" w:rsidRDefault="00C11F37" w:rsidP="003F052A">
            <w:pPr>
              <w:suppressLineNumbers/>
              <w:suppressAutoHyphens/>
              <w:spacing w:before="60" w:after="120"/>
              <w:jc w:val="left"/>
              <w:rPr>
                <w:bCs/>
                <w:kern w:val="22"/>
                <w:szCs w:val="22"/>
              </w:rPr>
            </w:pPr>
            <w:r w:rsidRPr="003F052A">
              <w:rPr>
                <w:kern w:val="22"/>
                <w:szCs w:val="22"/>
              </w:rPr>
              <w:t>(d) Percentage of Parties that cooperate to strengthen capacities for the implementation of the Protocol.</w:t>
            </w:r>
          </w:p>
        </w:tc>
        <w:tc>
          <w:tcPr>
            <w:tcW w:w="2286" w:type="dxa"/>
          </w:tcPr>
          <w:p w14:paraId="4716A8C3"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Parties have the necessary capacity for the implementation of the Protocol</w:t>
            </w:r>
          </w:p>
        </w:tc>
      </w:tr>
      <w:tr w:rsidR="00C11F37" w:rsidRPr="003F052A" w14:paraId="0C5605EC" w14:textId="77777777" w:rsidTr="00E00FF6">
        <w:tc>
          <w:tcPr>
            <w:tcW w:w="1844" w:type="dxa"/>
          </w:tcPr>
          <w:p w14:paraId="1D7710A9" w14:textId="77777777" w:rsidR="00C11F37" w:rsidRPr="003F052A" w:rsidRDefault="00C11F37" w:rsidP="003F052A">
            <w:pPr>
              <w:suppressLineNumbers/>
              <w:suppressAutoHyphens/>
              <w:spacing w:before="60" w:after="120"/>
              <w:jc w:val="left"/>
              <w:rPr>
                <w:bCs/>
                <w:kern w:val="22"/>
                <w:szCs w:val="22"/>
              </w:rPr>
            </w:pPr>
            <w:r w:rsidRPr="003F052A">
              <w:rPr>
                <w:rFonts w:eastAsia="MS Mincho"/>
                <w:b/>
                <w:bCs/>
                <w:kern w:val="22"/>
                <w:szCs w:val="22"/>
              </w:rPr>
              <w:t xml:space="preserve">B.2. Parties mobilize adequate resources </w:t>
            </w:r>
            <w:r w:rsidRPr="003F052A">
              <w:rPr>
                <w:rFonts w:eastAsia="MS Mincho"/>
                <w:b/>
                <w:bCs/>
                <w:szCs w:val="22"/>
              </w:rPr>
              <w:t xml:space="preserve">from all sources </w:t>
            </w:r>
            <w:r w:rsidRPr="003F052A">
              <w:rPr>
                <w:rFonts w:eastAsia="MS Mincho"/>
                <w:b/>
                <w:bCs/>
                <w:kern w:val="22"/>
                <w:szCs w:val="22"/>
              </w:rPr>
              <w:t>to support implementation of the Protocol</w:t>
            </w:r>
            <w:r w:rsidRPr="003F052A">
              <w:rPr>
                <w:rFonts w:eastAsia="MS Mincho"/>
                <w:b/>
                <w:bCs/>
                <w:szCs w:val="22"/>
              </w:rPr>
              <w:t xml:space="preserve"> in accordance with Article 28 of the Protocol</w:t>
            </w:r>
          </w:p>
        </w:tc>
        <w:tc>
          <w:tcPr>
            <w:tcW w:w="3118" w:type="dxa"/>
          </w:tcPr>
          <w:p w14:paraId="7BC6E913" w14:textId="77777777" w:rsidR="00C11F37" w:rsidRPr="006E7055" w:rsidRDefault="00C11F37" w:rsidP="003F052A">
            <w:pPr>
              <w:suppressLineNumbers/>
              <w:suppressAutoHyphens/>
              <w:spacing w:before="60" w:after="60"/>
              <w:jc w:val="left"/>
              <w:rPr>
                <w:rFonts w:eastAsia="MS Mincho"/>
                <w:kern w:val="22"/>
                <w:szCs w:val="22"/>
              </w:rPr>
            </w:pPr>
            <w:r w:rsidRPr="006E7055">
              <w:rPr>
                <w:rFonts w:eastAsia="MS Mincho"/>
                <w:kern w:val="22"/>
                <w:szCs w:val="22"/>
              </w:rPr>
              <w:t xml:space="preserve">B.2.1. Adequate resources are allocated to biosafety through national </w:t>
            </w:r>
            <w:proofErr w:type="gramStart"/>
            <w:r w:rsidRPr="006E7055">
              <w:rPr>
                <w:rFonts w:eastAsia="MS Mincho"/>
                <w:kern w:val="22"/>
                <w:szCs w:val="22"/>
              </w:rPr>
              <w:t>budgets;</w:t>
            </w:r>
            <w:proofErr w:type="gramEnd"/>
          </w:p>
          <w:p w14:paraId="18E87B43" w14:textId="77777777" w:rsidR="00C11F37" w:rsidRPr="006E7055" w:rsidRDefault="00C11F37" w:rsidP="003F052A">
            <w:pPr>
              <w:suppressLineNumbers/>
              <w:suppressAutoHyphens/>
              <w:spacing w:before="60" w:after="60"/>
              <w:jc w:val="left"/>
              <w:rPr>
                <w:rFonts w:eastAsia="MS Mincho"/>
                <w:kern w:val="22"/>
                <w:szCs w:val="22"/>
              </w:rPr>
            </w:pPr>
            <w:r w:rsidRPr="006E7055">
              <w:rPr>
                <w:rFonts w:eastAsia="MS Mincho"/>
                <w:kern w:val="22"/>
                <w:szCs w:val="22"/>
              </w:rPr>
              <w:t xml:space="preserve">B.2.2. Parties allocate a share of national biodiversity STAR allocations to biosafety </w:t>
            </w:r>
            <w:proofErr w:type="gramStart"/>
            <w:r w:rsidRPr="006E7055">
              <w:rPr>
                <w:rFonts w:eastAsia="MS Mincho"/>
                <w:kern w:val="22"/>
                <w:szCs w:val="22"/>
              </w:rPr>
              <w:t>activities;</w:t>
            </w:r>
            <w:proofErr w:type="gramEnd"/>
          </w:p>
          <w:p w14:paraId="29CD6879" w14:textId="77777777" w:rsidR="00C11F37" w:rsidRPr="006E7055" w:rsidRDefault="00C11F37" w:rsidP="003F052A">
            <w:pPr>
              <w:suppressLineNumbers/>
              <w:suppressAutoHyphens/>
              <w:spacing w:before="60" w:after="120"/>
              <w:jc w:val="left"/>
              <w:rPr>
                <w:bCs/>
                <w:kern w:val="22"/>
                <w:szCs w:val="22"/>
              </w:rPr>
            </w:pPr>
            <w:r w:rsidRPr="006E7055">
              <w:rPr>
                <w:rFonts w:eastAsia="MS Mincho"/>
                <w:kern w:val="22"/>
                <w:szCs w:val="22"/>
              </w:rPr>
              <w:t>B.2.3. Parties mobilize resources from other sources.</w:t>
            </w:r>
          </w:p>
        </w:tc>
        <w:tc>
          <w:tcPr>
            <w:tcW w:w="3809" w:type="dxa"/>
          </w:tcPr>
          <w:p w14:paraId="482DA719" w14:textId="77777777" w:rsidR="00C11F37" w:rsidRPr="006E7055" w:rsidRDefault="00C11F37" w:rsidP="003F052A">
            <w:pPr>
              <w:suppressLineNumbers/>
              <w:suppressAutoHyphens/>
              <w:spacing w:before="60" w:after="60"/>
              <w:jc w:val="left"/>
              <w:rPr>
                <w:rFonts w:eastAsia="MS Mincho"/>
                <w:kern w:val="22"/>
                <w:szCs w:val="22"/>
              </w:rPr>
            </w:pPr>
            <w:r w:rsidRPr="006E7055">
              <w:rPr>
                <w:rFonts w:eastAsia="MS Mincho"/>
                <w:kern w:val="22"/>
                <w:szCs w:val="22"/>
              </w:rPr>
              <w:t xml:space="preserve">(a) Percentage of Parties that have adequate resources for biosafety from national </w:t>
            </w:r>
            <w:proofErr w:type="gramStart"/>
            <w:r w:rsidRPr="006E7055">
              <w:rPr>
                <w:rFonts w:eastAsia="MS Mincho"/>
                <w:kern w:val="22"/>
                <w:szCs w:val="22"/>
              </w:rPr>
              <w:t>budgets;</w:t>
            </w:r>
            <w:proofErr w:type="gramEnd"/>
          </w:p>
          <w:p w14:paraId="1A704C51" w14:textId="77777777" w:rsidR="00C11F37" w:rsidRPr="006E7055" w:rsidRDefault="00C11F37" w:rsidP="003F052A">
            <w:pPr>
              <w:suppressLineNumbers/>
              <w:suppressAutoHyphens/>
              <w:spacing w:before="60" w:after="60"/>
              <w:jc w:val="left"/>
              <w:rPr>
                <w:rFonts w:eastAsia="MS Mincho"/>
                <w:kern w:val="22"/>
                <w:szCs w:val="22"/>
              </w:rPr>
            </w:pPr>
            <w:r w:rsidRPr="006E7055">
              <w:rPr>
                <w:rFonts w:eastAsia="MS Mincho"/>
                <w:kern w:val="22"/>
                <w:szCs w:val="22"/>
              </w:rPr>
              <w:t xml:space="preserve">(b) Percentage of eligible Parties that use national STAR allocations for biosafety </w:t>
            </w:r>
            <w:proofErr w:type="gramStart"/>
            <w:r w:rsidRPr="006E7055">
              <w:rPr>
                <w:rFonts w:eastAsia="MS Mincho"/>
                <w:kern w:val="22"/>
                <w:szCs w:val="22"/>
              </w:rPr>
              <w:t>activities;</w:t>
            </w:r>
            <w:proofErr w:type="gramEnd"/>
          </w:p>
          <w:p w14:paraId="612C77EC" w14:textId="77777777" w:rsidR="00C11F37" w:rsidRPr="006E7055" w:rsidRDefault="00C11F37" w:rsidP="003F052A">
            <w:pPr>
              <w:suppressLineNumbers/>
              <w:suppressAutoHyphens/>
              <w:spacing w:before="60" w:after="120"/>
              <w:jc w:val="left"/>
              <w:rPr>
                <w:bCs/>
                <w:kern w:val="22"/>
                <w:szCs w:val="22"/>
              </w:rPr>
            </w:pPr>
            <w:r w:rsidRPr="006E7055">
              <w:rPr>
                <w:rFonts w:eastAsia="MS Mincho"/>
                <w:kern w:val="22"/>
                <w:szCs w:val="22"/>
              </w:rPr>
              <w:t>(c) Percentage of Parties having accessed additional resources.</w:t>
            </w:r>
          </w:p>
        </w:tc>
        <w:tc>
          <w:tcPr>
            <w:tcW w:w="2286" w:type="dxa"/>
          </w:tcPr>
          <w:p w14:paraId="020170EE"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Full implementation of the Protocol is enabled by adequate resources</w:t>
            </w:r>
          </w:p>
        </w:tc>
      </w:tr>
      <w:tr w:rsidR="00C11F37" w:rsidRPr="003F052A" w14:paraId="101754AF" w14:textId="77777777" w:rsidTr="00E00FF6">
        <w:tc>
          <w:tcPr>
            <w:tcW w:w="1844" w:type="dxa"/>
          </w:tcPr>
          <w:p w14:paraId="5B2DEFB3"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 xml:space="preserve">B.3. Parties promote and facilitate public awareness, education and participation on the safe transfer, </w:t>
            </w:r>
            <w:proofErr w:type="gramStart"/>
            <w:r w:rsidRPr="003F052A">
              <w:rPr>
                <w:rFonts w:eastAsia="MS Mincho"/>
                <w:b/>
                <w:kern w:val="22"/>
                <w:szCs w:val="22"/>
              </w:rPr>
              <w:t>handling</w:t>
            </w:r>
            <w:proofErr w:type="gramEnd"/>
            <w:r w:rsidRPr="003F052A">
              <w:rPr>
                <w:rFonts w:eastAsia="MS Mincho"/>
                <w:b/>
                <w:kern w:val="22"/>
                <w:szCs w:val="22"/>
              </w:rPr>
              <w:t xml:space="preserve"> and use of LMOs,</w:t>
            </w:r>
            <w:r w:rsidRPr="003F052A">
              <w:rPr>
                <w:rFonts w:eastAsia="MS Mincho"/>
                <w:b/>
                <w:bCs/>
                <w:kern w:val="22"/>
                <w:szCs w:val="22"/>
              </w:rPr>
              <w:t xml:space="preserve"> in accordance with Article 23 of the Protocol</w:t>
            </w:r>
          </w:p>
        </w:tc>
        <w:tc>
          <w:tcPr>
            <w:tcW w:w="3118" w:type="dxa"/>
          </w:tcPr>
          <w:p w14:paraId="0C518302"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B.3.1. Parties have developed mechanisms to promote and facilitate public awareness, education and participation in </w:t>
            </w:r>
            <w:proofErr w:type="gramStart"/>
            <w:r w:rsidRPr="003F052A">
              <w:rPr>
                <w:rFonts w:eastAsia="MS Mincho"/>
                <w:kern w:val="22"/>
                <w:szCs w:val="22"/>
              </w:rPr>
              <w:t>biosafety;</w:t>
            </w:r>
            <w:proofErr w:type="gramEnd"/>
          </w:p>
          <w:p w14:paraId="2E1B97E1"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B.3.2. Parties have access to resource materials for promoting and facilitating public awareness, education and participation in </w:t>
            </w:r>
            <w:proofErr w:type="gramStart"/>
            <w:r w:rsidRPr="003F052A">
              <w:rPr>
                <w:rFonts w:eastAsia="MS Mincho"/>
                <w:kern w:val="22"/>
                <w:szCs w:val="22"/>
              </w:rPr>
              <w:t>biosafety;</w:t>
            </w:r>
            <w:proofErr w:type="gramEnd"/>
          </w:p>
          <w:p w14:paraId="739E5665"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B.3.3. Parties consult the public in making decisions on LMOs, in accordance with their </w:t>
            </w:r>
            <w:r w:rsidRPr="003F052A">
              <w:rPr>
                <w:rFonts w:eastAsia="MS Mincho"/>
                <w:szCs w:val="22"/>
              </w:rPr>
              <w:t>respective laws and regulations</w:t>
            </w:r>
            <w:r w:rsidRPr="003F052A">
              <w:rPr>
                <w:rFonts w:eastAsia="MS Mincho"/>
                <w:kern w:val="22"/>
                <w:szCs w:val="22"/>
              </w:rPr>
              <w:t xml:space="preserve">, and make the results of decisions available to the </w:t>
            </w:r>
            <w:proofErr w:type="gramStart"/>
            <w:r w:rsidRPr="003F052A">
              <w:rPr>
                <w:rFonts w:eastAsia="MS Mincho"/>
                <w:kern w:val="22"/>
                <w:szCs w:val="22"/>
              </w:rPr>
              <w:t>public;</w:t>
            </w:r>
            <w:proofErr w:type="gramEnd"/>
          </w:p>
          <w:p w14:paraId="1C6561B8"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B.3.4. Parties inform the public about the means of public access to the BCH.</w:t>
            </w:r>
          </w:p>
        </w:tc>
        <w:tc>
          <w:tcPr>
            <w:tcW w:w="3809" w:type="dxa"/>
          </w:tcPr>
          <w:p w14:paraId="7862A19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accessing resource materials for facilitating and promoting public awareness, education and participation in </w:t>
            </w:r>
            <w:proofErr w:type="gramStart"/>
            <w:r w:rsidRPr="003F052A">
              <w:rPr>
                <w:rFonts w:eastAsia="MS Mincho"/>
                <w:kern w:val="22"/>
                <w:szCs w:val="22"/>
              </w:rPr>
              <w:t>biosafety;</w:t>
            </w:r>
            <w:proofErr w:type="gramEnd"/>
          </w:p>
          <w:p w14:paraId="7ADDFE3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mainstreaming biosafety in relevant educational and training </w:t>
            </w:r>
            <w:proofErr w:type="gramStart"/>
            <w:r w:rsidRPr="003F052A">
              <w:rPr>
                <w:rFonts w:eastAsia="MS Mincho"/>
                <w:kern w:val="22"/>
                <w:szCs w:val="22"/>
              </w:rPr>
              <w:t>programmes;</w:t>
            </w:r>
            <w:proofErr w:type="gramEnd"/>
          </w:p>
          <w:p w14:paraId="316E4E3C"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(c) Percentage of Parties having in place a mechanism facilitating and promoting public participation in decision-making regarding </w:t>
            </w:r>
            <w:proofErr w:type="gramStart"/>
            <w:r w:rsidRPr="003F052A">
              <w:rPr>
                <w:rFonts w:eastAsia="MS Mincho"/>
                <w:kern w:val="22"/>
                <w:szCs w:val="22"/>
              </w:rPr>
              <w:t>LMOs;</w:t>
            </w:r>
            <w:proofErr w:type="gramEnd"/>
          </w:p>
          <w:p w14:paraId="6FBC2DEF"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(d) Percentage of Parties informing the public about means for participation in </w:t>
            </w:r>
            <w:proofErr w:type="gramStart"/>
            <w:r w:rsidRPr="003F052A">
              <w:rPr>
                <w:rFonts w:eastAsia="MS Mincho"/>
                <w:kern w:val="22"/>
                <w:szCs w:val="22"/>
              </w:rPr>
              <w:t>decision-making;</w:t>
            </w:r>
            <w:proofErr w:type="gramEnd"/>
          </w:p>
          <w:p w14:paraId="213B175F"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(e) Percentage of Parties having consulted the public in the decision-making process</w:t>
            </w:r>
            <w:r w:rsidRPr="003F052A">
              <w:rPr>
                <w:rFonts w:eastAsia="MS Mincho"/>
                <w:szCs w:val="22"/>
              </w:rPr>
              <w:t xml:space="preserve"> in accordance with their respective laws and </w:t>
            </w:r>
            <w:proofErr w:type="gramStart"/>
            <w:r w:rsidRPr="003F052A">
              <w:rPr>
                <w:rFonts w:eastAsia="MS Mincho"/>
                <w:szCs w:val="22"/>
              </w:rPr>
              <w:t>regulations</w:t>
            </w:r>
            <w:r w:rsidRPr="003F052A">
              <w:rPr>
                <w:rFonts w:eastAsia="MS Mincho"/>
                <w:kern w:val="22"/>
                <w:szCs w:val="22"/>
              </w:rPr>
              <w:t>;</w:t>
            </w:r>
            <w:proofErr w:type="gramEnd"/>
          </w:p>
          <w:p w14:paraId="72FC6090"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(f) Percentage of Parties making the results of decisions available to the </w:t>
            </w:r>
            <w:proofErr w:type="gramStart"/>
            <w:r w:rsidRPr="003F052A">
              <w:rPr>
                <w:rFonts w:eastAsia="MS Mincho"/>
                <w:kern w:val="22"/>
                <w:szCs w:val="22"/>
              </w:rPr>
              <w:t>public;</w:t>
            </w:r>
            <w:proofErr w:type="gramEnd"/>
          </w:p>
          <w:p w14:paraId="57117856"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(g) Percentage of Parties that have informed the public about the means of public access to the BCH.</w:t>
            </w:r>
          </w:p>
        </w:tc>
        <w:tc>
          <w:tcPr>
            <w:tcW w:w="2286" w:type="dxa"/>
          </w:tcPr>
          <w:p w14:paraId="5442572E"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Through public awareness, education and participation, Parties ensure that the public is appropriately informed about the safe transfer, handling and use of LMOs and involved in decision-making on the safe transfer, handling and use of LMOs</w:t>
            </w:r>
          </w:p>
        </w:tc>
      </w:tr>
      <w:tr w:rsidR="00C11F37" w:rsidRPr="003F052A" w14:paraId="33B2C915" w14:textId="77777777" w:rsidTr="00E00FF6">
        <w:tc>
          <w:tcPr>
            <w:tcW w:w="1844" w:type="dxa"/>
          </w:tcPr>
          <w:p w14:paraId="6A18704C" w14:textId="77777777" w:rsidR="00C11F37" w:rsidRPr="003F052A" w:rsidRDefault="00C11F37" w:rsidP="003F052A">
            <w:pPr>
              <w:suppressLineNumbers/>
              <w:suppressAutoHyphens/>
              <w:spacing w:before="60" w:after="120"/>
              <w:jc w:val="left"/>
              <w:rPr>
                <w:bCs/>
                <w:kern w:val="22"/>
                <w:szCs w:val="22"/>
              </w:rPr>
            </w:pPr>
            <w:r w:rsidRPr="003F052A">
              <w:rPr>
                <w:rFonts w:eastAsia="MS Mincho"/>
                <w:b/>
                <w:kern w:val="22"/>
                <w:szCs w:val="22"/>
              </w:rPr>
              <w:t xml:space="preserve">B.4. Parties enhance cooperation and coordination on biosafety issues at the national, </w:t>
            </w:r>
            <w:proofErr w:type="gramStart"/>
            <w:r w:rsidRPr="003F052A">
              <w:rPr>
                <w:rFonts w:eastAsia="MS Mincho"/>
                <w:b/>
                <w:kern w:val="22"/>
                <w:szCs w:val="22"/>
              </w:rPr>
              <w:t>regional</w:t>
            </w:r>
            <w:proofErr w:type="gramEnd"/>
            <w:r w:rsidRPr="003F052A">
              <w:rPr>
                <w:rFonts w:eastAsia="MS Mincho"/>
                <w:b/>
                <w:kern w:val="22"/>
                <w:szCs w:val="22"/>
              </w:rPr>
              <w:t xml:space="preserve"> and international levels</w:t>
            </w:r>
          </w:p>
        </w:tc>
        <w:tc>
          <w:tcPr>
            <w:tcW w:w="3118" w:type="dxa"/>
          </w:tcPr>
          <w:p w14:paraId="469912B0"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B.4.1. Parties cooperate to support implementation of the Protocol, including through the exchange of scientific, technical and institutional </w:t>
            </w:r>
            <w:proofErr w:type="gramStart"/>
            <w:r w:rsidRPr="003F052A">
              <w:rPr>
                <w:rFonts w:eastAsia="MS Mincho"/>
                <w:kern w:val="22"/>
                <w:szCs w:val="22"/>
              </w:rPr>
              <w:t>knowledge;</w:t>
            </w:r>
            <w:proofErr w:type="gramEnd"/>
          </w:p>
          <w:p w14:paraId="796EC62C"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B.4.2. Parties have put in place effective mechanisms to involve indigenous peoples and local communities and relevant stakeholders from different sectors in the implementation of the </w:t>
            </w:r>
            <w:proofErr w:type="gramStart"/>
            <w:r w:rsidRPr="003F052A">
              <w:rPr>
                <w:rFonts w:eastAsia="MS Mincho"/>
                <w:kern w:val="22"/>
                <w:szCs w:val="22"/>
              </w:rPr>
              <w:t>Protocol;</w:t>
            </w:r>
            <w:proofErr w:type="gramEnd"/>
          </w:p>
          <w:p w14:paraId="29B576D4"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B.4.3. Parties facilitate sectoral and cross-sectoral coordination and cooperation at the national level to mainstream biosafety.</w:t>
            </w:r>
          </w:p>
        </w:tc>
        <w:tc>
          <w:tcPr>
            <w:tcW w:w="3809" w:type="dxa"/>
          </w:tcPr>
          <w:p w14:paraId="319C6BC6"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(a) Percentage of Parties cooperating in exchanging scientific, technical and institutional </w:t>
            </w:r>
            <w:proofErr w:type="gramStart"/>
            <w:r w:rsidRPr="003F052A">
              <w:rPr>
                <w:rFonts w:eastAsia="MS Mincho"/>
                <w:kern w:val="22"/>
                <w:szCs w:val="22"/>
              </w:rPr>
              <w:t>knowledge;</w:t>
            </w:r>
            <w:proofErr w:type="gramEnd"/>
          </w:p>
          <w:p w14:paraId="58DF4CB7"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(b) Percentage of Parties engaging in bilateral, regional or multilateral activities for the implementation of the </w:t>
            </w:r>
            <w:proofErr w:type="gramStart"/>
            <w:r w:rsidRPr="003F052A">
              <w:rPr>
                <w:rFonts w:eastAsia="MS Mincho"/>
                <w:kern w:val="22"/>
                <w:szCs w:val="22"/>
              </w:rPr>
              <w:t>Protocol;</w:t>
            </w:r>
            <w:proofErr w:type="gramEnd"/>
          </w:p>
          <w:p w14:paraId="098EF4C1" w14:textId="77777777" w:rsidR="00C11F37" w:rsidRPr="003F052A" w:rsidRDefault="00C11F37" w:rsidP="003F052A">
            <w:pPr>
              <w:suppressLineNumbers/>
              <w:suppressAutoHyphens/>
              <w:spacing w:before="60" w:after="60"/>
              <w:jc w:val="left"/>
              <w:rPr>
                <w:rFonts w:eastAsia="MS Mincho"/>
                <w:kern w:val="22"/>
                <w:szCs w:val="22"/>
              </w:rPr>
            </w:pPr>
            <w:r w:rsidRPr="003F052A">
              <w:rPr>
                <w:rFonts w:eastAsia="MS Mincho"/>
                <w:kern w:val="22"/>
                <w:szCs w:val="22"/>
              </w:rPr>
              <w:t xml:space="preserve">(c) Percentage of Parties that have mechanisms for involving indigenous peoples and local communities and relevant stakeholders from different sectors in the implementation of the </w:t>
            </w:r>
            <w:proofErr w:type="gramStart"/>
            <w:r w:rsidRPr="003F052A">
              <w:rPr>
                <w:rFonts w:eastAsia="MS Mincho"/>
                <w:kern w:val="22"/>
                <w:szCs w:val="22"/>
              </w:rPr>
              <w:t>Protocol;</w:t>
            </w:r>
            <w:proofErr w:type="gramEnd"/>
          </w:p>
          <w:p w14:paraId="4C5055A5"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(d) Percentage of Parties that have integrated biosafety in national sectoral and cross-sectoral strategies, action plans, programmes, </w:t>
            </w:r>
            <w:proofErr w:type="gramStart"/>
            <w:r w:rsidRPr="003F052A">
              <w:rPr>
                <w:rFonts w:eastAsia="MS Mincho"/>
                <w:kern w:val="22"/>
                <w:szCs w:val="22"/>
              </w:rPr>
              <w:t>policies</w:t>
            </w:r>
            <w:proofErr w:type="gramEnd"/>
            <w:r w:rsidRPr="003F052A">
              <w:rPr>
                <w:rFonts w:eastAsia="MS Mincho"/>
                <w:kern w:val="22"/>
                <w:szCs w:val="22"/>
              </w:rPr>
              <w:t xml:space="preserve"> or legislation.</w:t>
            </w:r>
          </w:p>
        </w:tc>
        <w:tc>
          <w:tcPr>
            <w:tcW w:w="2286" w:type="dxa"/>
          </w:tcPr>
          <w:p w14:paraId="40F28A5C" w14:textId="77777777" w:rsidR="00C11F37" w:rsidRPr="003F052A" w:rsidRDefault="00C11F37" w:rsidP="003F052A">
            <w:pPr>
              <w:suppressLineNumbers/>
              <w:suppressAutoHyphens/>
              <w:spacing w:before="60" w:after="120"/>
              <w:jc w:val="left"/>
              <w:rPr>
                <w:bCs/>
                <w:kern w:val="22"/>
                <w:szCs w:val="22"/>
              </w:rPr>
            </w:pPr>
            <w:r w:rsidRPr="003F052A">
              <w:rPr>
                <w:rFonts w:eastAsia="MS Mincho"/>
                <w:kern w:val="22"/>
                <w:szCs w:val="22"/>
              </w:rPr>
              <w:t xml:space="preserve">Through cooperation at the national, </w:t>
            </w:r>
            <w:proofErr w:type="gramStart"/>
            <w:r w:rsidRPr="003F052A">
              <w:rPr>
                <w:rFonts w:eastAsia="MS Mincho"/>
                <w:kern w:val="22"/>
                <w:szCs w:val="22"/>
              </w:rPr>
              <w:t>regional</w:t>
            </w:r>
            <w:proofErr w:type="gramEnd"/>
            <w:r w:rsidRPr="003F052A">
              <w:rPr>
                <w:rFonts w:eastAsia="MS Mincho"/>
                <w:kern w:val="22"/>
                <w:szCs w:val="22"/>
              </w:rPr>
              <w:t xml:space="preserve"> and international levels, and participation of stakeholders, Parties’ implementation of the Protocol is more effective</w:t>
            </w:r>
          </w:p>
        </w:tc>
      </w:tr>
    </w:tbl>
    <w:p w14:paraId="3093D971" w14:textId="09862571" w:rsidR="00B3369F" w:rsidRPr="00C9161D" w:rsidRDefault="0077674C" w:rsidP="006E4130">
      <w:pPr>
        <w:spacing w:before="120" w:after="120"/>
        <w:ind w:firstLine="567"/>
        <w:jc w:val="center"/>
      </w:pPr>
      <w:r>
        <w:t>__________</w:t>
      </w:r>
    </w:p>
    <w:sectPr w:rsidR="00B3369F" w:rsidRPr="00C9161D" w:rsidSect="00E00FF6">
      <w:headerReference w:type="even" r:id="rId15"/>
      <w:headerReference w:type="default" r:id="rId16"/>
      <w:pgSz w:w="12240" w:h="15840" w:code="1"/>
      <w:pgMar w:top="115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071A" w14:textId="77777777" w:rsidR="00941E83" w:rsidRDefault="00941E83" w:rsidP="00CF1848">
      <w:r>
        <w:separator/>
      </w:r>
    </w:p>
  </w:endnote>
  <w:endnote w:type="continuationSeparator" w:id="0">
    <w:p w14:paraId="7B3F7AB1" w14:textId="77777777" w:rsidR="00941E83" w:rsidRDefault="00941E83" w:rsidP="00CF1848">
      <w:r>
        <w:continuationSeparator/>
      </w:r>
    </w:p>
  </w:endnote>
  <w:endnote w:type="continuationNotice" w:id="1">
    <w:p w14:paraId="7C7133D1" w14:textId="77777777" w:rsidR="00941E83" w:rsidRDefault="00941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289B" w14:textId="77777777" w:rsidR="00941E83" w:rsidRDefault="00941E83" w:rsidP="00CF1848">
      <w:r>
        <w:separator/>
      </w:r>
    </w:p>
  </w:footnote>
  <w:footnote w:type="continuationSeparator" w:id="0">
    <w:p w14:paraId="784CF34C" w14:textId="77777777" w:rsidR="00941E83" w:rsidRDefault="00941E83" w:rsidP="00CF1848">
      <w:r>
        <w:continuationSeparator/>
      </w:r>
    </w:p>
  </w:footnote>
  <w:footnote w:type="continuationNotice" w:id="1">
    <w:p w14:paraId="2113302E" w14:textId="77777777" w:rsidR="00941E83" w:rsidRDefault="00941E83"/>
  </w:footnote>
  <w:footnote w:id="2">
    <w:p w14:paraId="30D373F8" w14:textId="680FCA7D" w:rsidR="0071136A" w:rsidRPr="001B699D" w:rsidRDefault="0071136A" w:rsidP="001B699D">
      <w:pPr>
        <w:pStyle w:val="FootnoteText"/>
        <w:ind w:firstLine="0"/>
        <w:rPr>
          <w:lang w:val="it-IT"/>
        </w:rPr>
      </w:pPr>
      <w:r>
        <w:rPr>
          <w:rStyle w:val="FootnoteReference"/>
        </w:rPr>
        <w:t>*</w:t>
      </w:r>
      <w:r>
        <w:t xml:space="preserve"> </w:t>
      </w:r>
      <w:r>
        <w:rPr>
          <w:lang w:val="en-CA"/>
        </w:rPr>
        <w:t xml:space="preserve">Reissued for technical reasons on </w:t>
      </w:r>
      <w:r w:rsidR="00F465FF">
        <w:rPr>
          <w:lang w:val="en-CA"/>
        </w:rPr>
        <w:t>6 July</w:t>
      </w:r>
      <w:r w:rsidR="00651772">
        <w:rPr>
          <w:lang w:val="en-CA"/>
        </w:rPr>
        <w:t xml:space="preserve"> 2023 (correction to para. </w:t>
      </w:r>
      <w:r w:rsidR="00651772" w:rsidRPr="00C824E3">
        <w:rPr>
          <w:lang w:val="it-IT"/>
        </w:rPr>
        <w:t>9).</w:t>
      </w:r>
    </w:p>
  </w:footnote>
  <w:footnote w:id="3">
    <w:p w14:paraId="23D33EAA" w14:textId="77777777" w:rsidR="00F34D6D" w:rsidRPr="001B699D" w:rsidRDefault="00F34D6D" w:rsidP="00F34D6D">
      <w:pPr>
        <w:pStyle w:val="FootnoteText"/>
        <w:ind w:firstLine="0"/>
        <w:jc w:val="left"/>
        <w:rPr>
          <w:szCs w:val="18"/>
          <w:lang w:val="it-IT"/>
        </w:rPr>
      </w:pPr>
      <w:r w:rsidRPr="00800E95">
        <w:rPr>
          <w:rStyle w:val="FootnoteReference"/>
          <w:sz w:val="18"/>
          <w:szCs w:val="18"/>
        </w:rPr>
        <w:footnoteRef/>
      </w:r>
      <w:r w:rsidRPr="001B699D">
        <w:rPr>
          <w:szCs w:val="18"/>
          <w:lang w:val="it-IT"/>
        </w:rPr>
        <w:t xml:space="preserve"> </w:t>
      </w:r>
      <w:proofErr w:type="spellStart"/>
      <w:r w:rsidRPr="001B699D">
        <w:rPr>
          <w:szCs w:val="18"/>
          <w:lang w:val="it-IT"/>
        </w:rPr>
        <w:t>Decision</w:t>
      </w:r>
      <w:proofErr w:type="spellEnd"/>
      <w:r w:rsidRPr="001B699D">
        <w:rPr>
          <w:szCs w:val="18"/>
          <w:lang w:val="it-IT"/>
        </w:rPr>
        <w:t xml:space="preserve"> </w:t>
      </w:r>
      <w:hyperlink r:id="rId1" w:history="1">
        <w:r w:rsidRPr="001B699D">
          <w:rPr>
            <w:rStyle w:val="Hyperlink"/>
            <w:szCs w:val="18"/>
            <w:lang w:val="it-IT"/>
          </w:rPr>
          <w:t>BS-V/16</w:t>
        </w:r>
      </w:hyperlink>
      <w:r w:rsidRPr="001B699D">
        <w:rPr>
          <w:color w:val="003344"/>
          <w:szCs w:val="18"/>
          <w:shd w:val="clear" w:color="auto" w:fill="FFFFFF"/>
          <w:lang w:val="it-IT"/>
        </w:rPr>
        <w:t>.</w:t>
      </w:r>
    </w:p>
  </w:footnote>
  <w:footnote w:id="4">
    <w:p w14:paraId="04433A78" w14:textId="77777777" w:rsidR="007049D5" w:rsidRPr="00E00FF6" w:rsidRDefault="007049D5" w:rsidP="007049D5">
      <w:pPr>
        <w:pStyle w:val="FootnoteText"/>
        <w:ind w:firstLine="0"/>
        <w:rPr>
          <w:lang w:val="it-IT"/>
        </w:rPr>
      </w:pPr>
      <w:r w:rsidRPr="00E00FF6">
        <w:rPr>
          <w:rStyle w:val="FootnoteReference"/>
        </w:rPr>
        <w:footnoteRef/>
      </w:r>
      <w:r w:rsidRPr="00E00FF6">
        <w:rPr>
          <w:lang w:val="it-IT"/>
        </w:rPr>
        <w:t xml:space="preserve"> </w:t>
      </w:r>
      <w:proofErr w:type="spellStart"/>
      <w:r w:rsidRPr="00E00FF6">
        <w:rPr>
          <w:lang w:val="it-IT"/>
        </w:rPr>
        <w:t>Decision</w:t>
      </w:r>
      <w:proofErr w:type="spellEnd"/>
      <w:r w:rsidRPr="00E00FF6">
        <w:rPr>
          <w:lang w:val="it-IT"/>
        </w:rPr>
        <w:t xml:space="preserve"> CP-10/4.</w:t>
      </w:r>
    </w:p>
  </w:footnote>
  <w:footnote w:id="5">
    <w:p w14:paraId="2BAA5839" w14:textId="77777777" w:rsidR="00932060" w:rsidRPr="00015379" w:rsidRDefault="00932060" w:rsidP="00932060">
      <w:pPr>
        <w:pStyle w:val="FootnoteText"/>
        <w:ind w:firstLine="0"/>
        <w:jc w:val="left"/>
        <w:rPr>
          <w:szCs w:val="18"/>
          <w:lang w:val="it-IT"/>
        </w:rPr>
      </w:pPr>
      <w:r w:rsidRPr="00015379">
        <w:rPr>
          <w:rStyle w:val="FootnoteReference"/>
          <w:rFonts w:asciiTheme="majorBidi" w:hAnsiTheme="majorBidi" w:cstheme="majorBidi"/>
          <w:sz w:val="18"/>
          <w:szCs w:val="18"/>
        </w:rPr>
        <w:footnoteRef/>
      </w:r>
      <w:r w:rsidRPr="00015379">
        <w:rPr>
          <w:szCs w:val="18"/>
          <w:lang w:val="it-IT"/>
        </w:rPr>
        <w:t xml:space="preserve"> CBD/SBI/3/3/Add.1.</w:t>
      </w:r>
    </w:p>
  </w:footnote>
  <w:footnote w:id="6">
    <w:p w14:paraId="3CEF1476" w14:textId="5AEF8781" w:rsidR="001727B5" w:rsidRPr="00C824E3" w:rsidRDefault="001727B5" w:rsidP="00E00FF6">
      <w:pPr>
        <w:pStyle w:val="FootnoteText"/>
        <w:ind w:firstLine="0"/>
        <w:rPr>
          <w:lang w:val="it-IT"/>
        </w:rPr>
      </w:pPr>
      <w:r w:rsidRPr="00284B0A">
        <w:rPr>
          <w:rStyle w:val="FootnoteReference"/>
        </w:rPr>
        <w:footnoteRef/>
      </w:r>
      <w:r w:rsidRPr="00C824E3">
        <w:rPr>
          <w:lang w:val="it-IT"/>
        </w:rPr>
        <w:t xml:space="preserve"> </w:t>
      </w:r>
      <w:proofErr w:type="spellStart"/>
      <w:r w:rsidRPr="00C824E3">
        <w:rPr>
          <w:lang w:val="it-IT"/>
        </w:rPr>
        <w:t>Decision</w:t>
      </w:r>
      <w:proofErr w:type="spellEnd"/>
      <w:r w:rsidRPr="00C824E3">
        <w:rPr>
          <w:lang w:val="it-IT"/>
        </w:rPr>
        <w:t xml:space="preserve"> CP-10/</w:t>
      </w:r>
      <w:r w:rsidR="00BA0218" w:rsidRPr="00C824E3">
        <w:rPr>
          <w:lang w:val="it-IT"/>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798828556"/>
      <w:placeholder>
        <w:docPart w:val="96ECEFB07B6D4D89BA49740A9E68003A"/>
      </w:placeholder>
      <w:dataBinding w:prefixMappings="xmlns:ns0='http://purl.org/dc/elements/1.1/' xmlns:ns1='http://schemas.openxmlformats.org/package/2006/metadata/core-properties' " w:xpath="/ns1:coreProperties[1]/ns0:subject[1]" w:storeItemID="{6C3C8BC8-F283-45AE-878A-BAB7291924A1}"/>
      <w:text/>
    </w:sdtPr>
    <w:sdtEndPr/>
    <w:sdtContent>
      <w:p w14:paraId="4CDF369A" w14:textId="7BAC8D6C" w:rsidR="00A44160" w:rsidRPr="00455324" w:rsidRDefault="00C10EF8" w:rsidP="00A44160">
        <w:pPr>
          <w:pStyle w:val="Header"/>
          <w:rPr>
            <w:lang w:val="nl-NL"/>
          </w:rPr>
        </w:pPr>
        <w:r>
          <w:rPr>
            <w:lang w:val="nl-NL"/>
          </w:rPr>
          <w:t>CBD/CP/MOP/DEC/10/3</w:t>
        </w:r>
      </w:p>
    </w:sdtContent>
  </w:sdt>
  <w:p w14:paraId="2A3EA1E4" w14:textId="77777777" w:rsidR="00A44160" w:rsidRPr="00455324" w:rsidRDefault="00A44160" w:rsidP="00A44160">
    <w:pPr>
      <w:pStyle w:val="Header"/>
      <w:rPr>
        <w:lang w:val="nl-NL"/>
      </w:rPr>
    </w:pPr>
    <w:r w:rsidRPr="00455324">
      <w:rPr>
        <w:lang w:val="nl-NL"/>
      </w:rPr>
      <w:t xml:space="preserve">Page </w:t>
    </w:r>
    <w:r>
      <w:fldChar w:fldCharType="begin"/>
    </w:r>
    <w:r w:rsidRPr="00455324">
      <w:rPr>
        <w:lang w:val="nl-NL"/>
      </w:rPr>
      <w:instrText xml:space="preserve"> PAGE   \* MERGEFORMAT </w:instrText>
    </w:r>
    <w:r>
      <w:fldChar w:fldCharType="separate"/>
    </w:r>
    <w:r w:rsidRPr="00E00FF6">
      <w:rPr>
        <w:lang w:val="fr-CA"/>
      </w:rPr>
      <w:t>3</w:t>
    </w:r>
    <w:r>
      <w:rPr>
        <w:noProof/>
      </w:rPr>
      <w:fldChar w:fldCharType="end"/>
    </w:r>
  </w:p>
  <w:p w14:paraId="7A038B66" w14:textId="77777777" w:rsidR="00994C0A" w:rsidRPr="00E00FF6" w:rsidRDefault="00994C0A">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049032960"/>
      <w:placeholder>
        <w:docPart w:val="F1A354B29E8D457E869A4D9A11EBA9EB"/>
      </w:placeholder>
      <w:dataBinding w:prefixMappings="xmlns:ns0='http://purl.org/dc/elements/1.1/' xmlns:ns1='http://schemas.openxmlformats.org/package/2006/metadata/core-properties' " w:xpath="/ns1:coreProperties[1]/ns0:subject[1]" w:storeItemID="{6C3C8BC8-F283-45AE-878A-BAB7291924A1}"/>
      <w:text/>
    </w:sdtPr>
    <w:sdtEndPr/>
    <w:sdtContent>
      <w:p w14:paraId="6CC5A4EF" w14:textId="76E63E3A" w:rsidR="00A44160" w:rsidRPr="00455324" w:rsidRDefault="00C10EF8" w:rsidP="00637967">
        <w:pPr>
          <w:pStyle w:val="Header"/>
          <w:jc w:val="right"/>
          <w:rPr>
            <w:lang w:val="nl-NL"/>
          </w:rPr>
        </w:pPr>
        <w:r>
          <w:rPr>
            <w:lang w:val="nl-NL"/>
          </w:rPr>
          <w:t>CBD/CP/MOP/DEC/10/3</w:t>
        </w:r>
      </w:p>
    </w:sdtContent>
  </w:sdt>
  <w:p w14:paraId="75554F72" w14:textId="77777777" w:rsidR="00A44160" w:rsidRPr="00455324" w:rsidRDefault="00A44160" w:rsidP="00637967">
    <w:pPr>
      <w:pStyle w:val="Header"/>
      <w:jc w:val="right"/>
      <w:rPr>
        <w:lang w:val="nl-NL"/>
      </w:rPr>
    </w:pPr>
    <w:r w:rsidRPr="00455324">
      <w:rPr>
        <w:lang w:val="nl-NL"/>
      </w:rPr>
      <w:t xml:space="preserve">Page </w:t>
    </w:r>
    <w:r>
      <w:fldChar w:fldCharType="begin"/>
    </w:r>
    <w:r w:rsidRPr="00455324">
      <w:rPr>
        <w:lang w:val="nl-NL"/>
      </w:rPr>
      <w:instrText xml:space="preserve"> PAGE   \* MERGEFORMAT </w:instrText>
    </w:r>
    <w:r>
      <w:fldChar w:fldCharType="separate"/>
    </w:r>
    <w:r w:rsidRPr="00E00FF6">
      <w:rPr>
        <w:lang w:val="fr-CA"/>
      </w:rPr>
      <w:t>2</w:t>
    </w:r>
    <w:r>
      <w:rPr>
        <w:noProof/>
      </w:rPr>
      <w:fldChar w:fldCharType="end"/>
    </w:r>
  </w:p>
  <w:p w14:paraId="6EF9D57F" w14:textId="77777777" w:rsidR="004A7D2F" w:rsidRPr="00E00FF6" w:rsidRDefault="004A7D2F" w:rsidP="00637967">
    <w:pPr>
      <w:pStyle w:val="Header"/>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165114">
    <w:abstractNumId w:val="3"/>
  </w:num>
  <w:num w:numId="2" w16cid:durableId="1523515586">
    <w:abstractNumId w:val="6"/>
  </w:num>
  <w:num w:numId="3" w16cid:durableId="1553030618">
    <w:abstractNumId w:val="4"/>
  </w:num>
  <w:num w:numId="4" w16cid:durableId="1163466982">
    <w:abstractNumId w:val="6"/>
  </w:num>
  <w:num w:numId="5" w16cid:durableId="2061594470">
    <w:abstractNumId w:val="5"/>
  </w:num>
  <w:num w:numId="6" w16cid:durableId="1266838861">
    <w:abstractNumId w:val="0"/>
  </w:num>
  <w:num w:numId="7" w16cid:durableId="1557088622">
    <w:abstractNumId w:val="2"/>
  </w:num>
  <w:num w:numId="8" w16cid:durableId="317422988">
    <w:abstractNumId w:val="4"/>
    <w:lvlOverride w:ilvl="0">
      <w:startOverride w:val="1"/>
    </w:lvlOverride>
  </w:num>
  <w:num w:numId="9" w16cid:durableId="738939710">
    <w:abstractNumId w:val="9"/>
  </w:num>
  <w:num w:numId="10" w16cid:durableId="347222955">
    <w:abstractNumId w:val="4"/>
    <w:lvlOverride w:ilvl="0">
      <w:startOverride w:val="1"/>
    </w:lvlOverride>
  </w:num>
  <w:num w:numId="11" w16cid:durableId="1750230439">
    <w:abstractNumId w:val="4"/>
    <w:lvlOverride w:ilvl="0">
      <w:startOverride w:val="1"/>
    </w:lvlOverride>
  </w:num>
  <w:num w:numId="12" w16cid:durableId="519975085">
    <w:abstractNumId w:val="4"/>
    <w:lvlOverride w:ilvl="0">
      <w:startOverride w:val="1"/>
    </w:lvlOverride>
  </w:num>
  <w:num w:numId="13" w16cid:durableId="841893345">
    <w:abstractNumId w:val="4"/>
    <w:lvlOverride w:ilvl="0">
      <w:startOverride w:val="1"/>
    </w:lvlOverride>
  </w:num>
  <w:num w:numId="14" w16cid:durableId="919673867">
    <w:abstractNumId w:val="8"/>
  </w:num>
  <w:num w:numId="15" w16cid:durableId="1928340967">
    <w:abstractNumId w:val="7"/>
  </w:num>
  <w:num w:numId="16" w16cid:durableId="302934371">
    <w:abstractNumId w:val="1"/>
  </w:num>
  <w:num w:numId="17" w16cid:durableId="1674339614">
    <w:abstractNumId w:val="10"/>
  </w:num>
  <w:num w:numId="18" w16cid:durableId="1366710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DBF"/>
    <w:rsid w:val="0000595A"/>
    <w:rsid w:val="00005D2B"/>
    <w:rsid w:val="000065CC"/>
    <w:rsid w:val="0001408F"/>
    <w:rsid w:val="00015379"/>
    <w:rsid w:val="00020A25"/>
    <w:rsid w:val="000214CD"/>
    <w:rsid w:val="0004210B"/>
    <w:rsid w:val="0004440C"/>
    <w:rsid w:val="000507D1"/>
    <w:rsid w:val="000675BD"/>
    <w:rsid w:val="000712CD"/>
    <w:rsid w:val="0007171B"/>
    <w:rsid w:val="00076BCA"/>
    <w:rsid w:val="00076C58"/>
    <w:rsid w:val="00082409"/>
    <w:rsid w:val="0008525C"/>
    <w:rsid w:val="000866D3"/>
    <w:rsid w:val="00086AA2"/>
    <w:rsid w:val="000909FC"/>
    <w:rsid w:val="00092430"/>
    <w:rsid w:val="000A1E3F"/>
    <w:rsid w:val="000A35C0"/>
    <w:rsid w:val="000B4B94"/>
    <w:rsid w:val="000B5581"/>
    <w:rsid w:val="000B67B1"/>
    <w:rsid w:val="000B6D6F"/>
    <w:rsid w:val="000C49C8"/>
    <w:rsid w:val="000C64C2"/>
    <w:rsid w:val="000D7308"/>
    <w:rsid w:val="000E00EC"/>
    <w:rsid w:val="000E465A"/>
    <w:rsid w:val="000E673A"/>
    <w:rsid w:val="000E6C52"/>
    <w:rsid w:val="000F4870"/>
    <w:rsid w:val="000F74F5"/>
    <w:rsid w:val="00102C45"/>
    <w:rsid w:val="00105372"/>
    <w:rsid w:val="00122A9E"/>
    <w:rsid w:val="001309D8"/>
    <w:rsid w:val="001312AD"/>
    <w:rsid w:val="00131CBB"/>
    <w:rsid w:val="00131E7A"/>
    <w:rsid w:val="00134846"/>
    <w:rsid w:val="00136356"/>
    <w:rsid w:val="0014059D"/>
    <w:rsid w:val="00145828"/>
    <w:rsid w:val="00154692"/>
    <w:rsid w:val="001603B9"/>
    <w:rsid w:val="00161719"/>
    <w:rsid w:val="00166B7E"/>
    <w:rsid w:val="001713C3"/>
    <w:rsid w:val="001727B5"/>
    <w:rsid w:val="00172AF6"/>
    <w:rsid w:val="00175885"/>
    <w:rsid w:val="001763BE"/>
    <w:rsid w:val="00176CEE"/>
    <w:rsid w:val="0018309F"/>
    <w:rsid w:val="001832B6"/>
    <w:rsid w:val="00186DD8"/>
    <w:rsid w:val="001953B5"/>
    <w:rsid w:val="00196099"/>
    <w:rsid w:val="001A1226"/>
    <w:rsid w:val="001A51CF"/>
    <w:rsid w:val="001B13FE"/>
    <w:rsid w:val="001B699D"/>
    <w:rsid w:val="001C1A3B"/>
    <w:rsid w:val="001C1FD3"/>
    <w:rsid w:val="001D08BC"/>
    <w:rsid w:val="001D7BAE"/>
    <w:rsid w:val="001E098D"/>
    <w:rsid w:val="001E17C2"/>
    <w:rsid w:val="001E1D5A"/>
    <w:rsid w:val="001E5919"/>
    <w:rsid w:val="001E7074"/>
    <w:rsid w:val="001F7BB3"/>
    <w:rsid w:val="00201591"/>
    <w:rsid w:val="00203971"/>
    <w:rsid w:val="00205880"/>
    <w:rsid w:val="00207897"/>
    <w:rsid w:val="0021256B"/>
    <w:rsid w:val="002216A8"/>
    <w:rsid w:val="002274AC"/>
    <w:rsid w:val="00234933"/>
    <w:rsid w:val="002371DD"/>
    <w:rsid w:val="00241410"/>
    <w:rsid w:val="002424B3"/>
    <w:rsid w:val="00244DA0"/>
    <w:rsid w:val="00254D8D"/>
    <w:rsid w:val="00271B84"/>
    <w:rsid w:val="00276058"/>
    <w:rsid w:val="00276354"/>
    <w:rsid w:val="0027643E"/>
    <w:rsid w:val="00281A84"/>
    <w:rsid w:val="002821AB"/>
    <w:rsid w:val="00284B0A"/>
    <w:rsid w:val="002921CD"/>
    <w:rsid w:val="00294688"/>
    <w:rsid w:val="00296811"/>
    <w:rsid w:val="002A3C9E"/>
    <w:rsid w:val="002A4803"/>
    <w:rsid w:val="002A6B4C"/>
    <w:rsid w:val="002B6604"/>
    <w:rsid w:val="002C28F7"/>
    <w:rsid w:val="002C4F17"/>
    <w:rsid w:val="002C6163"/>
    <w:rsid w:val="002C786C"/>
    <w:rsid w:val="002C7BF2"/>
    <w:rsid w:val="002D0235"/>
    <w:rsid w:val="002E0963"/>
    <w:rsid w:val="002E28B7"/>
    <w:rsid w:val="002E49F9"/>
    <w:rsid w:val="002E70DC"/>
    <w:rsid w:val="002F00F7"/>
    <w:rsid w:val="002F4A63"/>
    <w:rsid w:val="0030169D"/>
    <w:rsid w:val="0030454F"/>
    <w:rsid w:val="003060EB"/>
    <w:rsid w:val="003153EB"/>
    <w:rsid w:val="003214AF"/>
    <w:rsid w:val="00321985"/>
    <w:rsid w:val="003241D1"/>
    <w:rsid w:val="00324DD2"/>
    <w:rsid w:val="00327590"/>
    <w:rsid w:val="00330DBC"/>
    <w:rsid w:val="00333F0C"/>
    <w:rsid w:val="0033459B"/>
    <w:rsid w:val="0033462D"/>
    <w:rsid w:val="003400EB"/>
    <w:rsid w:val="0034156F"/>
    <w:rsid w:val="00347508"/>
    <w:rsid w:val="00350C2A"/>
    <w:rsid w:val="00351205"/>
    <w:rsid w:val="0035702C"/>
    <w:rsid w:val="0036103E"/>
    <w:rsid w:val="0036202D"/>
    <w:rsid w:val="00372655"/>
    <w:rsid w:val="00372F74"/>
    <w:rsid w:val="0038223A"/>
    <w:rsid w:val="003875AB"/>
    <w:rsid w:val="00390129"/>
    <w:rsid w:val="00392A4D"/>
    <w:rsid w:val="003A214E"/>
    <w:rsid w:val="003B076E"/>
    <w:rsid w:val="003B1F59"/>
    <w:rsid w:val="003B3269"/>
    <w:rsid w:val="003B7BB2"/>
    <w:rsid w:val="003C4705"/>
    <w:rsid w:val="003D344A"/>
    <w:rsid w:val="003D3E96"/>
    <w:rsid w:val="003D58E7"/>
    <w:rsid w:val="003E2E67"/>
    <w:rsid w:val="003E3203"/>
    <w:rsid w:val="003E67CC"/>
    <w:rsid w:val="003F052A"/>
    <w:rsid w:val="003F1981"/>
    <w:rsid w:val="003F7224"/>
    <w:rsid w:val="003F7C4A"/>
    <w:rsid w:val="00400EDC"/>
    <w:rsid w:val="004212DD"/>
    <w:rsid w:val="004217B3"/>
    <w:rsid w:val="004233EE"/>
    <w:rsid w:val="00427A3E"/>
    <w:rsid w:val="00427D21"/>
    <w:rsid w:val="004302D3"/>
    <w:rsid w:val="00431AAC"/>
    <w:rsid w:val="004321B2"/>
    <w:rsid w:val="004447E3"/>
    <w:rsid w:val="00444DC4"/>
    <w:rsid w:val="00455324"/>
    <w:rsid w:val="00462820"/>
    <w:rsid w:val="00462FC4"/>
    <w:rsid w:val="004644C2"/>
    <w:rsid w:val="00467F9C"/>
    <w:rsid w:val="00471295"/>
    <w:rsid w:val="0047478E"/>
    <w:rsid w:val="00480E7E"/>
    <w:rsid w:val="00491289"/>
    <w:rsid w:val="004921C1"/>
    <w:rsid w:val="00495AF8"/>
    <w:rsid w:val="004A6D11"/>
    <w:rsid w:val="004A7D2F"/>
    <w:rsid w:val="004B64BE"/>
    <w:rsid w:val="004B7F87"/>
    <w:rsid w:val="004C1BEF"/>
    <w:rsid w:val="004C3B3C"/>
    <w:rsid w:val="004C3C44"/>
    <w:rsid w:val="004C4D19"/>
    <w:rsid w:val="004D0040"/>
    <w:rsid w:val="004D2E04"/>
    <w:rsid w:val="004F0189"/>
    <w:rsid w:val="004F59F2"/>
    <w:rsid w:val="00502BC9"/>
    <w:rsid w:val="00510643"/>
    <w:rsid w:val="005200FD"/>
    <w:rsid w:val="00523415"/>
    <w:rsid w:val="00523579"/>
    <w:rsid w:val="00531EEE"/>
    <w:rsid w:val="00532683"/>
    <w:rsid w:val="00534681"/>
    <w:rsid w:val="005403BC"/>
    <w:rsid w:val="005427E5"/>
    <w:rsid w:val="00542D1A"/>
    <w:rsid w:val="005527EE"/>
    <w:rsid w:val="005564C3"/>
    <w:rsid w:val="005609C6"/>
    <w:rsid w:val="00563442"/>
    <w:rsid w:val="0056368F"/>
    <w:rsid w:val="00565B42"/>
    <w:rsid w:val="00573E14"/>
    <w:rsid w:val="0057633C"/>
    <w:rsid w:val="00583855"/>
    <w:rsid w:val="00585244"/>
    <w:rsid w:val="005913E1"/>
    <w:rsid w:val="005A309B"/>
    <w:rsid w:val="005A37EE"/>
    <w:rsid w:val="005B0AF3"/>
    <w:rsid w:val="005B3B9D"/>
    <w:rsid w:val="005B4ADC"/>
    <w:rsid w:val="005B586D"/>
    <w:rsid w:val="005C4CE6"/>
    <w:rsid w:val="005C66A3"/>
    <w:rsid w:val="005D0963"/>
    <w:rsid w:val="005D7635"/>
    <w:rsid w:val="005E0ED3"/>
    <w:rsid w:val="005F0BBD"/>
    <w:rsid w:val="005F426D"/>
    <w:rsid w:val="0060198F"/>
    <w:rsid w:val="00610245"/>
    <w:rsid w:val="00611683"/>
    <w:rsid w:val="006121DC"/>
    <w:rsid w:val="006122BA"/>
    <w:rsid w:val="006225EB"/>
    <w:rsid w:val="006317B8"/>
    <w:rsid w:val="006345F3"/>
    <w:rsid w:val="0063588C"/>
    <w:rsid w:val="00637179"/>
    <w:rsid w:val="00637967"/>
    <w:rsid w:val="00646E1C"/>
    <w:rsid w:val="00647BB2"/>
    <w:rsid w:val="00651772"/>
    <w:rsid w:val="00657728"/>
    <w:rsid w:val="006578EE"/>
    <w:rsid w:val="00660159"/>
    <w:rsid w:val="00664593"/>
    <w:rsid w:val="00664B83"/>
    <w:rsid w:val="00670D6E"/>
    <w:rsid w:val="006810EE"/>
    <w:rsid w:val="006823F3"/>
    <w:rsid w:val="00682434"/>
    <w:rsid w:val="00683510"/>
    <w:rsid w:val="00687ADC"/>
    <w:rsid w:val="006A30F9"/>
    <w:rsid w:val="006B2290"/>
    <w:rsid w:val="006B531C"/>
    <w:rsid w:val="006C3885"/>
    <w:rsid w:val="006C5F57"/>
    <w:rsid w:val="006C5FDE"/>
    <w:rsid w:val="006C6350"/>
    <w:rsid w:val="006D0B2A"/>
    <w:rsid w:val="006D2B7E"/>
    <w:rsid w:val="006D3548"/>
    <w:rsid w:val="006D3B12"/>
    <w:rsid w:val="006D3EE4"/>
    <w:rsid w:val="006D4205"/>
    <w:rsid w:val="006D554C"/>
    <w:rsid w:val="006D58D7"/>
    <w:rsid w:val="006E4130"/>
    <w:rsid w:val="006E49B3"/>
    <w:rsid w:val="006E7055"/>
    <w:rsid w:val="006F1143"/>
    <w:rsid w:val="006F2BDC"/>
    <w:rsid w:val="006F3EC8"/>
    <w:rsid w:val="006F4C72"/>
    <w:rsid w:val="00701D1D"/>
    <w:rsid w:val="00702265"/>
    <w:rsid w:val="00702676"/>
    <w:rsid w:val="007049D5"/>
    <w:rsid w:val="0071136A"/>
    <w:rsid w:val="00717D88"/>
    <w:rsid w:val="007205DB"/>
    <w:rsid w:val="00725937"/>
    <w:rsid w:val="0073422A"/>
    <w:rsid w:val="0075248D"/>
    <w:rsid w:val="007552CE"/>
    <w:rsid w:val="00756B08"/>
    <w:rsid w:val="00763CFA"/>
    <w:rsid w:val="00765B3B"/>
    <w:rsid w:val="00770AE2"/>
    <w:rsid w:val="0077674C"/>
    <w:rsid w:val="00777479"/>
    <w:rsid w:val="00780328"/>
    <w:rsid w:val="007815C9"/>
    <w:rsid w:val="00782A81"/>
    <w:rsid w:val="00784AD2"/>
    <w:rsid w:val="00786056"/>
    <w:rsid w:val="007861BB"/>
    <w:rsid w:val="00786743"/>
    <w:rsid w:val="0079020E"/>
    <w:rsid w:val="00793880"/>
    <w:rsid w:val="007942D3"/>
    <w:rsid w:val="00796129"/>
    <w:rsid w:val="007A0D1A"/>
    <w:rsid w:val="007A245B"/>
    <w:rsid w:val="007B2099"/>
    <w:rsid w:val="007B6C09"/>
    <w:rsid w:val="007B7741"/>
    <w:rsid w:val="007D324E"/>
    <w:rsid w:val="007D7943"/>
    <w:rsid w:val="007E09DA"/>
    <w:rsid w:val="007E4CB8"/>
    <w:rsid w:val="00800E95"/>
    <w:rsid w:val="00803173"/>
    <w:rsid w:val="00807BE0"/>
    <w:rsid w:val="0081121C"/>
    <w:rsid w:val="0081540C"/>
    <w:rsid w:val="008178B6"/>
    <w:rsid w:val="00822797"/>
    <w:rsid w:val="008426D6"/>
    <w:rsid w:val="00844C81"/>
    <w:rsid w:val="00847C00"/>
    <w:rsid w:val="00847D57"/>
    <w:rsid w:val="00847E2F"/>
    <w:rsid w:val="008528EF"/>
    <w:rsid w:val="00852C94"/>
    <w:rsid w:val="00855D78"/>
    <w:rsid w:val="00855E79"/>
    <w:rsid w:val="00865B74"/>
    <w:rsid w:val="008704C4"/>
    <w:rsid w:val="00870756"/>
    <w:rsid w:val="0088092E"/>
    <w:rsid w:val="00890A17"/>
    <w:rsid w:val="0089538C"/>
    <w:rsid w:val="00896D04"/>
    <w:rsid w:val="008974F0"/>
    <w:rsid w:val="008A0DAD"/>
    <w:rsid w:val="008A3014"/>
    <w:rsid w:val="008A45D2"/>
    <w:rsid w:val="008A5484"/>
    <w:rsid w:val="008B012A"/>
    <w:rsid w:val="008B1E66"/>
    <w:rsid w:val="008C38C6"/>
    <w:rsid w:val="008D2866"/>
    <w:rsid w:val="008D3780"/>
    <w:rsid w:val="008D541C"/>
    <w:rsid w:val="008D6012"/>
    <w:rsid w:val="008D6737"/>
    <w:rsid w:val="008E38BC"/>
    <w:rsid w:val="008F215A"/>
    <w:rsid w:val="008F4E9D"/>
    <w:rsid w:val="008F7262"/>
    <w:rsid w:val="00902966"/>
    <w:rsid w:val="00904E60"/>
    <w:rsid w:val="00906E17"/>
    <w:rsid w:val="00913D7A"/>
    <w:rsid w:val="00916101"/>
    <w:rsid w:val="00917375"/>
    <w:rsid w:val="00923AE0"/>
    <w:rsid w:val="00926CDA"/>
    <w:rsid w:val="00930BA1"/>
    <w:rsid w:val="0093169E"/>
    <w:rsid w:val="00932060"/>
    <w:rsid w:val="00937130"/>
    <w:rsid w:val="009412AD"/>
    <w:rsid w:val="00941E83"/>
    <w:rsid w:val="00942A2D"/>
    <w:rsid w:val="009505C9"/>
    <w:rsid w:val="00950752"/>
    <w:rsid w:val="009544F1"/>
    <w:rsid w:val="00966424"/>
    <w:rsid w:val="00966778"/>
    <w:rsid w:val="00967FFE"/>
    <w:rsid w:val="0097200F"/>
    <w:rsid w:val="0097437E"/>
    <w:rsid w:val="00981FF9"/>
    <w:rsid w:val="009832EA"/>
    <w:rsid w:val="009867BD"/>
    <w:rsid w:val="009901AD"/>
    <w:rsid w:val="00991D16"/>
    <w:rsid w:val="00994C0A"/>
    <w:rsid w:val="009A1517"/>
    <w:rsid w:val="009A42A1"/>
    <w:rsid w:val="009A4EA6"/>
    <w:rsid w:val="009A5089"/>
    <w:rsid w:val="009A66B6"/>
    <w:rsid w:val="009B2995"/>
    <w:rsid w:val="009B5202"/>
    <w:rsid w:val="009B6EDE"/>
    <w:rsid w:val="009B7334"/>
    <w:rsid w:val="009C2DE6"/>
    <w:rsid w:val="009D7C3F"/>
    <w:rsid w:val="009E0CFB"/>
    <w:rsid w:val="009E4CDA"/>
    <w:rsid w:val="009E4F1A"/>
    <w:rsid w:val="00A1229B"/>
    <w:rsid w:val="00A1252A"/>
    <w:rsid w:val="00A13D90"/>
    <w:rsid w:val="00A1456A"/>
    <w:rsid w:val="00A17880"/>
    <w:rsid w:val="00A20769"/>
    <w:rsid w:val="00A20852"/>
    <w:rsid w:val="00A21059"/>
    <w:rsid w:val="00A21D2A"/>
    <w:rsid w:val="00A30119"/>
    <w:rsid w:val="00A31358"/>
    <w:rsid w:val="00A321C0"/>
    <w:rsid w:val="00A325AC"/>
    <w:rsid w:val="00A35D7F"/>
    <w:rsid w:val="00A37143"/>
    <w:rsid w:val="00A3745F"/>
    <w:rsid w:val="00A37DEE"/>
    <w:rsid w:val="00A4218D"/>
    <w:rsid w:val="00A439A8"/>
    <w:rsid w:val="00A44160"/>
    <w:rsid w:val="00A4428E"/>
    <w:rsid w:val="00A5172D"/>
    <w:rsid w:val="00A51AE3"/>
    <w:rsid w:val="00A54589"/>
    <w:rsid w:val="00A564CF"/>
    <w:rsid w:val="00A6347B"/>
    <w:rsid w:val="00A67402"/>
    <w:rsid w:val="00A67F17"/>
    <w:rsid w:val="00A71995"/>
    <w:rsid w:val="00A76280"/>
    <w:rsid w:val="00A76CD7"/>
    <w:rsid w:val="00A771E9"/>
    <w:rsid w:val="00A836DC"/>
    <w:rsid w:val="00A868E1"/>
    <w:rsid w:val="00A9220F"/>
    <w:rsid w:val="00A97D83"/>
    <w:rsid w:val="00AA0092"/>
    <w:rsid w:val="00AA17C8"/>
    <w:rsid w:val="00AA193B"/>
    <w:rsid w:val="00AA31BC"/>
    <w:rsid w:val="00AA4514"/>
    <w:rsid w:val="00AA6F92"/>
    <w:rsid w:val="00AB2689"/>
    <w:rsid w:val="00AB6934"/>
    <w:rsid w:val="00AC677A"/>
    <w:rsid w:val="00AC75C2"/>
    <w:rsid w:val="00AD0D90"/>
    <w:rsid w:val="00AD6244"/>
    <w:rsid w:val="00AD7FFC"/>
    <w:rsid w:val="00AE7E5E"/>
    <w:rsid w:val="00AF024E"/>
    <w:rsid w:val="00AF42DE"/>
    <w:rsid w:val="00AF5D2C"/>
    <w:rsid w:val="00B03077"/>
    <w:rsid w:val="00B05419"/>
    <w:rsid w:val="00B06854"/>
    <w:rsid w:val="00B0709A"/>
    <w:rsid w:val="00B079AB"/>
    <w:rsid w:val="00B10DF1"/>
    <w:rsid w:val="00B125DB"/>
    <w:rsid w:val="00B178D8"/>
    <w:rsid w:val="00B22415"/>
    <w:rsid w:val="00B26ACD"/>
    <w:rsid w:val="00B277FD"/>
    <w:rsid w:val="00B314EE"/>
    <w:rsid w:val="00B31F5C"/>
    <w:rsid w:val="00B333AE"/>
    <w:rsid w:val="00B3369F"/>
    <w:rsid w:val="00B337DD"/>
    <w:rsid w:val="00B36EFE"/>
    <w:rsid w:val="00B47240"/>
    <w:rsid w:val="00B50D09"/>
    <w:rsid w:val="00B64DC3"/>
    <w:rsid w:val="00B65AD6"/>
    <w:rsid w:val="00B66237"/>
    <w:rsid w:val="00B7141A"/>
    <w:rsid w:val="00B833CB"/>
    <w:rsid w:val="00B8589F"/>
    <w:rsid w:val="00B90BB3"/>
    <w:rsid w:val="00B94E6C"/>
    <w:rsid w:val="00B96496"/>
    <w:rsid w:val="00B97F4F"/>
    <w:rsid w:val="00BA0205"/>
    <w:rsid w:val="00BA0218"/>
    <w:rsid w:val="00BA1C28"/>
    <w:rsid w:val="00BB4606"/>
    <w:rsid w:val="00BB5EFA"/>
    <w:rsid w:val="00BC280F"/>
    <w:rsid w:val="00BC580C"/>
    <w:rsid w:val="00BC6A80"/>
    <w:rsid w:val="00BD50A5"/>
    <w:rsid w:val="00BD58E6"/>
    <w:rsid w:val="00BD6147"/>
    <w:rsid w:val="00BE3DA5"/>
    <w:rsid w:val="00BF11F9"/>
    <w:rsid w:val="00C0469C"/>
    <w:rsid w:val="00C10269"/>
    <w:rsid w:val="00C10EF8"/>
    <w:rsid w:val="00C118BC"/>
    <w:rsid w:val="00C11A8C"/>
    <w:rsid w:val="00C11F37"/>
    <w:rsid w:val="00C1506F"/>
    <w:rsid w:val="00C23D2F"/>
    <w:rsid w:val="00C32AA3"/>
    <w:rsid w:val="00C3335A"/>
    <w:rsid w:val="00C3667E"/>
    <w:rsid w:val="00C41F87"/>
    <w:rsid w:val="00C443BD"/>
    <w:rsid w:val="00C44FC4"/>
    <w:rsid w:val="00C451C5"/>
    <w:rsid w:val="00C47FE3"/>
    <w:rsid w:val="00C5474E"/>
    <w:rsid w:val="00C606EE"/>
    <w:rsid w:val="00C61F1E"/>
    <w:rsid w:val="00C81A5E"/>
    <w:rsid w:val="00C824E3"/>
    <w:rsid w:val="00C83F41"/>
    <w:rsid w:val="00C84897"/>
    <w:rsid w:val="00C87312"/>
    <w:rsid w:val="00C9161D"/>
    <w:rsid w:val="00C9190C"/>
    <w:rsid w:val="00C930CE"/>
    <w:rsid w:val="00C9682E"/>
    <w:rsid w:val="00CA00C3"/>
    <w:rsid w:val="00CA0C1D"/>
    <w:rsid w:val="00CA1177"/>
    <w:rsid w:val="00CA1E31"/>
    <w:rsid w:val="00CA431A"/>
    <w:rsid w:val="00CA6DE8"/>
    <w:rsid w:val="00CB33C9"/>
    <w:rsid w:val="00CB4714"/>
    <w:rsid w:val="00CB5342"/>
    <w:rsid w:val="00CB681E"/>
    <w:rsid w:val="00CC1407"/>
    <w:rsid w:val="00CC321F"/>
    <w:rsid w:val="00CC3EB6"/>
    <w:rsid w:val="00CD0A1B"/>
    <w:rsid w:val="00CD6B93"/>
    <w:rsid w:val="00CD6F43"/>
    <w:rsid w:val="00CE392A"/>
    <w:rsid w:val="00CE5C77"/>
    <w:rsid w:val="00CF05F4"/>
    <w:rsid w:val="00CF1848"/>
    <w:rsid w:val="00D12044"/>
    <w:rsid w:val="00D1555C"/>
    <w:rsid w:val="00D2045B"/>
    <w:rsid w:val="00D30264"/>
    <w:rsid w:val="00D30B76"/>
    <w:rsid w:val="00D31D9E"/>
    <w:rsid w:val="00D33EFC"/>
    <w:rsid w:val="00D34CA0"/>
    <w:rsid w:val="00D34F81"/>
    <w:rsid w:val="00D36598"/>
    <w:rsid w:val="00D40DBC"/>
    <w:rsid w:val="00D504A6"/>
    <w:rsid w:val="00D50D8C"/>
    <w:rsid w:val="00D57135"/>
    <w:rsid w:val="00D57E86"/>
    <w:rsid w:val="00D62018"/>
    <w:rsid w:val="00D67682"/>
    <w:rsid w:val="00D67904"/>
    <w:rsid w:val="00D70EC8"/>
    <w:rsid w:val="00D71034"/>
    <w:rsid w:val="00D727B7"/>
    <w:rsid w:val="00D7543F"/>
    <w:rsid w:val="00D7599F"/>
    <w:rsid w:val="00D76A18"/>
    <w:rsid w:val="00D80849"/>
    <w:rsid w:val="00D82E8F"/>
    <w:rsid w:val="00D919AC"/>
    <w:rsid w:val="00D93C65"/>
    <w:rsid w:val="00D94758"/>
    <w:rsid w:val="00D96807"/>
    <w:rsid w:val="00DA3DEC"/>
    <w:rsid w:val="00DB1D32"/>
    <w:rsid w:val="00DB588B"/>
    <w:rsid w:val="00DC0A0E"/>
    <w:rsid w:val="00DC77B8"/>
    <w:rsid w:val="00DD01AF"/>
    <w:rsid w:val="00DD118C"/>
    <w:rsid w:val="00DD5C4F"/>
    <w:rsid w:val="00E00FF6"/>
    <w:rsid w:val="00E03075"/>
    <w:rsid w:val="00E05C76"/>
    <w:rsid w:val="00E068CC"/>
    <w:rsid w:val="00E11B12"/>
    <w:rsid w:val="00E123FC"/>
    <w:rsid w:val="00E12F2F"/>
    <w:rsid w:val="00E17AA7"/>
    <w:rsid w:val="00E21469"/>
    <w:rsid w:val="00E342E1"/>
    <w:rsid w:val="00E536B5"/>
    <w:rsid w:val="00E54C44"/>
    <w:rsid w:val="00E619FA"/>
    <w:rsid w:val="00E62B73"/>
    <w:rsid w:val="00E66235"/>
    <w:rsid w:val="00E70E39"/>
    <w:rsid w:val="00E724D8"/>
    <w:rsid w:val="00E72C1A"/>
    <w:rsid w:val="00E73B5F"/>
    <w:rsid w:val="00E75C04"/>
    <w:rsid w:val="00E835FA"/>
    <w:rsid w:val="00E83C24"/>
    <w:rsid w:val="00E87D19"/>
    <w:rsid w:val="00E9247E"/>
    <w:rsid w:val="00E9318D"/>
    <w:rsid w:val="00EA1358"/>
    <w:rsid w:val="00EB16C3"/>
    <w:rsid w:val="00EB61B3"/>
    <w:rsid w:val="00EC1F46"/>
    <w:rsid w:val="00EC2E7F"/>
    <w:rsid w:val="00EC2F92"/>
    <w:rsid w:val="00EC4E71"/>
    <w:rsid w:val="00EC659E"/>
    <w:rsid w:val="00ED0585"/>
    <w:rsid w:val="00ED2DC4"/>
    <w:rsid w:val="00ED70ED"/>
    <w:rsid w:val="00EE0AE5"/>
    <w:rsid w:val="00EE5068"/>
    <w:rsid w:val="00EF567C"/>
    <w:rsid w:val="00F044E9"/>
    <w:rsid w:val="00F24FB2"/>
    <w:rsid w:val="00F31156"/>
    <w:rsid w:val="00F34436"/>
    <w:rsid w:val="00F34D6D"/>
    <w:rsid w:val="00F37534"/>
    <w:rsid w:val="00F377AC"/>
    <w:rsid w:val="00F40858"/>
    <w:rsid w:val="00F40DC5"/>
    <w:rsid w:val="00F435FE"/>
    <w:rsid w:val="00F465FF"/>
    <w:rsid w:val="00F53193"/>
    <w:rsid w:val="00F5357E"/>
    <w:rsid w:val="00F6586C"/>
    <w:rsid w:val="00F670EB"/>
    <w:rsid w:val="00F71C35"/>
    <w:rsid w:val="00F80D14"/>
    <w:rsid w:val="00F93498"/>
    <w:rsid w:val="00F94774"/>
    <w:rsid w:val="00F951FD"/>
    <w:rsid w:val="00FA0E9A"/>
    <w:rsid w:val="00FA26B7"/>
    <w:rsid w:val="00FA663B"/>
    <w:rsid w:val="00FA7FD9"/>
    <w:rsid w:val="00FB05E0"/>
    <w:rsid w:val="00FC25F8"/>
    <w:rsid w:val="00FC53DB"/>
    <w:rsid w:val="00FD16FF"/>
    <w:rsid w:val="00FD7AEE"/>
    <w:rsid w:val="00FE0C47"/>
    <w:rsid w:val="00FE2131"/>
    <w:rsid w:val="00FE29CC"/>
    <w:rsid w:val="00FE3635"/>
    <w:rsid w:val="00FF5C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796129"/>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E73B5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73B5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F1A354B29E8D457E869A4D9A11EBA9EB"/>
        <w:category>
          <w:name w:val="General"/>
          <w:gallery w:val="placeholder"/>
        </w:category>
        <w:types>
          <w:type w:val="bbPlcHdr"/>
        </w:types>
        <w:behaviors>
          <w:behavior w:val="content"/>
        </w:behaviors>
        <w:guid w:val="{856228DD-092C-46FF-92FD-6D42DE5213F4}"/>
      </w:docPartPr>
      <w:docPartBody>
        <w:p w:rsidR="004D3666" w:rsidRDefault="000F294F" w:rsidP="000F294F">
          <w:pPr>
            <w:pStyle w:val="F1A354B29E8D457E869A4D9A11EBA9EB"/>
          </w:pPr>
          <w:r w:rsidRPr="006D0F48">
            <w:rPr>
              <w:rStyle w:val="PlaceholderText"/>
            </w:rPr>
            <w:t>[Subject]</w:t>
          </w:r>
        </w:p>
      </w:docPartBody>
    </w:docPart>
    <w:docPart>
      <w:docPartPr>
        <w:name w:val="96ECEFB07B6D4D89BA49740A9E68003A"/>
        <w:category>
          <w:name w:val="General"/>
          <w:gallery w:val="placeholder"/>
        </w:category>
        <w:types>
          <w:type w:val="bbPlcHdr"/>
        </w:types>
        <w:behaviors>
          <w:behavior w:val="content"/>
        </w:behaviors>
        <w:guid w:val="{ADE9DAA8-5D5D-4FEC-BC1E-DFF2232BA9B8}"/>
      </w:docPartPr>
      <w:docPartBody>
        <w:p w:rsidR="004D3666" w:rsidRDefault="000F294F" w:rsidP="000F294F">
          <w:pPr>
            <w:pStyle w:val="96ECEFB07B6D4D89BA49740A9E68003A"/>
          </w:pPr>
          <w:r w:rsidRPr="006D0F48">
            <w:rPr>
              <w:rStyle w:val="PlaceholderText"/>
            </w:rPr>
            <w:t>[Subject]</w:t>
          </w:r>
        </w:p>
      </w:docPartBody>
    </w:docPart>
    <w:docPart>
      <w:docPartPr>
        <w:name w:val="6526B18CB112443C8F1138DC25C0E9F7"/>
        <w:category>
          <w:name w:val="General"/>
          <w:gallery w:val="placeholder"/>
        </w:category>
        <w:types>
          <w:type w:val="bbPlcHdr"/>
        </w:types>
        <w:behaviors>
          <w:behavior w:val="content"/>
        </w:behaviors>
        <w:guid w:val="{7529022F-BA3D-4383-925C-EC462DE28936}"/>
      </w:docPartPr>
      <w:docPartBody>
        <w:p w:rsidR="007A6E9E" w:rsidRDefault="00E45F2A">
          <w:r w:rsidRPr="0043500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39B0"/>
    <w:rsid w:val="000F294F"/>
    <w:rsid w:val="000F4E70"/>
    <w:rsid w:val="00100928"/>
    <w:rsid w:val="00122905"/>
    <w:rsid w:val="00124933"/>
    <w:rsid w:val="0016789F"/>
    <w:rsid w:val="00261697"/>
    <w:rsid w:val="00283228"/>
    <w:rsid w:val="002D7BBE"/>
    <w:rsid w:val="0033716E"/>
    <w:rsid w:val="00354006"/>
    <w:rsid w:val="003C2E9C"/>
    <w:rsid w:val="0040682F"/>
    <w:rsid w:val="00437858"/>
    <w:rsid w:val="0046422C"/>
    <w:rsid w:val="004760CF"/>
    <w:rsid w:val="004D3666"/>
    <w:rsid w:val="004E092F"/>
    <w:rsid w:val="00500A2B"/>
    <w:rsid w:val="005063A1"/>
    <w:rsid w:val="0052407B"/>
    <w:rsid w:val="00556F9E"/>
    <w:rsid w:val="0058288D"/>
    <w:rsid w:val="00591E93"/>
    <w:rsid w:val="005A1D41"/>
    <w:rsid w:val="005E6D4E"/>
    <w:rsid w:val="0065689E"/>
    <w:rsid w:val="00665C6B"/>
    <w:rsid w:val="0068006C"/>
    <w:rsid w:val="006801B3"/>
    <w:rsid w:val="00691080"/>
    <w:rsid w:val="006B7378"/>
    <w:rsid w:val="006E58DA"/>
    <w:rsid w:val="00703497"/>
    <w:rsid w:val="00713488"/>
    <w:rsid w:val="00721D0F"/>
    <w:rsid w:val="00747003"/>
    <w:rsid w:val="00762202"/>
    <w:rsid w:val="00783C74"/>
    <w:rsid w:val="0078413A"/>
    <w:rsid w:val="007A6E9E"/>
    <w:rsid w:val="00810A55"/>
    <w:rsid w:val="008635A0"/>
    <w:rsid w:val="00873DC6"/>
    <w:rsid w:val="00894492"/>
    <w:rsid w:val="008C6619"/>
    <w:rsid w:val="008D420E"/>
    <w:rsid w:val="008F2F05"/>
    <w:rsid w:val="009236C6"/>
    <w:rsid w:val="00937AB4"/>
    <w:rsid w:val="0098642F"/>
    <w:rsid w:val="00990411"/>
    <w:rsid w:val="009C74EF"/>
    <w:rsid w:val="00A205E3"/>
    <w:rsid w:val="00A2613D"/>
    <w:rsid w:val="00A3212C"/>
    <w:rsid w:val="00A35EAF"/>
    <w:rsid w:val="00A542FA"/>
    <w:rsid w:val="00AD2A2E"/>
    <w:rsid w:val="00B07524"/>
    <w:rsid w:val="00B27D2C"/>
    <w:rsid w:val="00C57A6E"/>
    <w:rsid w:val="00C6445E"/>
    <w:rsid w:val="00C8104B"/>
    <w:rsid w:val="00CA09E4"/>
    <w:rsid w:val="00CA45D4"/>
    <w:rsid w:val="00D137B4"/>
    <w:rsid w:val="00D31D12"/>
    <w:rsid w:val="00D82C33"/>
    <w:rsid w:val="00DC61A3"/>
    <w:rsid w:val="00DC6761"/>
    <w:rsid w:val="00E307F7"/>
    <w:rsid w:val="00E45F2A"/>
    <w:rsid w:val="00EB5821"/>
    <w:rsid w:val="00ED5FEC"/>
    <w:rsid w:val="00F03857"/>
    <w:rsid w:val="00F11C78"/>
    <w:rsid w:val="00F7720E"/>
    <w:rsid w:val="00F80FAB"/>
    <w:rsid w:val="00FC1430"/>
    <w:rsid w:val="00FE2294"/>
    <w:rsid w:val="00FF0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F2A"/>
    <w:rPr>
      <w:color w:val="808080"/>
    </w:rPr>
  </w:style>
  <w:style w:type="paragraph" w:customStyle="1" w:styleId="F1A354B29E8D457E869A4D9A11EBA9EB">
    <w:name w:val="F1A354B29E8D457E869A4D9A11EBA9EB"/>
    <w:rsid w:val="000F294F"/>
    <w:pPr>
      <w:spacing w:after="160" w:line="259" w:lineRule="auto"/>
    </w:pPr>
    <w:rPr>
      <w:lang w:val="en-CA" w:eastAsia="en-CA"/>
    </w:rPr>
  </w:style>
  <w:style w:type="paragraph" w:customStyle="1" w:styleId="96ECEFB07B6D4D89BA49740A9E68003A">
    <w:name w:val="96ECEFB07B6D4D89BA49740A9E68003A"/>
    <w:rsid w:val="000F294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A4AC7E81-41F8-4420-90DF-58B24668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CP-10/6. 	Implementation plan for the Cartagena Protocol on Biosafety</vt:lpstr>
    </vt:vector>
  </TitlesOfParts>
  <Company>SCBD</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CP-10/3. 	Implementation plan for the Cartagena Protocol on Biosafety</dc:title>
  <dc:subject>CBD/CP/MOP/DEC/10/3</dc:subject>
  <dc:creator>SCBD</dc:creator>
  <cp:keywords>Decision adopted by the Parties to the Cartagena Protocol on Biosafety</cp:keywords>
  <cp:lastModifiedBy>Veronique Lefebvre</cp:lastModifiedBy>
  <cp:revision>4</cp:revision>
  <cp:lastPrinted>2023-02-14T15:29:00Z</cp:lastPrinted>
  <dcterms:created xsi:type="dcterms:W3CDTF">2023-07-06T14:23:00Z</dcterms:created>
  <dcterms:modified xsi:type="dcterms:W3CDTF">2023-07-06T14:24:00Z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93a38055b7d7b6fe7a0c84fdab0edea863ec90524af29bbda4c28aae7879fe4e</vt:lpwstr>
  </property>
</Properties>
</file>