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FB5C00">
        <w:trPr>
          <w:trHeight w:val="709"/>
        </w:trPr>
        <w:tc>
          <w:tcPr>
            <w:tcW w:w="996" w:type="dxa"/>
            <w:tcBorders>
              <w:bottom w:val="single" w:sz="12" w:space="0" w:color="auto"/>
            </w:tcBorders>
          </w:tcPr>
          <w:p w14:paraId="36D6E4DF" w14:textId="77777777" w:rsidR="00F82D3D" w:rsidRPr="00DB3242" w:rsidRDefault="00F82D3D" w:rsidP="00FB5C00">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FB5C00">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FB5C00">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FB5C00">
        <w:tc>
          <w:tcPr>
            <w:tcW w:w="6131" w:type="dxa"/>
            <w:gridSpan w:val="2"/>
            <w:tcBorders>
              <w:top w:val="single" w:sz="12" w:space="0" w:color="auto"/>
              <w:bottom w:val="single" w:sz="36" w:space="0" w:color="auto"/>
            </w:tcBorders>
          </w:tcPr>
          <w:p w14:paraId="298D86CA" w14:textId="77777777" w:rsidR="00F82D3D" w:rsidRPr="00DB3242" w:rsidRDefault="00F82D3D" w:rsidP="00FB5C00">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FB5C00">
            <w:pPr>
              <w:ind w:left="69"/>
              <w:rPr>
                <w:kern w:val="22"/>
                <w:szCs w:val="22"/>
              </w:rPr>
            </w:pPr>
            <w:r w:rsidRPr="00DB3242">
              <w:rPr>
                <w:kern w:val="22"/>
                <w:szCs w:val="22"/>
              </w:rPr>
              <w:t>Distr.</w:t>
            </w:r>
          </w:p>
          <w:p w14:paraId="7529A39A" w14:textId="63229ED0" w:rsidR="00F82D3D" w:rsidRPr="00DB3242" w:rsidRDefault="00236D69" w:rsidP="00FB5C00">
            <w:pPr>
              <w:ind w:left="69"/>
              <w:rPr>
                <w:kern w:val="22"/>
                <w:szCs w:val="22"/>
              </w:rPr>
            </w:pPr>
            <w:r>
              <w:rPr>
                <w:caps/>
                <w:kern w:val="22"/>
                <w:szCs w:val="22"/>
                <w:lang w:bidi="ar-EG"/>
              </w:rPr>
              <w:t>GENERAL</w:t>
            </w:r>
          </w:p>
          <w:p w14:paraId="597643A7" w14:textId="77777777" w:rsidR="00F82D3D" w:rsidRPr="00DB3242" w:rsidRDefault="00F82D3D" w:rsidP="00FB5C00">
            <w:pPr>
              <w:ind w:left="69"/>
              <w:rPr>
                <w:kern w:val="22"/>
                <w:szCs w:val="22"/>
              </w:rPr>
            </w:pPr>
          </w:p>
          <w:p w14:paraId="290E4F7C" w14:textId="266CDD4D" w:rsidR="00F82D3D" w:rsidRPr="008228AB" w:rsidRDefault="00F82D3D" w:rsidP="00591591">
            <w:pPr>
              <w:ind w:left="69"/>
              <w:rPr>
                <w:szCs w:val="22"/>
              </w:rPr>
            </w:pPr>
            <w:r>
              <w:rPr>
                <w:lang w:val="en-US"/>
              </w:rPr>
              <w:t>CBD/CP/MOP/</w:t>
            </w:r>
            <w:r w:rsidR="00236D69">
              <w:rPr>
                <w:lang w:val="en-US"/>
              </w:rPr>
              <w:t>DEC/</w:t>
            </w:r>
            <w:r>
              <w:rPr>
                <w:lang w:val="en-US"/>
              </w:rPr>
              <w:t>9/</w:t>
            </w:r>
            <w:r w:rsidR="00591591">
              <w:rPr>
                <w:lang w:val="en-US"/>
              </w:rPr>
              <w:t>14</w:t>
            </w:r>
          </w:p>
          <w:p w14:paraId="250C1E84" w14:textId="44C095C1" w:rsidR="00F82D3D" w:rsidRDefault="00236D69" w:rsidP="00FB5C00">
            <w:pPr>
              <w:ind w:left="69"/>
              <w:rPr>
                <w:kern w:val="22"/>
                <w:szCs w:val="22"/>
                <w:rtl/>
              </w:rPr>
            </w:pPr>
            <w:r>
              <w:rPr>
                <w:kern w:val="22"/>
                <w:szCs w:val="22"/>
              </w:rPr>
              <w:t>30</w:t>
            </w:r>
            <w:r w:rsidR="00F82D3D" w:rsidRPr="00DB3242">
              <w:rPr>
                <w:kern w:val="22"/>
                <w:szCs w:val="22"/>
              </w:rPr>
              <w:t xml:space="preserve"> November 2018</w:t>
            </w:r>
          </w:p>
          <w:p w14:paraId="5CFB78F4" w14:textId="77777777" w:rsidR="00F82D3D" w:rsidRPr="00DB3242" w:rsidRDefault="00F82D3D" w:rsidP="00FB5C00">
            <w:pPr>
              <w:ind w:left="69"/>
              <w:rPr>
                <w:kern w:val="22"/>
                <w:szCs w:val="22"/>
              </w:rPr>
            </w:pPr>
          </w:p>
          <w:p w14:paraId="365C2206" w14:textId="77777777" w:rsidR="00F82D3D" w:rsidRPr="00DB3242" w:rsidRDefault="00F82D3D" w:rsidP="00FB5C00">
            <w:pPr>
              <w:ind w:left="69"/>
              <w:rPr>
                <w:kern w:val="22"/>
                <w:szCs w:val="22"/>
              </w:rPr>
            </w:pPr>
            <w:r w:rsidRPr="00DB3242">
              <w:rPr>
                <w:kern w:val="22"/>
                <w:szCs w:val="22"/>
              </w:rPr>
              <w:t>ARABIC</w:t>
            </w:r>
          </w:p>
          <w:p w14:paraId="079223EA" w14:textId="77777777" w:rsidR="00F82D3D" w:rsidRPr="00DB3242" w:rsidRDefault="00F82D3D" w:rsidP="00FB5C00">
            <w:pPr>
              <w:ind w:left="69"/>
              <w:rPr>
                <w:kern w:val="22"/>
                <w:szCs w:val="22"/>
              </w:rPr>
            </w:pPr>
            <w:r w:rsidRPr="00DB3242">
              <w:rPr>
                <w:kern w:val="22"/>
                <w:szCs w:val="22"/>
              </w:rPr>
              <w:t>ORIGINAL: ENGLISH</w:t>
            </w:r>
          </w:p>
          <w:p w14:paraId="0C78726C" w14:textId="77777777" w:rsidR="00F82D3D" w:rsidRPr="00DB3242" w:rsidRDefault="00F82D3D" w:rsidP="00FB5C00">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32390D55" w:rsidR="00655368" w:rsidRDefault="00655368" w:rsidP="00591591">
      <w:pPr>
        <w:bidi/>
        <w:spacing w:after="120"/>
        <w:rPr>
          <w:rFonts w:ascii="Simplified Arabic" w:hAnsi="Simplified Arabic" w:cs="Simplified Arabic"/>
          <w:rtl/>
          <w:lang w:bidi="ar-EG"/>
        </w:rPr>
      </w:pPr>
      <w:r>
        <w:rPr>
          <w:rFonts w:ascii="Simplified Arabic" w:hAnsi="Simplified Arabic" w:cs="Simplified Arabic"/>
          <w:rtl/>
          <w:lang w:bidi="ar-LY"/>
        </w:rPr>
        <w:t xml:space="preserve">البند </w:t>
      </w:r>
      <w:r w:rsidR="00591591">
        <w:rPr>
          <w:rFonts w:ascii="Simplified Arabic" w:hAnsi="Simplified Arabic" w:cs="Simplified Arabic" w:hint="cs"/>
          <w:sz w:val="24"/>
          <w:rtl/>
          <w:lang w:bidi="ar-LY"/>
        </w:rPr>
        <w:t>18</w:t>
      </w:r>
      <w:r>
        <w:rPr>
          <w:rFonts w:ascii="Simplified Arabic" w:hAnsi="Simplified Arabic" w:cs="Simplified Arabic"/>
          <w:rtl/>
          <w:lang w:bidi="ar-LY"/>
        </w:rPr>
        <w:t xml:space="preserve"> من جدول الأعمال</w:t>
      </w:r>
    </w:p>
    <w:p w14:paraId="5596E10E" w14:textId="47C17E83" w:rsidR="001B3854" w:rsidRPr="00AC4591" w:rsidRDefault="00AC4591" w:rsidP="00AC4591">
      <w:pPr>
        <w:bidi/>
        <w:spacing w:after="120" w:line="216" w:lineRule="auto"/>
        <w:jc w:val="center"/>
        <w:rPr>
          <w:rFonts w:ascii="Simplified Arabic" w:hAnsi="Simplified Arabic" w:cs="Simplified Arabic"/>
          <w:b/>
          <w:bCs/>
          <w:sz w:val="28"/>
          <w:szCs w:val="28"/>
          <w:rtl/>
          <w:lang w:bidi="ar-EG"/>
        </w:rPr>
      </w:pPr>
      <w:r w:rsidRPr="00AC4591">
        <w:rPr>
          <w:rFonts w:ascii="Simplified Arabic" w:hAnsi="Simplified Arabic" w:cs="Simplified Arabic" w:hint="cs"/>
          <w:b/>
          <w:bCs/>
          <w:sz w:val="28"/>
          <w:szCs w:val="28"/>
          <w:rtl/>
          <w:lang w:bidi="ar-EG"/>
        </w:rPr>
        <w:t>مقرر اعتمدته الأطراف في بروتوكول قرطاجنة للسلامة الأحيائية</w:t>
      </w:r>
    </w:p>
    <w:p w14:paraId="1844AF1A" w14:textId="7ECEA684" w:rsidR="00C9161D" w:rsidRPr="00DD5891" w:rsidRDefault="00236D69" w:rsidP="00591591">
      <w:pPr>
        <w:bidi/>
        <w:spacing w:after="120" w:line="216" w:lineRule="auto"/>
        <w:jc w:val="center"/>
        <w:rPr>
          <w:rFonts w:ascii="Simplified Arabic" w:hAnsi="Simplified Arabic" w:cs="Simplified Arabic"/>
          <w:b/>
          <w:bCs/>
          <w:sz w:val="24"/>
          <w:lang w:bidi="ar-EG"/>
        </w:rPr>
      </w:pPr>
      <w:r>
        <w:rPr>
          <w:rFonts w:ascii="Simplified Arabic" w:hAnsi="Simplified Arabic" w:cs="Simplified Arabic" w:hint="cs"/>
          <w:b/>
          <w:bCs/>
          <w:sz w:val="24"/>
          <w:rtl/>
          <w:lang w:bidi="ar-EG"/>
        </w:rPr>
        <w:t>9/</w:t>
      </w:r>
      <w:r w:rsidR="00591591">
        <w:rPr>
          <w:rFonts w:ascii="Simplified Arabic" w:hAnsi="Simplified Arabic" w:cs="Simplified Arabic" w:hint="cs"/>
          <w:b/>
          <w:bCs/>
          <w:sz w:val="24"/>
          <w:rtl/>
          <w:lang w:bidi="ar-EG"/>
        </w:rPr>
        <w:t>14</w:t>
      </w:r>
      <w:r>
        <w:rPr>
          <w:rFonts w:ascii="Simplified Arabic" w:hAnsi="Simplified Arabic" w:cs="Simplified Arabic" w:hint="cs"/>
          <w:b/>
          <w:bCs/>
          <w:sz w:val="24"/>
          <w:rtl/>
          <w:lang w:bidi="ar-EG"/>
        </w:rPr>
        <w:t>-</w:t>
      </w:r>
      <w:r>
        <w:rPr>
          <w:rFonts w:ascii="Simplified Arabic" w:hAnsi="Simplified Arabic" w:cs="Simplified Arabic"/>
          <w:b/>
          <w:bCs/>
          <w:sz w:val="24"/>
          <w:rtl/>
          <w:lang w:bidi="ar-EG"/>
        </w:rPr>
        <w:tab/>
      </w:r>
      <w:r w:rsidR="00591591" w:rsidRPr="00591591">
        <w:rPr>
          <w:rFonts w:ascii="Simplified Arabic" w:hAnsi="Simplified Arabic" w:cs="Simplified Arabic"/>
          <w:b/>
          <w:bCs/>
          <w:sz w:val="24"/>
          <w:rtl/>
          <w:lang w:bidi="ar-EG"/>
        </w:rPr>
        <w:t>الاعتبارات الاجتماعية والاقتصادية (المادة 26)</w:t>
      </w:r>
    </w:p>
    <w:p w14:paraId="3F711A29" w14:textId="77777777" w:rsidR="004C0258" w:rsidRPr="004C0258" w:rsidRDefault="004C0258" w:rsidP="00236D69">
      <w:pPr>
        <w:keepNext/>
        <w:bidi/>
        <w:adjustRightInd w:val="0"/>
        <w:snapToGrid w:val="0"/>
        <w:spacing w:after="120" w:line="216" w:lineRule="auto"/>
        <w:ind w:firstLine="720"/>
        <w:rPr>
          <w:rFonts w:ascii="Simplified Arabic" w:hAnsi="Simplified Arabic" w:cs="Simplified Arabic"/>
          <w:iCs/>
          <w:snapToGrid w:val="0"/>
          <w:kern w:val="22"/>
          <w:rtl/>
        </w:rPr>
      </w:pPr>
      <w:r w:rsidRPr="004C0258">
        <w:rPr>
          <w:rFonts w:ascii="Simplified Arabic" w:hAnsi="Simplified Arabic" w:cs="Simplified Arabic" w:hint="cs"/>
          <w:iCs/>
          <w:snapToGrid w:val="0"/>
          <w:kern w:val="22"/>
          <w:rtl/>
        </w:rPr>
        <w:t xml:space="preserve">إن مؤتمر الأطراف العامل كاجتماع للأطراف في بروتوكول </w:t>
      </w:r>
      <w:r>
        <w:rPr>
          <w:rFonts w:ascii="Simplified Arabic" w:hAnsi="Simplified Arabic" w:cs="Simplified Arabic" w:hint="cs"/>
          <w:iCs/>
          <w:snapToGrid w:val="0"/>
          <w:kern w:val="22"/>
          <w:rtl/>
        </w:rPr>
        <w:t>قرطاجنة للسلامة</w:t>
      </w:r>
      <w:r w:rsidRPr="004C0258">
        <w:rPr>
          <w:rFonts w:ascii="Simplified Arabic" w:hAnsi="Simplified Arabic" w:cs="Simplified Arabic" w:hint="cs"/>
          <w:iCs/>
          <w:snapToGrid w:val="0"/>
          <w:kern w:val="22"/>
          <w:rtl/>
        </w:rPr>
        <w:t xml:space="preserve"> الأحيائية،</w:t>
      </w:r>
    </w:p>
    <w:p w14:paraId="384CA762" w14:textId="77777777" w:rsidR="00591591" w:rsidRDefault="00591591" w:rsidP="00BE6092">
      <w:pPr>
        <w:pStyle w:val="Para10"/>
        <w:numPr>
          <w:ilvl w:val="0"/>
          <w:numId w:val="0"/>
        </w:numPr>
        <w:bidi/>
        <w:spacing w:before="0" w:line="216" w:lineRule="auto"/>
        <w:ind w:firstLine="720"/>
        <w:rPr>
          <w:i/>
          <w:kern w:val="22"/>
          <w:sz w:val="24"/>
          <w:szCs w:val="24"/>
          <w:lang w:bidi="ar-EG"/>
        </w:rPr>
      </w:pPr>
      <w:r>
        <w:rPr>
          <w:rFonts w:ascii="Simplified Arabic" w:hAnsi="Simplified Arabic" w:cs="Simplified Arabic"/>
          <w:i/>
          <w:iCs/>
          <w:sz w:val="24"/>
          <w:szCs w:val="24"/>
          <w:rtl/>
          <w:lang w:bidi="ar-EG"/>
        </w:rPr>
        <w:t>إذ يشير</w:t>
      </w:r>
      <w:r>
        <w:rPr>
          <w:rFonts w:ascii="Simplified Arabic" w:hAnsi="Simplified Arabic" w:cs="Simplified Arabic"/>
          <w:sz w:val="24"/>
          <w:szCs w:val="24"/>
          <w:rtl/>
          <w:lang w:bidi="ar-EG"/>
        </w:rPr>
        <w:t xml:space="preserve"> إلى المقررات</w:t>
      </w:r>
      <w:r>
        <w:rPr>
          <w:rFonts w:hint="cs"/>
          <w:sz w:val="24"/>
          <w:szCs w:val="24"/>
          <w:rtl/>
          <w:lang w:bidi="ar-EG"/>
        </w:rPr>
        <w:t xml:space="preserve"> </w:t>
      </w:r>
      <w:hyperlink r:id="rId13" w:history="1">
        <w:r>
          <w:rPr>
            <w:rStyle w:val="Hyperlink"/>
            <w:rFonts w:eastAsiaTheme="majorEastAsia"/>
            <w:kern w:val="22"/>
            <w:sz w:val="24"/>
            <w:szCs w:val="24"/>
          </w:rPr>
          <w:t>BS-VI/13</w:t>
        </w:r>
      </w:hyperlink>
      <w:r>
        <w:rPr>
          <w:rFonts w:hint="cs"/>
          <w:sz w:val="24"/>
          <w:szCs w:val="24"/>
          <w:rtl/>
          <w:lang w:bidi="ar-EG"/>
        </w:rPr>
        <w:t xml:space="preserve"> و</w:t>
      </w:r>
      <w:hyperlink r:id="rId14" w:history="1">
        <w:r>
          <w:rPr>
            <w:rStyle w:val="Hyperlink"/>
            <w:rFonts w:eastAsiaTheme="majorEastAsia"/>
            <w:kern w:val="22"/>
            <w:sz w:val="24"/>
            <w:szCs w:val="24"/>
          </w:rPr>
          <w:t>BS-VII/13</w:t>
        </w:r>
      </w:hyperlink>
      <w:r>
        <w:rPr>
          <w:rFonts w:hint="cs"/>
          <w:sz w:val="24"/>
          <w:szCs w:val="24"/>
          <w:rtl/>
          <w:lang w:bidi="ar-EG"/>
        </w:rPr>
        <w:t xml:space="preserve"> و</w:t>
      </w:r>
      <w:hyperlink r:id="rId15" w:history="1">
        <w:r>
          <w:rPr>
            <w:rStyle w:val="Hyperlink"/>
            <w:kern w:val="22"/>
            <w:sz w:val="24"/>
            <w:szCs w:val="24"/>
          </w:rPr>
          <w:t>CP-VIII/13</w:t>
        </w:r>
      </w:hyperlink>
      <w:r>
        <w:rPr>
          <w:rFonts w:hint="cs"/>
          <w:sz w:val="24"/>
          <w:szCs w:val="24"/>
          <w:rtl/>
          <w:lang w:bidi="ar-EG"/>
        </w:rPr>
        <w:t>؛</w:t>
      </w:r>
    </w:p>
    <w:p w14:paraId="6FBE2E38" w14:textId="1D3E6B77" w:rsidR="00591591" w:rsidRDefault="00591591" w:rsidP="00BE6092">
      <w:pPr>
        <w:pStyle w:val="Para10"/>
        <w:numPr>
          <w:ilvl w:val="0"/>
          <w:numId w:val="0"/>
        </w:numPr>
        <w:bidi/>
        <w:spacing w:before="0" w:line="216" w:lineRule="auto"/>
        <w:ind w:firstLine="720"/>
        <w:rPr>
          <w:rFonts w:ascii="Simplified Arabic" w:hAnsi="Simplified Arabic" w:cs="Simplified Arabic"/>
          <w:i/>
          <w:kern w:val="22"/>
          <w:sz w:val="24"/>
          <w:szCs w:val="24"/>
          <w:rtl/>
        </w:rPr>
      </w:pPr>
      <w:r>
        <w:rPr>
          <w:rFonts w:ascii="Simplified Arabic" w:hAnsi="Simplified Arabic" w:cs="Simplified Arabic"/>
          <w:i/>
          <w:iCs/>
          <w:sz w:val="24"/>
          <w:szCs w:val="24"/>
          <w:rtl/>
        </w:rPr>
        <w:t>وإذ يشير</w:t>
      </w:r>
      <w:r>
        <w:rPr>
          <w:rFonts w:ascii="Simplified Arabic" w:hAnsi="Simplified Arabic" w:cs="Simplified Arabic"/>
          <w:sz w:val="24"/>
          <w:szCs w:val="24"/>
          <w:rtl/>
        </w:rPr>
        <w:t xml:space="preserve"> إلى أنه يجوز للأطراف، وفقا للفقرة 1 من المادة 26، عند التوصل إلى قرار بشأن الاستيراد بموجب هذا البروتوكول أو بموجب تدابيرها المحلية لتنفيذ البروتوكول، أن تضع في الحسبان، وبما يتوافق مع التزاماتها الدولية، الاعتبارات الاجتماعية والاقتصادية الناشئة عن آثار الكائنات الحية المحورة على حفظ </w:t>
      </w:r>
      <w:r w:rsidR="00BE6092">
        <w:rPr>
          <w:rFonts w:ascii="Simplified Arabic" w:hAnsi="Simplified Arabic" w:cs="Simplified Arabic"/>
          <w:sz w:val="24"/>
          <w:szCs w:val="24"/>
          <w:rtl/>
        </w:rPr>
        <w:t>التنوع البيولوجي</w:t>
      </w:r>
      <w:r w:rsidR="00BE6092">
        <w:rPr>
          <w:rFonts w:ascii="Simplified Arabic" w:hAnsi="Simplified Arabic" w:cs="Simplified Arabic"/>
          <w:sz w:val="24"/>
          <w:szCs w:val="24"/>
          <w:rtl/>
        </w:rPr>
        <w:t xml:space="preserve"> </w:t>
      </w:r>
      <w:r w:rsidR="00BE6092">
        <w:rPr>
          <w:rFonts w:ascii="Simplified Arabic" w:hAnsi="Simplified Arabic" w:cs="Simplified Arabic" w:hint="cs"/>
          <w:sz w:val="24"/>
          <w:szCs w:val="24"/>
          <w:rtl/>
        </w:rPr>
        <w:t>و</w:t>
      </w:r>
      <w:r w:rsidR="00BE6092">
        <w:rPr>
          <w:rFonts w:ascii="Simplified Arabic" w:hAnsi="Simplified Arabic" w:cs="Simplified Arabic"/>
          <w:sz w:val="24"/>
          <w:szCs w:val="24"/>
          <w:rtl/>
        </w:rPr>
        <w:t>استخدام</w:t>
      </w:r>
      <w:r w:rsidR="00BE6092">
        <w:rPr>
          <w:rFonts w:ascii="Simplified Arabic" w:hAnsi="Simplified Arabic" w:cs="Simplified Arabic" w:hint="cs"/>
          <w:sz w:val="24"/>
          <w:szCs w:val="24"/>
          <w:rtl/>
        </w:rPr>
        <w:t>ه المستدام</w:t>
      </w:r>
      <w:r>
        <w:rPr>
          <w:rFonts w:ascii="Simplified Arabic" w:hAnsi="Simplified Arabic" w:cs="Simplified Arabic"/>
          <w:sz w:val="24"/>
          <w:szCs w:val="24"/>
          <w:rtl/>
        </w:rPr>
        <w:t xml:space="preserve">، </w:t>
      </w:r>
      <w:r w:rsidR="00BE6092">
        <w:rPr>
          <w:rFonts w:ascii="Simplified Arabic" w:hAnsi="Simplified Arabic" w:cs="Simplified Arabic" w:hint="cs"/>
          <w:sz w:val="24"/>
          <w:szCs w:val="24"/>
          <w:rtl/>
        </w:rPr>
        <w:t>ولا سيما</w:t>
      </w:r>
      <w:r>
        <w:rPr>
          <w:rFonts w:ascii="Simplified Arabic" w:hAnsi="Simplified Arabic" w:cs="Simplified Arabic"/>
          <w:sz w:val="24"/>
          <w:szCs w:val="24"/>
          <w:rtl/>
        </w:rPr>
        <w:t xml:space="preserve"> فيما يتعلق بقيمة التنوع البيولوجي بالنسبة للشعوب الأصلية والمجتمعات المحلية،</w:t>
      </w:r>
    </w:p>
    <w:p w14:paraId="6E000F74" w14:textId="43DAD518" w:rsidR="00591591" w:rsidRDefault="00591591" w:rsidP="00BE6092">
      <w:pPr>
        <w:suppressLineNumbers/>
        <w:suppressAutoHyphens/>
        <w:kinsoku w:val="0"/>
        <w:overflowPunct w:val="0"/>
        <w:autoSpaceDE w:val="0"/>
        <w:autoSpaceDN w:val="0"/>
        <w:bidi/>
        <w:snapToGrid w:val="0"/>
        <w:spacing w:after="120" w:line="216" w:lineRule="auto"/>
        <w:ind w:firstLine="720"/>
        <w:rPr>
          <w:rFonts w:ascii="Simplified Arabic" w:hAnsi="Simplified Arabic" w:cs="Simplified Arabic"/>
          <w:sz w:val="24"/>
          <w:rtl/>
        </w:rPr>
      </w:pPr>
      <w:r>
        <w:rPr>
          <w:rFonts w:ascii="Simplified Arabic" w:hAnsi="Simplified Arabic" w:cs="Simplified Arabic"/>
          <w:i/>
          <w:iCs/>
          <w:sz w:val="24"/>
          <w:rtl/>
        </w:rPr>
        <w:t xml:space="preserve">وإذ </w:t>
      </w:r>
      <w:r w:rsidR="00BE6092">
        <w:rPr>
          <w:rFonts w:ascii="Simplified Arabic" w:hAnsi="Simplified Arabic" w:cs="Simplified Arabic" w:hint="cs"/>
          <w:i/>
          <w:iCs/>
          <w:sz w:val="24"/>
          <w:rtl/>
        </w:rPr>
        <w:t>يدرك</w:t>
      </w:r>
      <w:r>
        <w:rPr>
          <w:rFonts w:ascii="Simplified Arabic" w:hAnsi="Simplified Arabic" w:cs="Simplified Arabic"/>
          <w:sz w:val="24"/>
          <w:rtl/>
        </w:rPr>
        <w:t xml:space="preserve"> بأنه لا يوجد في </w:t>
      </w:r>
      <w:r>
        <w:rPr>
          <w:rFonts w:ascii="Simplified Arabic" w:hAnsi="Simplified Arabic" w:cs="Simplified Arabic"/>
          <w:sz w:val="24"/>
          <w:rtl/>
          <w:lang w:bidi="ar-EG"/>
        </w:rPr>
        <w:t>"</w:t>
      </w:r>
      <w:bookmarkStart w:id="0" w:name="_Hlk522867555"/>
      <w:r>
        <w:rPr>
          <w:rFonts w:ascii="Simplified Arabic" w:hAnsi="Simplified Arabic" w:cs="Simplified Arabic"/>
          <w:sz w:val="24"/>
          <w:rtl/>
          <w:lang w:bidi="ar-EG"/>
        </w:rPr>
        <w:t>الإرشادات الطوعية المتعلقة بتقييم الاعتبارات الاجتماعية والاقتصادية في سياق المادة 26 من بروتوكول قرطاجنة للسلامة الأحيائية</w:t>
      </w:r>
      <w:bookmarkEnd w:id="0"/>
      <w:r>
        <w:rPr>
          <w:rFonts w:ascii="Simplified Arabic" w:hAnsi="Simplified Arabic" w:cs="Simplified Arabic"/>
          <w:sz w:val="24"/>
          <w:rtl/>
          <w:lang w:bidi="ar-EG"/>
        </w:rPr>
        <w:t>"</w:t>
      </w:r>
      <w:r>
        <w:rPr>
          <w:rFonts w:ascii="Simplified Arabic" w:hAnsi="Simplified Arabic" w:cs="Simplified Arabic"/>
          <w:sz w:val="24"/>
          <w:rtl/>
        </w:rPr>
        <w:t xml:space="preserve"> ما يمكن تفسيره أو استخدامه لدعم فرض حواجز غير جمركية على التجارة، أو لتبرير الإخلال بالالتزامات المتعلقة بالقانون الدولي لحقوق الإنسان، </w:t>
      </w:r>
      <w:r w:rsidR="00BE6092">
        <w:rPr>
          <w:rFonts w:ascii="Simplified Arabic" w:hAnsi="Simplified Arabic" w:cs="Simplified Arabic" w:hint="cs"/>
          <w:sz w:val="24"/>
          <w:rtl/>
        </w:rPr>
        <w:t>و</w:t>
      </w:r>
      <w:r>
        <w:rPr>
          <w:rFonts w:ascii="Simplified Arabic" w:hAnsi="Simplified Arabic" w:cs="Simplified Arabic"/>
          <w:sz w:val="24"/>
          <w:rtl/>
        </w:rPr>
        <w:t>لا سيما حقوق الشعوب الأصلية والمجتمعات المحلية،</w:t>
      </w:r>
    </w:p>
    <w:p w14:paraId="135DD1C0" w14:textId="740E0B81" w:rsidR="00591591" w:rsidRDefault="00591591" w:rsidP="00BE6092">
      <w:pPr>
        <w:suppressLineNumbers/>
        <w:suppressAutoHyphens/>
        <w:kinsoku w:val="0"/>
        <w:overflowPunct w:val="0"/>
        <w:autoSpaceDE w:val="0"/>
        <w:autoSpaceDN w:val="0"/>
        <w:bidi/>
        <w:snapToGrid w:val="0"/>
        <w:spacing w:after="120" w:line="216" w:lineRule="auto"/>
        <w:ind w:firstLine="720"/>
        <w:rPr>
          <w:rFonts w:ascii="Simplified Arabic" w:hAnsi="Simplified Arabic" w:cs="Simplified Arabic"/>
          <w:sz w:val="24"/>
          <w:rtl/>
        </w:rPr>
      </w:pPr>
      <w:r>
        <w:rPr>
          <w:rFonts w:ascii="Simplified Arabic" w:hAnsi="Simplified Arabic" w:cs="Simplified Arabic"/>
          <w:i/>
          <w:iCs/>
          <w:sz w:val="24"/>
          <w:rtl/>
        </w:rPr>
        <w:t xml:space="preserve">وإذ </w:t>
      </w:r>
      <w:r w:rsidR="00BE6092">
        <w:rPr>
          <w:rFonts w:ascii="Simplified Arabic" w:hAnsi="Simplified Arabic" w:cs="Simplified Arabic" w:hint="cs"/>
          <w:i/>
          <w:iCs/>
          <w:sz w:val="24"/>
          <w:rtl/>
        </w:rPr>
        <w:t>يقر</w:t>
      </w:r>
      <w:r>
        <w:rPr>
          <w:rFonts w:ascii="Simplified Arabic" w:hAnsi="Simplified Arabic" w:cs="Simplified Arabic"/>
          <w:sz w:val="24"/>
          <w:rtl/>
        </w:rPr>
        <w:t xml:space="preserve"> </w:t>
      </w:r>
      <w:r w:rsidR="00BE6092" w:rsidRPr="00BE6092">
        <w:rPr>
          <w:rFonts w:cs="Simplified Arabic" w:hint="cs"/>
          <w:smallCaps/>
          <w:rtl/>
        </w:rPr>
        <w:t>ب</w:t>
      </w:r>
      <w:r>
        <w:rPr>
          <w:rFonts w:cs="Simplified Arabic"/>
          <w:smallCaps/>
          <w:rtl/>
        </w:rPr>
        <w:t xml:space="preserve">أنّ اتفاقات التجارة والبيئة ينبغي أن </w:t>
      </w:r>
      <w:r w:rsidR="00BE6092">
        <w:rPr>
          <w:rFonts w:cs="Simplified Arabic" w:hint="cs"/>
          <w:smallCaps/>
          <w:rtl/>
        </w:rPr>
        <w:t>تدعم بعضها البعض</w:t>
      </w:r>
      <w:r>
        <w:rPr>
          <w:rFonts w:ascii="Simplified Arabic" w:hAnsi="Simplified Arabic" w:cs="Simplified Arabic"/>
          <w:sz w:val="24"/>
          <w:rtl/>
        </w:rPr>
        <w:t xml:space="preserve"> بُغية تحقيق التنمية المستدامة،</w:t>
      </w:r>
    </w:p>
    <w:p w14:paraId="114468ED" w14:textId="3001919C" w:rsidR="00591591" w:rsidRDefault="00591591" w:rsidP="00BE6092">
      <w:pPr>
        <w:suppressLineNumbers/>
        <w:suppressAutoHyphens/>
        <w:kinsoku w:val="0"/>
        <w:overflowPunct w:val="0"/>
        <w:autoSpaceDE w:val="0"/>
        <w:autoSpaceDN w:val="0"/>
        <w:bidi/>
        <w:snapToGrid w:val="0"/>
        <w:spacing w:after="120" w:line="216" w:lineRule="auto"/>
        <w:ind w:firstLine="720"/>
        <w:rPr>
          <w:rFonts w:ascii="Simplified Arabic" w:hAnsi="Simplified Arabic" w:cs="Simplified Arabic"/>
          <w:sz w:val="24"/>
          <w:rtl/>
        </w:rPr>
      </w:pPr>
      <w:r>
        <w:rPr>
          <w:rFonts w:ascii="Simplified Arabic" w:hAnsi="Simplified Arabic" w:cs="Simplified Arabic"/>
          <w:i/>
          <w:iCs/>
          <w:sz w:val="24"/>
          <w:rtl/>
        </w:rPr>
        <w:t>وإذ يشدد</w:t>
      </w:r>
      <w:r>
        <w:rPr>
          <w:rFonts w:ascii="Simplified Arabic" w:hAnsi="Simplified Arabic" w:cs="Simplified Arabic"/>
          <w:sz w:val="24"/>
          <w:rtl/>
        </w:rPr>
        <w:t xml:space="preserve"> على أنّ</w:t>
      </w:r>
      <w:r w:rsidR="00BE6092">
        <w:rPr>
          <w:rFonts w:ascii="Simplified Arabic" w:hAnsi="Simplified Arabic" w:cs="Simplified Arabic" w:hint="cs"/>
          <w:sz w:val="24"/>
          <w:rtl/>
        </w:rPr>
        <w:t>ه لا يجوز تفسير</w:t>
      </w:r>
      <w:r>
        <w:rPr>
          <w:rFonts w:ascii="Simplified Arabic" w:hAnsi="Simplified Arabic" w:cs="Simplified Arabic"/>
          <w:sz w:val="24"/>
          <w:rtl/>
        </w:rPr>
        <w:t xml:space="preserve"> البروتوكول على أنه ينطوي على تغيير في حقوق والتزامات أيّ طرف بموجب أيّ من الاتفاقات الدولية القائمة،</w:t>
      </w:r>
    </w:p>
    <w:p w14:paraId="087A0C17" w14:textId="77777777" w:rsidR="00591591" w:rsidRDefault="00591591" w:rsidP="00BE6092">
      <w:pPr>
        <w:suppressLineNumbers/>
        <w:suppressAutoHyphens/>
        <w:kinsoku w:val="0"/>
        <w:overflowPunct w:val="0"/>
        <w:autoSpaceDE w:val="0"/>
        <w:autoSpaceDN w:val="0"/>
        <w:bidi/>
        <w:snapToGrid w:val="0"/>
        <w:spacing w:after="120" w:line="216" w:lineRule="auto"/>
        <w:ind w:firstLine="720"/>
        <w:rPr>
          <w:rFonts w:cs="Simplified Arabic"/>
          <w:smallCaps/>
          <w:rtl/>
        </w:rPr>
      </w:pPr>
      <w:r>
        <w:rPr>
          <w:rFonts w:ascii="Simplified Arabic" w:hAnsi="Simplified Arabic" w:cs="Simplified Arabic"/>
          <w:i/>
          <w:iCs/>
          <w:sz w:val="24"/>
          <w:rtl/>
        </w:rPr>
        <w:t>وإذ يعي</w:t>
      </w:r>
      <w:r>
        <w:rPr>
          <w:rFonts w:cs="Simplified Arabic"/>
          <w:smallCaps/>
          <w:rtl/>
        </w:rPr>
        <w:t xml:space="preserve"> أنّ الجزء السردي الوارد أعلاه لا يُقصد به جعل هـذا البروتوكول تابعا للاتفاقات الدولية الأخرى،</w:t>
      </w:r>
    </w:p>
    <w:p w14:paraId="4D2E867A" w14:textId="77777777" w:rsidR="00591591" w:rsidRDefault="00591591" w:rsidP="00BE6092">
      <w:pPr>
        <w:suppressLineNumbers/>
        <w:suppressAutoHyphens/>
        <w:kinsoku w:val="0"/>
        <w:overflowPunct w:val="0"/>
        <w:autoSpaceDE w:val="0"/>
        <w:autoSpaceDN w:val="0"/>
        <w:bidi/>
        <w:snapToGrid w:val="0"/>
        <w:spacing w:after="120" w:line="216" w:lineRule="auto"/>
        <w:ind w:firstLine="720"/>
        <w:rPr>
          <w:rFonts w:ascii="Simplified Arabic" w:hAnsi="Simplified Arabic" w:cs="Simplified Arabic"/>
          <w:i/>
          <w:kern w:val="22"/>
          <w:szCs w:val="22"/>
          <w:rtl/>
          <w:lang w:val="en-US"/>
        </w:rPr>
      </w:pPr>
      <w:r>
        <w:rPr>
          <w:rFonts w:ascii="Simplified Arabic" w:hAnsi="Simplified Arabic" w:cs="Simplified Arabic"/>
          <w:i/>
          <w:iCs/>
          <w:sz w:val="24"/>
          <w:rtl/>
        </w:rPr>
        <w:t>وإذ يشير</w:t>
      </w:r>
      <w:r>
        <w:rPr>
          <w:rFonts w:ascii="Simplified Arabic" w:hAnsi="Simplified Arabic" w:cs="Simplified Arabic"/>
          <w:sz w:val="24"/>
          <w:rtl/>
        </w:rPr>
        <w:t xml:space="preserve"> إلى أنّ القصد من هذه الإرشادات هو استخدامها على أساس طوعي،</w:t>
      </w:r>
    </w:p>
    <w:p w14:paraId="0CE9D209" w14:textId="51A40F95" w:rsidR="00591591" w:rsidRDefault="00591591" w:rsidP="00BE6092">
      <w:pPr>
        <w:pStyle w:val="Para10"/>
        <w:numPr>
          <w:ilvl w:val="0"/>
          <w:numId w:val="0"/>
        </w:numPr>
        <w:bidi/>
        <w:spacing w:before="0" w:line="216" w:lineRule="auto"/>
        <w:ind w:firstLine="720"/>
        <w:rPr>
          <w:kern w:val="22"/>
          <w:sz w:val="24"/>
          <w:szCs w:val="24"/>
          <w:rtl/>
          <w:lang w:val="en-US" w:bidi="ar-EG"/>
        </w:rPr>
      </w:pPr>
      <w:r>
        <w:rPr>
          <w:rFonts w:ascii="Simplified Arabic" w:hAnsi="Simplified Arabic" w:cs="Simplified Arabic"/>
          <w:sz w:val="24"/>
          <w:szCs w:val="24"/>
          <w:rtl/>
        </w:rPr>
        <w:lastRenderedPageBreak/>
        <w:t>1-</w:t>
      </w:r>
      <w:r>
        <w:rPr>
          <w:rFonts w:ascii="Simplified Arabic" w:hAnsi="Simplified Arabic" w:cs="Simplified Arabic"/>
          <w:sz w:val="24"/>
          <w:szCs w:val="24"/>
          <w:rtl/>
        </w:rPr>
        <w:tab/>
      </w:r>
      <w:r>
        <w:rPr>
          <w:rFonts w:ascii="Simplified Arabic" w:hAnsi="Simplified Arabic" w:cs="Simplified Arabic"/>
          <w:i/>
          <w:iCs/>
          <w:sz w:val="24"/>
          <w:szCs w:val="24"/>
          <w:rtl/>
        </w:rPr>
        <w:t>يحيط علما</w:t>
      </w:r>
      <w:r>
        <w:rPr>
          <w:rFonts w:ascii="Simplified Arabic" w:hAnsi="Simplified Arabic" w:cs="Simplified Arabic"/>
          <w:sz w:val="24"/>
          <w:szCs w:val="24"/>
          <w:rtl/>
        </w:rPr>
        <w:t xml:space="preserve"> </w:t>
      </w:r>
      <w:r>
        <w:rPr>
          <w:rFonts w:ascii="Simplified Arabic" w:hAnsi="Simplified Arabic" w:cs="Simplified Arabic"/>
          <w:sz w:val="24"/>
          <w:szCs w:val="24"/>
          <w:rtl/>
          <w:lang w:bidi="ar-EG"/>
        </w:rPr>
        <w:t>"</w:t>
      </w:r>
      <w:r w:rsidR="00BE6092">
        <w:rPr>
          <w:rFonts w:ascii="Simplified Arabic" w:hAnsi="Simplified Arabic" w:cs="Simplified Arabic" w:hint="cs"/>
          <w:sz w:val="24"/>
          <w:szCs w:val="24"/>
          <w:rtl/>
          <w:lang w:bidi="ar-EG"/>
        </w:rPr>
        <w:t>ب</w:t>
      </w:r>
      <w:r>
        <w:rPr>
          <w:rFonts w:ascii="Simplified Arabic" w:hAnsi="Simplified Arabic" w:cs="Simplified Arabic"/>
          <w:sz w:val="24"/>
          <w:szCs w:val="24"/>
          <w:rtl/>
          <w:lang w:bidi="ar-EG"/>
        </w:rPr>
        <w:t>الإرشادات المتعلقة بتقييم الاعتبارات الاجتماعية والاقتصادية في سياق المادة 26 من بروتوكول قرطاجنة للسلامة الأحيائية"</w:t>
      </w:r>
      <w:r>
        <w:rPr>
          <w:rFonts w:ascii="Simplified Arabic" w:hAnsi="Simplified Arabic" w:cs="Simplified Arabic"/>
          <w:sz w:val="24"/>
          <w:szCs w:val="24"/>
          <w:rtl/>
        </w:rPr>
        <w:t>؛</w:t>
      </w:r>
      <w:r>
        <w:rPr>
          <w:rStyle w:val="FootnoteReference"/>
          <w:kern w:val="22"/>
          <w:szCs w:val="22"/>
        </w:rPr>
        <w:footnoteReference w:id="1"/>
      </w:r>
    </w:p>
    <w:p w14:paraId="012B6356" w14:textId="62321773" w:rsidR="00591591" w:rsidRDefault="00591591" w:rsidP="00BE6092">
      <w:pPr>
        <w:pStyle w:val="Para10"/>
        <w:numPr>
          <w:ilvl w:val="0"/>
          <w:numId w:val="0"/>
        </w:numPr>
        <w:bidi/>
        <w:spacing w:before="0" w:line="216" w:lineRule="auto"/>
        <w:ind w:firstLine="720"/>
        <w:rPr>
          <w:rFonts w:ascii="Simplified Arabic" w:hAnsi="Simplified Arabic" w:cs="Simplified Arabic"/>
          <w:sz w:val="24"/>
          <w:szCs w:val="24"/>
          <w:rtl/>
        </w:rPr>
      </w:pPr>
      <w:r>
        <w:rPr>
          <w:rFonts w:ascii="Simplified Arabic" w:hAnsi="Simplified Arabic" w:cs="Simplified Arabic"/>
          <w:kern w:val="22"/>
          <w:sz w:val="24"/>
          <w:szCs w:val="24"/>
          <w:rtl/>
          <w:lang w:bidi="ar-EG"/>
        </w:rPr>
        <w:t>2-</w:t>
      </w:r>
      <w:r>
        <w:rPr>
          <w:rFonts w:ascii="Simplified Arabic" w:hAnsi="Simplified Arabic" w:cs="Simplified Arabic"/>
          <w:kern w:val="22"/>
          <w:sz w:val="24"/>
          <w:szCs w:val="24"/>
          <w:rtl/>
          <w:lang w:bidi="ar-EG"/>
        </w:rPr>
        <w:tab/>
      </w:r>
      <w:r>
        <w:rPr>
          <w:rFonts w:ascii="Simplified Arabic" w:hAnsi="Simplified Arabic" w:cs="Simplified Arabic"/>
          <w:i/>
          <w:iCs/>
          <w:sz w:val="24"/>
          <w:szCs w:val="24"/>
          <w:rtl/>
          <w:lang w:bidi="ar-EG"/>
        </w:rPr>
        <w:t>يدعو</w:t>
      </w:r>
      <w:r>
        <w:rPr>
          <w:rFonts w:ascii="Simplified Arabic" w:hAnsi="Simplified Arabic" w:cs="Simplified Arabic"/>
          <w:sz w:val="24"/>
          <w:szCs w:val="24"/>
          <w:rtl/>
          <w:lang w:bidi="ar-EG"/>
        </w:rPr>
        <w:t xml:space="preserve"> الأطراف والحكومات الأخرى </w:t>
      </w:r>
      <w:r>
        <w:rPr>
          <w:rFonts w:ascii="Simplified Arabic" w:hAnsi="Simplified Arabic" w:cs="Simplified Arabic"/>
          <w:sz w:val="24"/>
          <w:szCs w:val="24"/>
          <w:rtl/>
        </w:rPr>
        <w:t xml:space="preserve">والمنظمات ذات الصلة </w:t>
      </w:r>
      <w:r w:rsidR="00BE6092">
        <w:rPr>
          <w:rFonts w:ascii="Simplified Arabic" w:hAnsi="Simplified Arabic" w:cs="Simplified Arabic" w:hint="cs"/>
          <w:sz w:val="24"/>
          <w:szCs w:val="24"/>
          <w:rtl/>
        </w:rPr>
        <w:t>و</w:t>
      </w:r>
      <w:r>
        <w:rPr>
          <w:rFonts w:ascii="Simplified Arabic" w:hAnsi="Simplified Arabic" w:cs="Simplified Arabic"/>
          <w:sz w:val="24"/>
          <w:szCs w:val="24"/>
          <w:rtl/>
        </w:rPr>
        <w:t xml:space="preserve">أصحاب المصلحة </w:t>
      </w:r>
      <w:r w:rsidR="00BE6092">
        <w:rPr>
          <w:rFonts w:ascii="Simplified Arabic" w:hAnsi="Simplified Arabic" w:cs="Simplified Arabic" w:hint="cs"/>
          <w:sz w:val="24"/>
          <w:szCs w:val="24"/>
          <w:rtl/>
        </w:rPr>
        <w:t xml:space="preserve">الآخرين، حسب الاقتضاء، </w:t>
      </w:r>
      <w:r>
        <w:rPr>
          <w:rFonts w:ascii="Simplified Arabic" w:hAnsi="Simplified Arabic" w:cs="Simplified Arabic"/>
          <w:sz w:val="24"/>
          <w:szCs w:val="24"/>
          <w:rtl/>
        </w:rPr>
        <w:t xml:space="preserve">إلى استخدام وتقديم الخبرات الأولية باستخدام الإرشادات الطوعية، فضلا عن أمثلة </w:t>
      </w:r>
      <w:r w:rsidR="00BE6092">
        <w:rPr>
          <w:rFonts w:ascii="Simplified Arabic" w:hAnsi="Simplified Arabic" w:cs="Simplified Arabic" w:hint="cs"/>
          <w:sz w:val="24"/>
          <w:szCs w:val="24"/>
          <w:rtl/>
        </w:rPr>
        <w:t xml:space="preserve">على </w:t>
      </w:r>
      <w:r>
        <w:rPr>
          <w:rFonts w:ascii="Simplified Arabic" w:hAnsi="Simplified Arabic" w:cs="Simplified Arabic"/>
          <w:sz w:val="24"/>
          <w:szCs w:val="24"/>
          <w:rtl/>
        </w:rPr>
        <w:t xml:space="preserve">منهجيات الاعتبارات الاجتماعية والاقتصادية </w:t>
      </w:r>
      <w:r w:rsidR="00BE6092">
        <w:rPr>
          <w:rFonts w:ascii="Simplified Arabic" w:hAnsi="Simplified Arabic" w:cs="Simplified Arabic" w:hint="cs"/>
          <w:sz w:val="24"/>
          <w:szCs w:val="24"/>
          <w:rtl/>
        </w:rPr>
        <w:t>و</w:t>
      </w:r>
      <w:r>
        <w:rPr>
          <w:rFonts w:ascii="Simplified Arabic" w:hAnsi="Simplified Arabic" w:cs="Simplified Arabic"/>
          <w:sz w:val="24"/>
          <w:szCs w:val="24"/>
          <w:rtl/>
        </w:rPr>
        <w:t xml:space="preserve">تطبيقها في ضوء عناصر الإرشادات </w:t>
      </w:r>
      <w:r>
        <w:rPr>
          <w:rFonts w:ascii="Simplified Arabic" w:hAnsi="Simplified Arabic" w:cs="Simplified Arabic"/>
          <w:sz w:val="24"/>
          <w:szCs w:val="24"/>
          <w:rtl/>
          <w:lang w:bidi="ar-EG"/>
        </w:rPr>
        <w:t>الطوعية</w:t>
      </w:r>
      <w:r>
        <w:rPr>
          <w:rFonts w:ascii="Simplified Arabic" w:hAnsi="Simplified Arabic" w:cs="Simplified Arabic"/>
          <w:sz w:val="24"/>
          <w:szCs w:val="24"/>
          <w:rtl/>
        </w:rPr>
        <w:t>، ويفضَّل أن يكون ذلك في شكل دراسات حالة؛</w:t>
      </w:r>
    </w:p>
    <w:p w14:paraId="788E9954" w14:textId="36BA8FDD" w:rsidR="00591591" w:rsidRDefault="00591591" w:rsidP="00BE6092">
      <w:pPr>
        <w:pStyle w:val="Para10"/>
        <w:numPr>
          <w:ilvl w:val="0"/>
          <w:numId w:val="0"/>
        </w:numPr>
        <w:bidi/>
        <w:spacing w:before="0" w:line="216" w:lineRule="auto"/>
        <w:ind w:firstLine="720"/>
        <w:rPr>
          <w:rFonts w:ascii="Simplified Arabic" w:hAnsi="Simplified Arabic" w:cs="Simplified Arabic"/>
          <w:sz w:val="24"/>
          <w:szCs w:val="24"/>
          <w:rtl/>
          <w:lang w:bidi="ar-EG"/>
        </w:rPr>
      </w:pPr>
      <w:r>
        <w:rPr>
          <w:rFonts w:ascii="Simplified Arabic" w:hAnsi="Simplified Arabic" w:cs="Simplified Arabic"/>
          <w:sz w:val="24"/>
          <w:szCs w:val="24"/>
          <w:rtl/>
        </w:rPr>
        <w:t>3-</w:t>
      </w:r>
      <w:r>
        <w:rPr>
          <w:rFonts w:ascii="Simplified Arabic" w:hAnsi="Simplified Arabic" w:cs="Simplified Arabic"/>
          <w:sz w:val="24"/>
          <w:szCs w:val="24"/>
          <w:rtl/>
        </w:rPr>
        <w:tab/>
      </w:r>
      <w:r>
        <w:rPr>
          <w:rFonts w:ascii="Simplified Arabic" w:hAnsi="Simplified Arabic" w:cs="Simplified Arabic"/>
          <w:i/>
          <w:iCs/>
          <w:sz w:val="24"/>
          <w:szCs w:val="24"/>
          <w:rtl/>
        </w:rPr>
        <w:t>يُنشئ</w:t>
      </w:r>
      <w:r>
        <w:rPr>
          <w:rFonts w:ascii="Simplified Arabic" w:hAnsi="Simplified Arabic" w:cs="Simplified Arabic"/>
          <w:sz w:val="24"/>
          <w:szCs w:val="24"/>
          <w:rtl/>
        </w:rPr>
        <w:t xml:space="preserve"> منتدى إلكتروني</w:t>
      </w:r>
      <w:r w:rsidR="00BE6092">
        <w:rPr>
          <w:rFonts w:ascii="Simplified Arabic" w:hAnsi="Simplified Arabic" w:cs="Simplified Arabic" w:hint="cs"/>
          <w:sz w:val="24"/>
          <w:szCs w:val="24"/>
          <w:rtl/>
        </w:rPr>
        <w:t>ا</w:t>
      </w:r>
      <w:r>
        <w:rPr>
          <w:rFonts w:ascii="Simplified Arabic" w:hAnsi="Simplified Arabic" w:cs="Simplified Arabic"/>
          <w:sz w:val="24"/>
          <w:szCs w:val="24"/>
          <w:rtl/>
        </w:rPr>
        <w:t xml:space="preserve"> بشأن الاعتبارات الاجتماعية والاقتصادية من خلال غرفة تبادل معلومات السلامة الأحيائية؛</w:t>
      </w:r>
    </w:p>
    <w:p w14:paraId="119D2979" w14:textId="77777777" w:rsidR="00591591" w:rsidRDefault="00591591" w:rsidP="00BE6092">
      <w:pPr>
        <w:pStyle w:val="Para10"/>
        <w:numPr>
          <w:ilvl w:val="0"/>
          <w:numId w:val="0"/>
        </w:numPr>
        <w:bidi/>
        <w:spacing w:before="0" w:line="216" w:lineRule="auto"/>
        <w:ind w:firstLine="720"/>
        <w:rPr>
          <w:rFonts w:ascii="Simplified Arabic" w:hAnsi="Simplified Arabic" w:cs="Simplified Arabic"/>
          <w:sz w:val="24"/>
          <w:szCs w:val="24"/>
          <w:rtl/>
        </w:rPr>
      </w:pPr>
      <w:r>
        <w:rPr>
          <w:rFonts w:ascii="Simplified Arabic" w:hAnsi="Simplified Arabic" w:cs="Simplified Arabic"/>
          <w:sz w:val="24"/>
          <w:szCs w:val="24"/>
          <w:rtl/>
        </w:rPr>
        <w:t>4-</w:t>
      </w:r>
      <w:r>
        <w:rPr>
          <w:rFonts w:ascii="Simplified Arabic" w:hAnsi="Simplified Arabic" w:cs="Simplified Arabic"/>
          <w:sz w:val="24"/>
          <w:szCs w:val="24"/>
          <w:rtl/>
        </w:rPr>
        <w:tab/>
      </w:r>
      <w:r>
        <w:rPr>
          <w:rFonts w:ascii="Simplified Arabic" w:hAnsi="Simplified Arabic" w:cs="Simplified Arabic"/>
          <w:i/>
          <w:iCs/>
          <w:sz w:val="24"/>
          <w:szCs w:val="24"/>
          <w:rtl/>
        </w:rPr>
        <w:t>يطلب</w:t>
      </w:r>
      <w:r>
        <w:rPr>
          <w:rFonts w:ascii="Simplified Arabic" w:hAnsi="Simplified Arabic" w:cs="Simplified Arabic"/>
          <w:sz w:val="24"/>
          <w:szCs w:val="24"/>
          <w:rtl/>
        </w:rPr>
        <w:t xml:space="preserve"> إلى الأمينة التنفيذية (أ) تجميع المعلومات المقدمة استجابة للفقرة 2 أعلاه، (ب) تنظيم مناقشات مُدارة في إطار المنتدى الإلكتروني للتعليق على تجميع المعلومات المقدمة و</w:t>
      </w:r>
      <w:bookmarkStart w:id="1" w:name="_GoBack"/>
      <w:bookmarkEnd w:id="1"/>
      <w:r>
        <w:rPr>
          <w:rFonts w:ascii="Simplified Arabic" w:hAnsi="Simplified Arabic" w:cs="Simplified Arabic"/>
          <w:sz w:val="24"/>
          <w:szCs w:val="24"/>
          <w:rtl/>
        </w:rPr>
        <w:t xml:space="preserve">إضافة </w:t>
      </w:r>
      <w:r>
        <w:rPr>
          <w:rFonts w:ascii="Simplified Arabic" w:hAnsi="Simplified Arabic" w:cs="Simplified Arabic"/>
          <w:sz w:val="24"/>
          <w:szCs w:val="24"/>
          <w:rtl/>
          <w:lang w:bidi="ar-EG"/>
        </w:rPr>
        <w:t>الآراء</w:t>
      </w:r>
      <w:r>
        <w:rPr>
          <w:rFonts w:ascii="Simplified Arabic" w:hAnsi="Simplified Arabic" w:cs="Simplified Arabic"/>
          <w:sz w:val="24"/>
          <w:szCs w:val="24"/>
          <w:rtl/>
        </w:rPr>
        <w:t xml:space="preserve"> لاستعراضه، (ج) اختيار مقررَيْن لتلخيص المناقشات الإلكترونية المُدارة وإعداد تقرير بشأنها، وأن يتم هذا الاختيار بالتشاور مع مكتب مؤتمر الأطراف العامل كاجتماع للأطراف في بروتوكول قرطاجنة؛</w:t>
      </w:r>
    </w:p>
    <w:p w14:paraId="554CD2DC" w14:textId="5098A28F" w:rsidR="00591591" w:rsidRDefault="00591591" w:rsidP="00BE6092">
      <w:pPr>
        <w:pStyle w:val="Para10"/>
        <w:numPr>
          <w:ilvl w:val="0"/>
          <w:numId w:val="0"/>
        </w:numPr>
        <w:bidi/>
        <w:spacing w:before="0" w:line="216" w:lineRule="auto"/>
        <w:ind w:firstLine="720"/>
        <w:rPr>
          <w:rFonts w:ascii="Simplified Arabic" w:hAnsi="Simplified Arabic" w:cs="Simplified Arabic"/>
          <w:sz w:val="24"/>
          <w:szCs w:val="24"/>
          <w:rtl/>
        </w:rPr>
      </w:pPr>
      <w:r>
        <w:rPr>
          <w:rFonts w:ascii="Simplified Arabic" w:hAnsi="Simplified Arabic" w:cs="Simplified Arabic"/>
          <w:sz w:val="24"/>
          <w:szCs w:val="24"/>
          <w:rtl/>
        </w:rPr>
        <w:t>5-</w:t>
      </w:r>
      <w:r>
        <w:rPr>
          <w:rFonts w:ascii="Simplified Arabic" w:hAnsi="Simplified Arabic" w:cs="Simplified Arabic"/>
          <w:sz w:val="24"/>
          <w:szCs w:val="24"/>
          <w:rtl/>
        </w:rPr>
        <w:tab/>
      </w:r>
      <w:r w:rsidR="00BE6092">
        <w:rPr>
          <w:rFonts w:ascii="Simplified Arabic" w:hAnsi="Simplified Arabic" w:cs="Simplified Arabic" w:hint="cs"/>
          <w:i/>
          <w:iCs/>
          <w:sz w:val="24"/>
          <w:szCs w:val="24"/>
          <w:rtl/>
        </w:rPr>
        <w:t>يمدد عمل</w:t>
      </w:r>
      <w:r>
        <w:rPr>
          <w:rFonts w:ascii="Simplified Arabic" w:hAnsi="Simplified Arabic" w:cs="Simplified Arabic"/>
          <w:sz w:val="24"/>
          <w:szCs w:val="24"/>
          <w:rtl/>
        </w:rPr>
        <w:t xml:space="preserve"> فريق الخبراء التقنيين المخصص للاعتبارات الاجتماعية والاقتصادية </w:t>
      </w:r>
      <w:r w:rsidR="00BE6092">
        <w:rPr>
          <w:rFonts w:ascii="Simplified Arabic" w:hAnsi="Simplified Arabic" w:cs="Simplified Arabic" w:hint="cs"/>
          <w:sz w:val="24"/>
          <w:szCs w:val="24"/>
          <w:rtl/>
        </w:rPr>
        <w:t>ل</w:t>
      </w:r>
      <w:r>
        <w:rPr>
          <w:rFonts w:ascii="Simplified Arabic" w:hAnsi="Simplified Arabic" w:cs="Simplified Arabic"/>
          <w:sz w:val="24"/>
          <w:szCs w:val="24"/>
          <w:rtl/>
        </w:rPr>
        <w:t>استعراض نتائج المنتدى الإلكتروني وفقا للاختصاصات الواردة في المرفق، و</w:t>
      </w:r>
      <w:r>
        <w:rPr>
          <w:rFonts w:ascii="Simplified Arabic" w:hAnsi="Simplified Arabic" w:cs="Simplified Arabic"/>
          <w:i/>
          <w:iCs/>
          <w:sz w:val="24"/>
          <w:szCs w:val="24"/>
          <w:rtl/>
        </w:rPr>
        <w:t>يطلب</w:t>
      </w:r>
      <w:r>
        <w:rPr>
          <w:rFonts w:ascii="Simplified Arabic" w:hAnsi="Simplified Arabic" w:cs="Simplified Arabic"/>
          <w:sz w:val="24"/>
          <w:szCs w:val="24"/>
          <w:rtl/>
        </w:rPr>
        <w:t xml:space="preserve"> إلى الأمينة التنفيذية أن تعقد، رهنا بتوافر الموارد، اجتماعا مباشرا للفريق؛</w:t>
      </w:r>
    </w:p>
    <w:p w14:paraId="7F421BD5" w14:textId="77777777" w:rsidR="00591591" w:rsidRDefault="00591591" w:rsidP="00BE6092">
      <w:pPr>
        <w:pStyle w:val="Para10"/>
        <w:numPr>
          <w:ilvl w:val="0"/>
          <w:numId w:val="0"/>
        </w:numPr>
        <w:bidi/>
        <w:spacing w:before="0" w:line="216" w:lineRule="auto"/>
        <w:ind w:firstLine="720"/>
        <w:rPr>
          <w:rFonts w:ascii="Simplified Arabic" w:hAnsi="Simplified Arabic" w:cs="Simplified Arabic"/>
          <w:sz w:val="24"/>
          <w:szCs w:val="24"/>
          <w:rtl/>
        </w:rPr>
      </w:pPr>
      <w:r>
        <w:rPr>
          <w:rFonts w:ascii="Simplified Arabic" w:hAnsi="Simplified Arabic" w:cs="Simplified Arabic"/>
          <w:sz w:val="24"/>
          <w:szCs w:val="24"/>
          <w:rtl/>
        </w:rPr>
        <w:t>6-</w:t>
      </w:r>
      <w:r>
        <w:rPr>
          <w:rFonts w:ascii="Simplified Arabic" w:hAnsi="Simplified Arabic" w:cs="Simplified Arabic"/>
          <w:sz w:val="24"/>
          <w:szCs w:val="24"/>
          <w:rtl/>
        </w:rPr>
        <w:tab/>
      </w:r>
      <w:r>
        <w:rPr>
          <w:rFonts w:ascii="Simplified Arabic" w:hAnsi="Simplified Arabic" w:cs="Simplified Arabic"/>
          <w:i/>
          <w:iCs/>
          <w:sz w:val="24"/>
          <w:szCs w:val="24"/>
          <w:rtl/>
        </w:rPr>
        <w:t>يقرر</w:t>
      </w:r>
      <w:r>
        <w:rPr>
          <w:rFonts w:ascii="Simplified Arabic" w:hAnsi="Simplified Arabic" w:cs="Simplified Arabic"/>
          <w:sz w:val="24"/>
          <w:szCs w:val="24"/>
          <w:rtl/>
        </w:rPr>
        <w:t xml:space="preserve"> أن ينظر، خلال اجتماعه العاشر، في نتائج العملية المبينة أعلاه.</w:t>
      </w:r>
    </w:p>
    <w:p w14:paraId="02FEB9F3" w14:textId="77777777" w:rsidR="00591591" w:rsidRDefault="00591591" w:rsidP="00BE6092">
      <w:pPr>
        <w:suppressLineNumbers/>
        <w:suppressAutoHyphens/>
        <w:kinsoku w:val="0"/>
        <w:overflowPunct w:val="0"/>
        <w:autoSpaceDE w:val="0"/>
        <w:autoSpaceDN w:val="0"/>
        <w:bidi/>
        <w:snapToGrid w:val="0"/>
        <w:spacing w:after="120" w:line="216" w:lineRule="auto"/>
        <w:jc w:val="center"/>
        <w:rPr>
          <w:i/>
          <w:iCs/>
          <w:kern w:val="22"/>
          <w:szCs w:val="22"/>
        </w:rPr>
      </w:pPr>
      <w:r>
        <w:rPr>
          <w:rFonts w:ascii="Simplified Arabic" w:hAnsi="Simplified Arabic" w:cs="Simplified Arabic"/>
          <w:i/>
          <w:iCs/>
          <w:sz w:val="24"/>
          <w:rtl/>
        </w:rPr>
        <w:t>المرفق</w:t>
      </w:r>
    </w:p>
    <w:p w14:paraId="01304E7D" w14:textId="77777777" w:rsidR="00591591" w:rsidRDefault="00591591" w:rsidP="00BE6092">
      <w:pPr>
        <w:suppressLineNumbers/>
        <w:suppressAutoHyphens/>
        <w:kinsoku w:val="0"/>
        <w:overflowPunct w:val="0"/>
        <w:autoSpaceDE w:val="0"/>
        <w:autoSpaceDN w:val="0"/>
        <w:bidi/>
        <w:snapToGrid w:val="0"/>
        <w:spacing w:after="120" w:line="216" w:lineRule="auto"/>
        <w:jc w:val="center"/>
        <w:rPr>
          <w:b/>
          <w:bCs/>
          <w:kern w:val="22"/>
          <w:sz w:val="26"/>
          <w:szCs w:val="26"/>
        </w:rPr>
      </w:pPr>
      <w:r>
        <w:rPr>
          <w:rFonts w:ascii="Simplified Arabic" w:hAnsi="Simplified Arabic" w:cs="Simplified Arabic"/>
          <w:b/>
          <w:bCs/>
          <w:sz w:val="26"/>
          <w:szCs w:val="26"/>
          <w:rtl/>
        </w:rPr>
        <w:t>اختصاصات فريق الخبراء التقنيين المخصص للاعتبارات الاقتصادية الاجتماعية</w:t>
      </w:r>
    </w:p>
    <w:p w14:paraId="353FAF29" w14:textId="77777777" w:rsidR="00591591" w:rsidRDefault="00591591" w:rsidP="00BE6092">
      <w:pPr>
        <w:suppressLineNumbers/>
        <w:suppressAutoHyphens/>
        <w:kinsoku w:val="0"/>
        <w:overflowPunct w:val="0"/>
        <w:autoSpaceDE w:val="0"/>
        <w:autoSpaceDN w:val="0"/>
        <w:bidi/>
        <w:snapToGrid w:val="0"/>
        <w:spacing w:after="120" w:line="216" w:lineRule="auto"/>
        <w:rPr>
          <w:kern w:val="22"/>
          <w:szCs w:val="22"/>
          <w:rtl/>
        </w:rPr>
      </w:pPr>
      <w:r>
        <w:rPr>
          <w:rFonts w:ascii="Simplified Arabic" w:hAnsi="Simplified Arabic" w:cs="Simplified Arabic"/>
          <w:sz w:val="24"/>
          <w:rtl/>
        </w:rPr>
        <w:t>يقوم فريق الخبراء التقنيين المخصص للاعتبارات الاجتماعية والاقتصادية بما يلي:</w:t>
      </w:r>
    </w:p>
    <w:p w14:paraId="672F86A3" w14:textId="4B4F32BF" w:rsidR="00591591" w:rsidRDefault="00591591" w:rsidP="00BE6092">
      <w:pPr>
        <w:suppressLineNumbers/>
        <w:suppressAutoHyphens/>
        <w:kinsoku w:val="0"/>
        <w:overflowPunct w:val="0"/>
        <w:autoSpaceDE w:val="0"/>
        <w:autoSpaceDN w:val="0"/>
        <w:bidi/>
        <w:snapToGrid w:val="0"/>
        <w:spacing w:after="120" w:line="216" w:lineRule="auto"/>
        <w:ind w:firstLine="720"/>
        <w:rPr>
          <w:kern w:val="22"/>
          <w:szCs w:val="22"/>
          <w:rtl/>
        </w:rPr>
      </w:pPr>
      <w:r>
        <w:rPr>
          <w:rFonts w:ascii="Simplified Arabic" w:hAnsi="Simplified Arabic" w:cs="Simplified Arabic"/>
          <w:sz w:val="24"/>
          <w:rtl/>
        </w:rPr>
        <w:t>(أ)</w:t>
      </w:r>
      <w:r>
        <w:rPr>
          <w:rFonts w:ascii="Simplified Arabic" w:hAnsi="Simplified Arabic" w:cs="Simplified Arabic"/>
          <w:sz w:val="24"/>
          <w:rtl/>
        </w:rPr>
        <w:tab/>
        <w:t xml:space="preserve">استعراض المعلومات المقدمة استجابة للفقرة 2 من المقرر </w:t>
      </w:r>
      <w:r>
        <w:rPr>
          <w:kern w:val="22"/>
          <w:szCs w:val="22"/>
        </w:rPr>
        <w:t>CP-9/14</w:t>
      </w:r>
      <w:r>
        <w:rPr>
          <w:rFonts w:ascii="Simplified Arabic" w:hAnsi="Simplified Arabic" w:cs="Simplified Arabic"/>
          <w:sz w:val="24"/>
          <w:rtl/>
        </w:rPr>
        <w:t xml:space="preserve"> ونتائج المناقشات الإلكترونية المُدارة واستخدام هذه المعلومات لتكملة الإرشادات الطوعية، من خلال الإشارة إلى المرحلة في عملية التقييم، على النحو المبين في الإرشادات الطوعية، التي قد تكون المعلومات ذات أهمية بالنسبة لها؛</w:t>
      </w:r>
    </w:p>
    <w:p w14:paraId="254D04A4" w14:textId="77777777" w:rsidR="00591591" w:rsidRDefault="00591591" w:rsidP="00BE6092">
      <w:pPr>
        <w:suppressLineNumbers/>
        <w:suppressAutoHyphens/>
        <w:kinsoku w:val="0"/>
        <w:overflowPunct w:val="0"/>
        <w:autoSpaceDE w:val="0"/>
        <w:autoSpaceDN w:val="0"/>
        <w:bidi/>
        <w:snapToGrid w:val="0"/>
        <w:spacing w:after="120" w:line="216" w:lineRule="auto"/>
        <w:ind w:firstLine="720"/>
        <w:rPr>
          <w:kern w:val="22"/>
          <w:szCs w:val="22"/>
          <w:rtl/>
          <w:lang w:val="en-US"/>
        </w:rPr>
      </w:pPr>
      <w:r>
        <w:rPr>
          <w:rFonts w:ascii="Simplified Arabic" w:hAnsi="Simplified Arabic" w:cs="Simplified Arabic"/>
          <w:sz w:val="24"/>
          <w:rtl/>
        </w:rPr>
        <w:t>(ب)</w:t>
      </w:r>
      <w:r>
        <w:rPr>
          <w:rFonts w:ascii="Simplified Arabic" w:hAnsi="Simplified Arabic" w:cs="Simplified Arabic"/>
          <w:sz w:val="24"/>
          <w:rtl/>
        </w:rPr>
        <w:tab/>
        <w:t>استنادا إلى هذا الاستعراض، إعداد تقرير عن أعماله وتقديمه إلى مؤتمر الأطراف العامل كاجتماع للأطراف في بروتوكول قرطاجنة لينظر فيه خلال اجتماعه العاشر.</w:t>
      </w:r>
    </w:p>
    <w:p w14:paraId="6A1793C3" w14:textId="77777777" w:rsidR="006A0F84" w:rsidRPr="006A0F84" w:rsidRDefault="006A0F84" w:rsidP="006A0F84">
      <w:pPr>
        <w:bidi/>
        <w:spacing w:before="120" w:after="120"/>
        <w:ind w:left="372"/>
        <w:jc w:val="center"/>
        <w:rPr>
          <w:kern w:val="22"/>
          <w:szCs w:val="22"/>
        </w:rPr>
      </w:pPr>
      <w:r w:rsidRPr="006A0F84">
        <w:rPr>
          <w:kern w:val="22"/>
          <w:szCs w:val="22"/>
        </w:rPr>
        <w:t>__________</w:t>
      </w:r>
    </w:p>
    <w:p w14:paraId="258C9721" w14:textId="4EDB8B01" w:rsidR="00B3369F" w:rsidRDefault="00B3369F" w:rsidP="006A0F84">
      <w:pPr>
        <w:bidi/>
        <w:jc w:val="center"/>
        <w:rPr>
          <w:rFonts w:ascii="Simplified Arabic" w:hAnsi="Simplified Arabic" w:cs="Simplified Arabic"/>
          <w:sz w:val="24"/>
          <w:lang w:val="en-US"/>
        </w:rPr>
      </w:pPr>
    </w:p>
    <w:p w14:paraId="7DA0A0BB" w14:textId="16431761" w:rsidR="00645CB7" w:rsidRDefault="00645CB7" w:rsidP="00645CB7">
      <w:pPr>
        <w:bidi/>
        <w:jc w:val="center"/>
        <w:rPr>
          <w:rFonts w:ascii="Simplified Arabic" w:hAnsi="Simplified Arabic" w:cs="Simplified Arabic"/>
          <w:sz w:val="24"/>
          <w:lang w:val="en-US"/>
        </w:rPr>
      </w:pPr>
    </w:p>
    <w:p w14:paraId="26E49804" w14:textId="77777777" w:rsidR="00645CB7" w:rsidRPr="00DD5891" w:rsidRDefault="00645CB7" w:rsidP="00645CB7">
      <w:pPr>
        <w:bidi/>
        <w:jc w:val="center"/>
        <w:rPr>
          <w:rFonts w:ascii="Simplified Arabic" w:hAnsi="Simplified Arabic" w:cs="Simplified Arabic"/>
          <w:sz w:val="24"/>
          <w:lang w:val="en-US"/>
        </w:rPr>
      </w:pPr>
    </w:p>
    <w:sectPr w:rsidR="00645CB7" w:rsidRPr="00DD5891" w:rsidSect="009C200D">
      <w:headerReference w:type="even" r:id="rId16"/>
      <w:headerReference w:type="default" r:id="rId17"/>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362F" w14:textId="77777777" w:rsidR="00361392" w:rsidRDefault="00361392" w:rsidP="00CF1848">
      <w:r>
        <w:separator/>
      </w:r>
    </w:p>
  </w:endnote>
  <w:endnote w:type="continuationSeparator" w:id="0">
    <w:p w14:paraId="739FBC4A" w14:textId="77777777" w:rsidR="00361392" w:rsidRDefault="003613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FA1AA" w14:textId="77777777" w:rsidR="00361392" w:rsidRDefault="00361392" w:rsidP="00DD5891">
      <w:pPr>
        <w:bidi/>
      </w:pPr>
      <w:r>
        <w:separator/>
      </w:r>
    </w:p>
  </w:footnote>
  <w:footnote w:type="continuationSeparator" w:id="0">
    <w:p w14:paraId="7BC23860" w14:textId="77777777" w:rsidR="00361392" w:rsidRDefault="00361392" w:rsidP="00CF1848">
      <w:r>
        <w:continuationSeparator/>
      </w:r>
    </w:p>
  </w:footnote>
  <w:footnote w:id="1">
    <w:p w14:paraId="16B7D0DC" w14:textId="77777777" w:rsidR="00591591" w:rsidRDefault="00591591" w:rsidP="00591591">
      <w:pPr>
        <w:pStyle w:val="FootnoteText"/>
        <w:bidi/>
        <w:ind w:firstLine="0"/>
        <w:rPr>
          <w:rtl/>
          <w:lang w:val="en-US" w:bidi="ar-EG"/>
        </w:rPr>
      </w:pPr>
      <w:r>
        <w:rPr>
          <w:rStyle w:val="FootnoteReference"/>
        </w:rPr>
        <w:footnoteRef/>
      </w:r>
      <w:r>
        <w:rPr>
          <w:rtl/>
          <w:lang w:val="en-US" w:bidi="ar-EG"/>
        </w:rPr>
        <w:t xml:space="preserve"> </w:t>
      </w:r>
      <w:r w:rsidRPr="00BE6092">
        <w:rPr>
          <w:rFonts w:ascii="Simplified Arabic" w:hAnsi="Simplified Arabic" w:cs="Simplified Arabic"/>
          <w:sz w:val="22"/>
          <w:szCs w:val="22"/>
          <w:rtl/>
          <w:lang w:bidi="ar-EG"/>
        </w:rPr>
        <w:t>على النحو الوارد في</w:t>
      </w:r>
      <w:r w:rsidRPr="00BE6092">
        <w:rPr>
          <w:rFonts w:hint="cs"/>
          <w:sz w:val="22"/>
          <w:szCs w:val="22"/>
          <w:rtl/>
          <w:lang w:bidi="ar-EG"/>
        </w:rPr>
        <w:t xml:space="preserve"> </w:t>
      </w:r>
      <w:r>
        <w:rPr>
          <w:sz w:val="20"/>
          <w:szCs w:val="20"/>
          <w:lang w:val="en-CA" w:bidi="ar-EG"/>
        </w:rPr>
        <w:t>CBD/CP/MOP/9/10</w:t>
      </w:r>
      <w:r>
        <w:rPr>
          <w:rFonts w:hint="cs"/>
          <w:sz w:val="20"/>
          <w:szCs w:val="20"/>
          <w:rtl/>
          <w:lang w:val="en-CA" w:bidi="ar-EG"/>
        </w:rPr>
        <w:t xml:space="preserve">، </w:t>
      </w:r>
      <w:r w:rsidRPr="00BE6092">
        <w:rPr>
          <w:rFonts w:ascii="Simplified Arabic" w:hAnsi="Simplified Arabic" w:cs="Simplified Arabic" w:hint="cs"/>
          <w:sz w:val="22"/>
          <w:szCs w:val="22"/>
          <w:rtl/>
          <w:lang w:bidi="ar-EG"/>
        </w:rPr>
        <w:t>المرفق</w:t>
      </w:r>
      <w:r>
        <w:rPr>
          <w:rFonts w:hint="cs"/>
          <w:sz w:val="20"/>
          <w:szCs w:val="20"/>
          <w:rtl/>
          <w:lang w:val="en-CA"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8AC6" w14:textId="13528E4A" w:rsidR="004C0258" w:rsidRPr="004C69D2" w:rsidRDefault="00F82D3D" w:rsidP="00591591">
    <w:pPr>
      <w:pStyle w:val="Header"/>
      <w:jc w:val="right"/>
      <w:rPr>
        <w:lang w:val="en-CA"/>
      </w:rPr>
    </w:pPr>
    <w:r>
      <w:rPr>
        <w:lang w:val="en-CA"/>
      </w:rPr>
      <w:t>CBD/CP/MOP/</w:t>
    </w:r>
    <w:r w:rsidR="00645CB7">
      <w:rPr>
        <w:lang w:val="en-CA"/>
      </w:rPr>
      <w:t>DEC/</w:t>
    </w:r>
    <w:r>
      <w:rPr>
        <w:lang w:val="en-CA"/>
      </w:rPr>
      <w:t>9/</w:t>
    </w:r>
    <w:r w:rsidR="00591591">
      <w:rPr>
        <w:lang w:val="en-CA"/>
      </w:rPr>
      <w:t>14</w:t>
    </w:r>
  </w:p>
  <w:p w14:paraId="6429DBD8" w14:textId="77777777" w:rsidR="004C0258" w:rsidRPr="00000614" w:rsidRDefault="004C0258"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BE6092">
      <w:rPr>
        <w:noProof/>
        <w:lang w:val="fr-FR"/>
      </w:rPr>
      <w:t>2</w:t>
    </w:r>
    <w:r>
      <w:rPr>
        <w:noProof/>
      </w:rPr>
      <w:fldChar w:fldCharType="end"/>
    </w:r>
  </w:p>
  <w:p w14:paraId="34E3C882" w14:textId="77777777" w:rsidR="004C0258" w:rsidRPr="00000614" w:rsidRDefault="004C025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FB27" w14:textId="385289B5" w:rsidR="004C0258" w:rsidRPr="004C69D2" w:rsidRDefault="00F82D3D" w:rsidP="00591591">
    <w:pPr>
      <w:pStyle w:val="Header"/>
      <w:jc w:val="left"/>
      <w:rPr>
        <w:lang w:val="en-CA"/>
      </w:rPr>
    </w:pPr>
    <w:r>
      <w:rPr>
        <w:lang w:val="en-CA"/>
      </w:rPr>
      <w:t>CBD/CP/MOP/</w:t>
    </w:r>
    <w:r w:rsidR="00645CB7">
      <w:rPr>
        <w:lang w:val="en-CA"/>
      </w:rPr>
      <w:t>DEC/</w:t>
    </w:r>
    <w:r>
      <w:rPr>
        <w:lang w:val="en-CA"/>
      </w:rPr>
      <w:t>9/</w:t>
    </w:r>
    <w:r w:rsidR="00591591">
      <w:rPr>
        <w:rFonts w:hint="cs"/>
        <w:rtl/>
        <w:lang w:val="en-CA"/>
      </w:rPr>
      <w:t>14</w:t>
    </w:r>
  </w:p>
  <w:p w14:paraId="0137DB64" w14:textId="77777777" w:rsidR="004C0258" w:rsidRPr="00000614" w:rsidRDefault="004C0258"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91591">
      <w:rPr>
        <w:noProof/>
        <w:lang w:val="fr-FR"/>
      </w:rPr>
      <w:t>3</w:t>
    </w:r>
    <w:r>
      <w:rPr>
        <w:noProof/>
      </w:rPr>
      <w:fldChar w:fldCharType="end"/>
    </w:r>
  </w:p>
  <w:p w14:paraId="56E84519" w14:textId="77777777" w:rsidR="004C0258" w:rsidRPr="00000614" w:rsidRDefault="004C0258" w:rsidP="00A92307">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
    <w:nsid w:val="10486028"/>
    <w:multiLevelType w:val="hybridMultilevel"/>
    <w:tmpl w:val="2996C918"/>
    <w:lvl w:ilvl="0" w:tplc="44F0F8D8">
      <w:start w:val="1"/>
      <w:numFmt w:val="decimal"/>
      <w:lvlText w:val="%1-"/>
      <w:lvlJc w:val="left"/>
      <w:pPr>
        <w:ind w:left="732" w:hanging="360"/>
      </w:pPr>
      <w:rPr>
        <w:rFonts w:hint="default"/>
        <w:b w:val="0"/>
        <w:bCs w:val="0"/>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171113A7"/>
    <w:multiLevelType w:val="multilevel"/>
    <w:tmpl w:val="48241D10"/>
    <w:numStyleLink w:val="Normallist"/>
  </w:abstractNum>
  <w:abstractNum w:abstractNumId="6">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7">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8">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1">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5">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6">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8">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9">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33">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4">
    <w:nsid w:val="698E3148"/>
    <w:multiLevelType w:val="hybridMultilevel"/>
    <w:tmpl w:val="00285FDE"/>
    <w:lvl w:ilvl="0" w:tplc="7D802CB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5">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9">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26"/>
  </w:num>
  <w:num w:numId="3">
    <w:abstractNumId w:val="23"/>
  </w:num>
  <w:num w:numId="4">
    <w:abstractNumId w:val="36"/>
  </w:num>
  <w:num w:numId="5">
    <w:abstractNumId w:val="10"/>
  </w:num>
  <w:num w:numId="6">
    <w:abstractNumId w:val="30"/>
  </w:num>
  <w:num w:numId="7">
    <w:abstractNumId w:val="7"/>
  </w:num>
  <w:num w:numId="8">
    <w:abstractNumId w:val="15"/>
  </w:num>
  <w:num w:numId="9">
    <w:abstractNumId w:val="39"/>
  </w:num>
  <w:num w:numId="10">
    <w:abstractNumId w:val="25"/>
  </w:num>
  <w:num w:numId="11">
    <w:abstractNumId w:val="2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
  </w:num>
  <w:num w:numId="18">
    <w:abstractNumId w:val="35"/>
  </w:num>
  <w:num w:numId="19">
    <w:abstractNumId w:val="28"/>
  </w:num>
  <w:num w:numId="20">
    <w:abstractNumId w:val="5"/>
  </w:num>
  <w:num w:numId="21">
    <w:abstractNumId w:val="0"/>
  </w:num>
  <w:num w:numId="22">
    <w:abstractNumId w:val="4"/>
  </w:num>
  <w:num w:numId="23">
    <w:abstractNumId w:val="17"/>
  </w:num>
  <w:num w:numId="24">
    <w:abstractNumId w:val="38"/>
  </w:num>
  <w:num w:numId="25">
    <w:abstractNumId w:val="6"/>
  </w:num>
  <w:num w:numId="26">
    <w:abstractNumId w:val="31"/>
  </w:num>
  <w:num w:numId="27">
    <w:abstractNumId w:val="13"/>
  </w:num>
  <w:num w:numId="28">
    <w:abstractNumId w:val="11"/>
  </w:num>
  <w:num w:numId="29">
    <w:abstractNumId w:val="9"/>
  </w:num>
  <w:num w:numId="30">
    <w:abstractNumId w:val="24"/>
  </w:num>
  <w:num w:numId="31">
    <w:abstractNumId w:val="21"/>
  </w:num>
  <w:num w:numId="32">
    <w:abstractNumId w:val="32"/>
  </w:num>
  <w:num w:numId="33">
    <w:abstractNumId w:val="33"/>
  </w:num>
  <w:num w:numId="34">
    <w:abstractNumId w:val="2"/>
  </w:num>
  <w:num w:numId="35">
    <w:abstractNumId w:val="8"/>
  </w:num>
  <w:num w:numId="36">
    <w:abstractNumId w:val="22"/>
  </w:num>
  <w:num w:numId="37">
    <w:abstractNumId w:val="16"/>
  </w:num>
  <w:num w:numId="38">
    <w:abstractNumId w:val="18"/>
  </w:num>
  <w:num w:numId="39">
    <w:abstractNumId w:val="12"/>
  </w:num>
  <w:num w:numId="40">
    <w:abstractNumId w:val="3"/>
  </w:num>
  <w:num w:numId="41">
    <w:abstractNumId w:val="34"/>
  </w:num>
  <w:num w:numId="42">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26"/>
  </w:num>
  <w:num w:numId="45">
    <w:abstractNumId w:val="26"/>
  </w:num>
  <w:num w:numId="46">
    <w:abstractNumId w:val="26"/>
  </w:num>
  <w:num w:numId="47">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E673A"/>
    <w:rsid w:val="000F74F5"/>
    <w:rsid w:val="00100ADC"/>
    <w:rsid w:val="00105372"/>
    <w:rsid w:val="00131E7A"/>
    <w:rsid w:val="001372FB"/>
    <w:rsid w:val="00172AF6"/>
    <w:rsid w:val="00176CEE"/>
    <w:rsid w:val="001B3854"/>
    <w:rsid w:val="001B6CF5"/>
    <w:rsid w:val="00236D69"/>
    <w:rsid w:val="002D1C35"/>
    <w:rsid w:val="002E3296"/>
    <w:rsid w:val="003378E3"/>
    <w:rsid w:val="00361392"/>
    <w:rsid w:val="00372F74"/>
    <w:rsid w:val="0037689F"/>
    <w:rsid w:val="003B2B69"/>
    <w:rsid w:val="003D290D"/>
    <w:rsid w:val="003F7224"/>
    <w:rsid w:val="00405146"/>
    <w:rsid w:val="0042412C"/>
    <w:rsid w:val="00427D21"/>
    <w:rsid w:val="00433DE1"/>
    <w:rsid w:val="004644C2"/>
    <w:rsid w:val="00467F9C"/>
    <w:rsid w:val="0047558D"/>
    <w:rsid w:val="004A221D"/>
    <w:rsid w:val="004C0258"/>
    <w:rsid w:val="004C69D2"/>
    <w:rsid w:val="004D5D03"/>
    <w:rsid w:val="005224E3"/>
    <w:rsid w:val="00534681"/>
    <w:rsid w:val="00591591"/>
    <w:rsid w:val="0059306F"/>
    <w:rsid w:val="005B19D8"/>
    <w:rsid w:val="006122BA"/>
    <w:rsid w:val="0061445E"/>
    <w:rsid w:val="00645CB7"/>
    <w:rsid w:val="00655368"/>
    <w:rsid w:val="006A0F84"/>
    <w:rsid w:val="006B2290"/>
    <w:rsid w:val="006F1189"/>
    <w:rsid w:val="00717D88"/>
    <w:rsid w:val="0074103A"/>
    <w:rsid w:val="007942D3"/>
    <w:rsid w:val="007A3583"/>
    <w:rsid w:val="007B6C09"/>
    <w:rsid w:val="007E09DA"/>
    <w:rsid w:val="007E10ED"/>
    <w:rsid w:val="007E73F7"/>
    <w:rsid w:val="008178B6"/>
    <w:rsid w:val="00865B74"/>
    <w:rsid w:val="00883B12"/>
    <w:rsid w:val="008B6445"/>
    <w:rsid w:val="00930BA1"/>
    <w:rsid w:val="0093169E"/>
    <w:rsid w:val="009505C9"/>
    <w:rsid w:val="009C200D"/>
    <w:rsid w:val="00A92307"/>
    <w:rsid w:val="00AC4591"/>
    <w:rsid w:val="00B3369F"/>
    <w:rsid w:val="00B33DB6"/>
    <w:rsid w:val="00BB33F4"/>
    <w:rsid w:val="00BE6092"/>
    <w:rsid w:val="00C9161D"/>
    <w:rsid w:val="00CF1848"/>
    <w:rsid w:val="00CF4661"/>
    <w:rsid w:val="00D12044"/>
    <w:rsid w:val="00D20864"/>
    <w:rsid w:val="00D76A18"/>
    <w:rsid w:val="00DA1336"/>
    <w:rsid w:val="00DD118C"/>
    <w:rsid w:val="00DD5891"/>
    <w:rsid w:val="00E24022"/>
    <w:rsid w:val="00E66235"/>
    <w:rsid w:val="00E83C24"/>
    <w:rsid w:val="00E9318D"/>
    <w:rsid w:val="00EC7130"/>
    <w:rsid w:val="00F21124"/>
    <w:rsid w:val="00F82D3D"/>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D7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24780795">
      <w:bodyDiv w:val="1"/>
      <w:marLeft w:val="0"/>
      <w:marRight w:val="0"/>
      <w:marTop w:val="0"/>
      <w:marBottom w:val="0"/>
      <w:divBdr>
        <w:top w:val="none" w:sz="0" w:space="0" w:color="auto"/>
        <w:left w:val="none" w:sz="0" w:space="0" w:color="auto"/>
        <w:bottom w:val="none" w:sz="0" w:space="0" w:color="auto"/>
        <w:right w:val="none" w:sz="0" w:space="0" w:color="auto"/>
      </w:divBdr>
    </w:div>
    <w:div w:id="154921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ecision/mop/default.shtml?id=13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s://www.cbd.int/doc/decisions/mop-08/mop-08-dec-13-ar.pdf"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mop-07/mop-07-dec-13-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2E3784-DDCB-4F96-9C82-6509A81C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CBD/CP/MOP/9/L.11</dc:subject>
  <dc:creator>SCBD</dc:creator>
  <cp:lastModifiedBy>Mohamed El Sehemawi</cp:lastModifiedBy>
  <cp:revision>4</cp:revision>
  <cp:lastPrinted>2019-02-11T04:16:00Z</cp:lastPrinted>
  <dcterms:created xsi:type="dcterms:W3CDTF">2019-02-11T03:06:00Z</dcterms:created>
  <dcterms:modified xsi:type="dcterms:W3CDTF">2019-02-11T04:17:00Z</dcterms:modified>
  <cp:contentStatus>GENERAL</cp:contentStatus>
</cp:coreProperties>
</file>