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E47D1" w:rsidRPr="00980760" w14:paraId="01142CA8" w14:textId="77777777" w:rsidTr="00527836">
        <w:trPr>
          <w:trHeight w:val="709"/>
        </w:trPr>
        <w:tc>
          <w:tcPr>
            <w:tcW w:w="976" w:type="dxa"/>
            <w:tcBorders>
              <w:bottom w:val="single" w:sz="12" w:space="0" w:color="auto"/>
            </w:tcBorders>
          </w:tcPr>
          <w:p w14:paraId="7D6689B3" w14:textId="77777777" w:rsidR="00BE47D1" w:rsidRPr="00D83584" w:rsidRDefault="00BE47D1" w:rsidP="00527836">
            <w:pPr>
              <w:rPr>
                <w:kern w:val="22"/>
              </w:rPr>
            </w:pPr>
            <w:r w:rsidRPr="00D83584">
              <w:rPr>
                <w:noProof/>
                <w:kern w:val="22"/>
                <w:lang w:eastAsia="en-CA"/>
              </w:rPr>
              <w:drawing>
                <wp:inline distT="0" distB="0" distL="0" distR="0" wp14:anchorId="4DAF0654" wp14:editId="4E92AA1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61BD9D66" w14:textId="77777777" w:rsidR="00BE47D1" w:rsidRPr="00D83584" w:rsidRDefault="00BE47D1" w:rsidP="00527836">
            <w:pPr>
              <w:rPr>
                <w:kern w:val="22"/>
              </w:rPr>
            </w:pPr>
            <w:r w:rsidRPr="00D83584">
              <w:rPr>
                <w:noProof/>
                <w:kern w:val="22"/>
                <w:lang w:eastAsia="en-CA"/>
              </w:rPr>
              <w:drawing>
                <wp:inline distT="0" distB="0" distL="0" distR="0" wp14:anchorId="6B95266D" wp14:editId="53F0022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24C382F" w14:textId="77777777" w:rsidR="00BE47D1" w:rsidRPr="00D83584" w:rsidRDefault="00BE47D1" w:rsidP="00527836">
            <w:pPr>
              <w:jc w:val="right"/>
              <w:rPr>
                <w:rFonts w:ascii="Arial" w:hAnsi="Arial" w:cs="Arial"/>
                <w:b/>
                <w:kern w:val="22"/>
                <w:sz w:val="32"/>
                <w:szCs w:val="32"/>
              </w:rPr>
            </w:pPr>
            <w:r w:rsidRPr="00D83584">
              <w:rPr>
                <w:rFonts w:ascii="Arial" w:hAnsi="Arial" w:cs="Arial"/>
                <w:b/>
                <w:kern w:val="22"/>
                <w:sz w:val="32"/>
                <w:szCs w:val="32"/>
              </w:rPr>
              <w:t>CBD</w:t>
            </w:r>
          </w:p>
        </w:tc>
      </w:tr>
      <w:tr w:rsidR="00BE47D1" w:rsidRPr="00980760" w14:paraId="200DD4F2" w14:textId="77777777" w:rsidTr="00527836">
        <w:tc>
          <w:tcPr>
            <w:tcW w:w="6117" w:type="dxa"/>
            <w:gridSpan w:val="2"/>
            <w:tcBorders>
              <w:top w:val="single" w:sz="12" w:space="0" w:color="auto"/>
              <w:bottom w:val="single" w:sz="36" w:space="0" w:color="auto"/>
            </w:tcBorders>
            <w:vAlign w:val="center"/>
          </w:tcPr>
          <w:p w14:paraId="7E01EABD" w14:textId="77777777" w:rsidR="00BE47D1" w:rsidRPr="00D83584" w:rsidRDefault="00BE47D1" w:rsidP="00527836">
            <w:pPr>
              <w:rPr>
                <w:kern w:val="22"/>
              </w:rPr>
            </w:pPr>
            <w:r w:rsidRPr="00D83584">
              <w:rPr>
                <w:noProof/>
                <w:kern w:val="22"/>
                <w:lang w:eastAsia="en-CA"/>
              </w:rPr>
              <w:drawing>
                <wp:inline distT="0" distB="0" distL="0" distR="0" wp14:anchorId="398F9B5D" wp14:editId="554808AA">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A976054" w14:textId="77777777" w:rsidR="00BE47D1" w:rsidRPr="00D83584" w:rsidRDefault="00BE47D1" w:rsidP="00D83584">
            <w:pPr>
              <w:ind w:left="1537"/>
              <w:jc w:val="left"/>
              <w:rPr>
                <w:kern w:val="22"/>
                <w:szCs w:val="22"/>
              </w:rPr>
            </w:pPr>
            <w:r w:rsidRPr="00D83584">
              <w:rPr>
                <w:kern w:val="22"/>
                <w:szCs w:val="22"/>
              </w:rPr>
              <w:t>Distr.</w:t>
            </w:r>
          </w:p>
          <w:p w14:paraId="0C574BB6" w14:textId="5E7EC6C3" w:rsidR="00BE47D1" w:rsidRPr="00D83584" w:rsidRDefault="00DA64A8" w:rsidP="00D83584">
            <w:pPr>
              <w:ind w:left="1537"/>
              <w:jc w:val="left"/>
              <w:rPr>
                <w:kern w:val="22"/>
                <w:szCs w:val="22"/>
              </w:rPr>
            </w:pPr>
            <w:sdt>
              <w:sdtPr>
                <w:rPr>
                  <w:kern w:val="22"/>
                  <w:szCs w:val="22"/>
                </w:rPr>
                <w:alias w:val="Status"/>
                <w:tag w:val=""/>
                <w:id w:val="307985777"/>
                <w:placeholder>
                  <w:docPart w:val="CFD0311C12724AF789F42855E594144B"/>
                </w:placeholder>
                <w:dataBinding w:prefixMappings="xmlns:ns0='http://purl.org/dc/elements/1.1/' xmlns:ns1='http://schemas.openxmlformats.org/package/2006/metadata/core-properties' " w:xpath="/ns1:coreProperties[1]/ns1:contentStatus[1]" w:storeItemID="{6C3C8BC8-F283-45AE-878A-BAB7291924A1}"/>
                <w:text/>
              </w:sdtPr>
              <w:sdtEndPr/>
              <w:sdtContent>
                <w:r w:rsidR="00BE47D1" w:rsidRPr="00980760">
                  <w:rPr>
                    <w:kern w:val="22"/>
                    <w:szCs w:val="22"/>
                  </w:rPr>
                  <w:t>GENERAL</w:t>
                </w:r>
              </w:sdtContent>
            </w:sdt>
          </w:p>
          <w:p w14:paraId="0C004CC1" w14:textId="77777777" w:rsidR="00BE47D1" w:rsidRPr="00D83584" w:rsidRDefault="00BE47D1" w:rsidP="00D83584">
            <w:pPr>
              <w:ind w:left="1537"/>
              <w:jc w:val="left"/>
              <w:rPr>
                <w:kern w:val="22"/>
                <w:szCs w:val="22"/>
              </w:rPr>
            </w:pPr>
          </w:p>
          <w:p w14:paraId="028D2E1B" w14:textId="4703A61C" w:rsidR="00BE47D1" w:rsidRPr="00D83584" w:rsidRDefault="00DA64A8" w:rsidP="00D83584">
            <w:pPr>
              <w:ind w:left="1537"/>
              <w:jc w:val="left"/>
              <w:rPr>
                <w:kern w:val="22"/>
                <w:szCs w:val="22"/>
              </w:rPr>
            </w:pPr>
            <w:sdt>
              <w:sdtPr>
                <w:rPr>
                  <w:kern w:val="22"/>
                </w:rPr>
                <w:alias w:val="Subject"/>
                <w:tag w:val=""/>
                <w:id w:val="2137136483"/>
                <w:placeholder>
                  <w:docPart w:val="EC12B2066F284E44A71B0F3729FB8C90"/>
                </w:placeholder>
                <w:dataBinding w:prefixMappings="xmlns:ns0='http://purl.org/dc/elements/1.1/' xmlns:ns1='http://schemas.openxmlformats.org/package/2006/metadata/core-properties' " w:xpath="/ns1:coreProperties[1]/ns0:subject[1]" w:storeItemID="{6C3C8BC8-F283-45AE-878A-BAB7291924A1}"/>
                <w:text/>
              </w:sdtPr>
              <w:sdtEndPr/>
              <w:sdtContent>
                <w:r w:rsidR="001E03A2" w:rsidRPr="00980760">
                  <w:rPr>
                    <w:kern w:val="22"/>
                  </w:rPr>
                  <w:t>CBD/CP/MOP/DEC/9/13</w:t>
                </w:r>
              </w:sdtContent>
            </w:sdt>
          </w:p>
          <w:p w14:paraId="7D2E78CD" w14:textId="72086014" w:rsidR="00BE47D1" w:rsidRPr="00D83584" w:rsidRDefault="001E03A2" w:rsidP="00D83584">
            <w:pPr>
              <w:ind w:left="1537"/>
              <w:jc w:val="left"/>
              <w:rPr>
                <w:kern w:val="22"/>
                <w:szCs w:val="22"/>
              </w:rPr>
            </w:pPr>
            <w:r w:rsidRPr="00D83584">
              <w:rPr>
                <w:kern w:val="22"/>
                <w:szCs w:val="22"/>
              </w:rPr>
              <w:t>30</w:t>
            </w:r>
            <w:r w:rsidR="00BE47D1" w:rsidRPr="00D83584">
              <w:rPr>
                <w:kern w:val="22"/>
                <w:szCs w:val="22"/>
              </w:rPr>
              <w:t xml:space="preserve"> November 2018</w:t>
            </w:r>
          </w:p>
          <w:p w14:paraId="7ADD5D1D" w14:textId="77777777" w:rsidR="00BE47D1" w:rsidRPr="00D83584" w:rsidRDefault="00BE47D1" w:rsidP="00D83584">
            <w:pPr>
              <w:ind w:left="1537"/>
              <w:jc w:val="left"/>
              <w:rPr>
                <w:kern w:val="22"/>
                <w:szCs w:val="22"/>
              </w:rPr>
            </w:pPr>
          </w:p>
          <w:p w14:paraId="194A100F" w14:textId="77777777" w:rsidR="00BE47D1" w:rsidRPr="00D83584" w:rsidRDefault="00BE47D1" w:rsidP="00D83584">
            <w:pPr>
              <w:ind w:left="1537"/>
              <w:jc w:val="left"/>
              <w:rPr>
                <w:kern w:val="22"/>
                <w:szCs w:val="22"/>
              </w:rPr>
            </w:pPr>
            <w:r w:rsidRPr="00D83584">
              <w:rPr>
                <w:kern w:val="22"/>
                <w:szCs w:val="22"/>
              </w:rPr>
              <w:t>ORIGINAL: ENGLISH</w:t>
            </w:r>
          </w:p>
          <w:p w14:paraId="4956BFED" w14:textId="77777777" w:rsidR="00BE47D1" w:rsidRPr="00D83584" w:rsidRDefault="00BE47D1" w:rsidP="00D83584">
            <w:pPr>
              <w:ind w:left="1537"/>
              <w:jc w:val="left"/>
              <w:rPr>
                <w:kern w:val="22"/>
              </w:rPr>
            </w:pPr>
          </w:p>
        </w:tc>
      </w:tr>
    </w:tbl>
    <w:p w14:paraId="4BB7C504" w14:textId="77777777" w:rsidR="006F1189" w:rsidRPr="00980760" w:rsidRDefault="006F1189" w:rsidP="006F1189">
      <w:pPr>
        <w:pStyle w:val="Cornernotation"/>
        <w:suppressLineNumbers/>
        <w:suppressAutoHyphens/>
        <w:kinsoku w:val="0"/>
        <w:overflowPunct w:val="0"/>
        <w:autoSpaceDE w:val="0"/>
        <w:autoSpaceDN w:val="0"/>
        <w:spacing w:before="60"/>
        <w:ind w:left="227" w:right="3780" w:hanging="227"/>
        <w:rPr>
          <w:snapToGrid w:val="0"/>
          <w:kern w:val="22"/>
        </w:rPr>
      </w:pPr>
      <w:r w:rsidRPr="00980760">
        <w:rPr>
          <w:snapToGrid w:val="0"/>
          <w:kern w:val="22"/>
        </w:rPr>
        <w:t>CONFERENCE OF THE PARTIES TO THE CONVENTION ON BIOLOGICAL DIVERSITY SERVING AS THE MEETING OF THE PARTIES TO THE CARTAGENA PROTOCOL ON BIOSAFETY</w:t>
      </w:r>
    </w:p>
    <w:p w14:paraId="640DFEF8" w14:textId="77777777" w:rsidR="006F1189" w:rsidRPr="00980760" w:rsidRDefault="006F1189" w:rsidP="006F1189">
      <w:pPr>
        <w:pStyle w:val="Cornernotation"/>
        <w:suppressLineNumbers/>
        <w:suppressAutoHyphens/>
        <w:kinsoku w:val="0"/>
        <w:overflowPunct w:val="0"/>
        <w:autoSpaceDE w:val="0"/>
        <w:autoSpaceDN w:val="0"/>
        <w:ind w:left="0" w:right="4512" w:firstLine="0"/>
        <w:rPr>
          <w:snapToGrid w:val="0"/>
          <w:kern w:val="22"/>
        </w:rPr>
      </w:pPr>
      <w:r w:rsidRPr="00980760">
        <w:rPr>
          <w:snapToGrid w:val="0"/>
          <w:kern w:val="22"/>
        </w:rPr>
        <w:t>Ninth meeting</w:t>
      </w:r>
    </w:p>
    <w:p w14:paraId="07FB6C1B" w14:textId="77777777" w:rsidR="006F1189" w:rsidRPr="00980760" w:rsidRDefault="006F1189" w:rsidP="006F1189">
      <w:pPr>
        <w:suppressLineNumbers/>
        <w:suppressAutoHyphens/>
        <w:kinsoku w:val="0"/>
        <w:overflowPunct w:val="0"/>
        <w:autoSpaceDE w:val="0"/>
        <w:autoSpaceDN w:val="0"/>
        <w:rPr>
          <w:snapToGrid w:val="0"/>
          <w:kern w:val="22"/>
          <w:szCs w:val="22"/>
          <w:lang w:eastAsia="nb-NO"/>
        </w:rPr>
      </w:pPr>
      <w:bookmarkStart w:id="0" w:name="_Hlk505863673"/>
      <w:r w:rsidRPr="00980760">
        <w:rPr>
          <w:snapToGrid w:val="0"/>
          <w:kern w:val="22"/>
          <w:szCs w:val="22"/>
          <w:lang w:eastAsia="nb-NO"/>
        </w:rPr>
        <w:t>Sharm El-Sheikh, Egypt</w:t>
      </w:r>
      <w:bookmarkEnd w:id="0"/>
      <w:r w:rsidRPr="00980760">
        <w:rPr>
          <w:snapToGrid w:val="0"/>
          <w:kern w:val="22"/>
          <w:szCs w:val="22"/>
          <w:lang w:eastAsia="nb-NO"/>
        </w:rPr>
        <w:t>, 17-29 November 2018</w:t>
      </w:r>
    </w:p>
    <w:p w14:paraId="0B9BBCE1" w14:textId="02446788" w:rsidR="00C9161D" w:rsidRPr="00D83584" w:rsidRDefault="00405146" w:rsidP="00C9161D">
      <w:pPr>
        <w:rPr>
          <w:kern w:val="22"/>
        </w:rPr>
      </w:pPr>
      <w:r w:rsidRPr="00D83584">
        <w:rPr>
          <w:kern w:val="22"/>
        </w:rPr>
        <w:t xml:space="preserve">Agenda item </w:t>
      </w:r>
      <w:r w:rsidR="00051D54" w:rsidRPr="00D83584">
        <w:rPr>
          <w:kern w:val="22"/>
        </w:rPr>
        <w:t>15</w:t>
      </w:r>
    </w:p>
    <w:p w14:paraId="31421E70" w14:textId="06D1A7E5" w:rsidR="001E03A2" w:rsidRPr="00D83584" w:rsidRDefault="00B80A06" w:rsidP="00D83584">
      <w:pPr>
        <w:pStyle w:val="Heading1"/>
        <w:tabs>
          <w:tab w:val="clear" w:pos="720"/>
        </w:tabs>
        <w:rPr>
          <w:kern w:val="22"/>
        </w:rPr>
      </w:pPr>
      <w:bookmarkStart w:id="1" w:name="_Toc403662936"/>
      <w:r w:rsidRPr="00D83584">
        <w:rPr>
          <w:kern w:val="22"/>
        </w:rPr>
        <w:t>Decision adopted by the Parties to the Cartagena Protocol on Biosafety</w:t>
      </w:r>
      <w:bookmarkEnd w:id="1"/>
    </w:p>
    <w:p w14:paraId="70A9BE08" w14:textId="015D3C7B" w:rsidR="00C9161D" w:rsidRPr="00D83584" w:rsidRDefault="00DA64A8" w:rsidP="001E03A2">
      <w:pPr>
        <w:pStyle w:val="recommendationheader"/>
        <w:rPr>
          <w:caps/>
          <w:kern w:val="22"/>
        </w:rPr>
      </w:pPr>
      <w:sdt>
        <w:sdtPr>
          <w:rPr>
            <w:rFonts w:eastAsia="Malgun Gothic"/>
            <w:snapToGrid w:val="0"/>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470A9B" w:rsidRPr="00980760">
            <w:rPr>
              <w:rFonts w:eastAsia="Malgun Gothic"/>
              <w:snapToGrid w:val="0"/>
              <w:kern w:val="22"/>
            </w:rPr>
            <w:t>9/13.</w:t>
          </w:r>
          <w:r w:rsidR="00470A9B" w:rsidRPr="00980760">
            <w:rPr>
              <w:rFonts w:eastAsia="Malgun Gothic"/>
              <w:snapToGrid w:val="0"/>
              <w:kern w:val="22"/>
            </w:rPr>
            <w:tab/>
            <w:t>Risk assessment and risk management (Articles 15 and 16)</w:t>
          </w:r>
        </w:sdtContent>
      </w:sdt>
    </w:p>
    <w:p w14:paraId="4A8187AC" w14:textId="77777777" w:rsidR="00DC1BF0" w:rsidRPr="00980760" w:rsidRDefault="00DC1BF0" w:rsidP="00D83584">
      <w:pPr>
        <w:pStyle w:val="Para1"/>
        <w:numPr>
          <w:ilvl w:val="0"/>
          <w:numId w:val="0"/>
        </w:numPr>
        <w:suppressLineNumbers/>
        <w:suppressAutoHyphens/>
        <w:kinsoku w:val="0"/>
        <w:overflowPunct w:val="0"/>
        <w:autoSpaceDE w:val="0"/>
        <w:autoSpaceDN w:val="0"/>
        <w:adjustRightInd w:val="0"/>
        <w:ind w:firstLine="720"/>
        <w:rPr>
          <w:i/>
          <w:kern w:val="22"/>
          <w:szCs w:val="22"/>
        </w:rPr>
      </w:pPr>
      <w:bookmarkStart w:id="2" w:name="_Hlk531014875"/>
      <w:r w:rsidRPr="00980760">
        <w:rPr>
          <w:i/>
          <w:kern w:val="22"/>
          <w:szCs w:val="22"/>
        </w:rPr>
        <w:t>The Conference of the Parties serving as the meeting to the Parties to the Cartagena Protocol on Biosafety,</w:t>
      </w:r>
    </w:p>
    <w:p w14:paraId="663EAD92" w14:textId="77777777" w:rsidR="00DC1BF0" w:rsidRPr="00980760" w:rsidRDefault="00DC1BF0" w:rsidP="00D83584">
      <w:pPr>
        <w:pStyle w:val="Para1"/>
        <w:numPr>
          <w:ilvl w:val="0"/>
          <w:numId w:val="0"/>
        </w:numPr>
        <w:suppressLineNumbers/>
        <w:suppressAutoHyphens/>
        <w:kinsoku w:val="0"/>
        <w:overflowPunct w:val="0"/>
        <w:autoSpaceDE w:val="0"/>
        <w:autoSpaceDN w:val="0"/>
        <w:adjustRightInd w:val="0"/>
        <w:ind w:firstLine="720"/>
        <w:rPr>
          <w:kern w:val="22"/>
          <w:szCs w:val="22"/>
        </w:rPr>
      </w:pPr>
      <w:r w:rsidRPr="00980760">
        <w:rPr>
          <w:i/>
          <w:kern w:val="22"/>
          <w:szCs w:val="22"/>
        </w:rPr>
        <w:t xml:space="preserve">Recalling </w:t>
      </w:r>
      <w:r w:rsidRPr="00980760">
        <w:rPr>
          <w:kern w:val="22"/>
          <w:szCs w:val="22"/>
        </w:rPr>
        <w:t xml:space="preserve">decisions </w:t>
      </w:r>
      <w:hyperlink r:id="rId12" w:history="1">
        <w:r w:rsidRPr="00D83584">
          <w:rPr>
            <w:rStyle w:val="Hyperlink"/>
            <w:kern w:val="22"/>
            <w:sz w:val="22"/>
            <w:szCs w:val="22"/>
          </w:rPr>
          <w:t>BS-VII/12</w:t>
        </w:r>
      </w:hyperlink>
      <w:r w:rsidRPr="00980760">
        <w:rPr>
          <w:kern w:val="22"/>
          <w:szCs w:val="22"/>
        </w:rPr>
        <w:t xml:space="preserve"> and </w:t>
      </w:r>
      <w:hyperlink r:id="rId13" w:history="1">
        <w:r w:rsidRPr="00D83584">
          <w:rPr>
            <w:rStyle w:val="Hyperlink"/>
            <w:kern w:val="22"/>
            <w:sz w:val="22"/>
            <w:szCs w:val="22"/>
          </w:rPr>
          <w:t>XII/24</w:t>
        </w:r>
      </w:hyperlink>
      <w:r w:rsidRPr="00980760">
        <w:rPr>
          <w:kern w:val="22"/>
          <w:szCs w:val="22"/>
        </w:rPr>
        <w:t xml:space="preserve"> recommending a coordinated approach on the issue of synthetic biology,</w:t>
      </w:r>
    </w:p>
    <w:p w14:paraId="0D959CF3" w14:textId="77777777" w:rsidR="00DC1BF0" w:rsidRPr="00980760" w:rsidRDefault="00DC1BF0" w:rsidP="00D83584">
      <w:pPr>
        <w:pStyle w:val="Para1"/>
        <w:numPr>
          <w:ilvl w:val="0"/>
          <w:numId w:val="0"/>
        </w:numPr>
        <w:suppressLineNumbers/>
        <w:suppressAutoHyphens/>
        <w:kinsoku w:val="0"/>
        <w:overflowPunct w:val="0"/>
        <w:autoSpaceDE w:val="0"/>
        <w:autoSpaceDN w:val="0"/>
        <w:adjustRightInd w:val="0"/>
        <w:ind w:firstLine="720"/>
        <w:rPr>
          <w:kern w:val="22"/>
          <w:szCs w:val="22"/>
        </w:rPr>
      </w:pPr>
      <w:r w:rsidRPr="00980760">
        <w:rPr>
          <w:i/>
          <w:kern w:val="22"/>
          <w:szCs w:val="22"/>
        </w:rPr>
        <w:t>Reaffirming</w:t>
      </w:r>
      <w:r w:rsidRPr="00980760">
        <w:rPr>
          <w:kern w:val="22"/>
          <w:szCs w:val="22"/>
        </w:rPr>
        <w:t xml:space="preserve"> decision XII/24 of the Conference of the Parties urging Parties and inviting other Governments to take a precautionary approach, in accordance with the preamble of the Convention and with Article 14, when addressing threats of significant reduction or loss of biological diversity posed by organisms, components and products resulting from synthetic biology, in accordance with domestic legislation and other relevant international obligations,</w:t>
      </w:r>
    </w:p>
    <w:p w14:paraId="3FB2C0C3" w14:textId="77777777" w:rsidR="00DC1BF0" w:rsidRPr="00980760"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kern w:val="22"/>
          <w:szCs w:val="22"/>
        </w:rPr>
      </w:pPr>
      <w:r w:rsidRPr="00980760">
        <w:rPr>
          <w:i/>
          <w:kern w:val="22"/>
          <w:szCs w:val="22"/>
        </w:rPr>
        <w:t>Notes</w:t>
      </w:r>
      <w:r w:rsidRPr="00980760">
        <w:rPr>
          <w:kern w:val="22"/>
          <w:szCs w:val="22"/>
        </w:rPr>
        <w:t xml:space="preserve"> the availability of numerous guidance documents and other resources to support the process of risk assessment, but </w:t>
      </w:r>
      <w:r w:rsidRPr="00980760">
        <w:rPr>
          <w:i/>
          <w:kern w:val="22"/>
          <w:szCs w:val="22"/>
        </w:rPr>
        <w:t>recognizes</w:t>
      </w:r>
      <w:r w:rsidRPr="00980760">
        <w:rPr>
          <w:kern w:val="22"/>
          <w:szCs w:val="22"/>
        </w:rPr>
        <w:t xml:space="preserve"> the gaps and needs identified by some Parties;</w:t>
      </w:r>
    </w:p>
    <w:p w14:paraId="4799D24E" w14:textId="77777777" w:rsidR="00DC1BF0" w:rsidRPr="00980760"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i/>
          <w:kern w:val="22"/>
          <w:szCs w:val="22"/>
        </w:rPr>
      </w:pPr>
      <w:r w:rsidRPr="00980760">
        <w:rPr>
          <w:i/>
          <w:kern w:val="22"/>
          <w:szCs w:val="22"/>
        </w:rPr>
        <w:t xml:space="preserve">Recognizes </w:t>
      </w:r>
      <w:r w:rsidRPr="00980760">
        <w:rPr>
          <w:iCs/>
          <w:kern w:val="22"/>
          <w:szCs w:val="22"/>
        </w:rPr>
        <w:t xml:space="preserve">the divergence of views among Parties on </w:t>
      </w:r>
      <w:proofErr w:type="gramStart"/>
      <w:r w:rsidRPr="00980760">
        <w:rPr>
          <w:iCs/>
          <w:kern w:val="22"/>
          <w:szCs w:val="22"/>
        </w:rPr>
        <w:t>whether or not</w:t>
      </w:r>
      <w:proofErr w:type="gramEnd"/>
      <w:r w:rsidRPr="00980760">
        <w:rPr>
          <w:iCs/>
          <w:kern w:val="22"/>
          <w:szCs w:val="22"/>
        </w:rPr>
        <w:t xml:space="preserve"> additional guidance </w:t>
      </w:r>
      <w:r w:rsidRPr="00980760">
        <w:rPr>
          <w:kern w:val="22"/>
          <w:szCs w:val="22"/>
        </w:rPr>
        <w:t>on specific topics of risk assessment is needed;</w:t>
      </w:r>
    </w:p>
    <w:p w14:paraId="7325CF87" w14:textId="77777777" w:rsidR="00DC1BF0" w:rsidRPr="00D83584"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kern w:val="22"/>
          <w:szCs w:val="22"/>
        </w:rPr>
      </w:pPr>
      <w:r w:rsidRPr="00D83584">
        <w:rPr>
          <w:i/>
          <w:kern w:val="22"/>
          <w:szCs w:val="22"/>
        </w:rPr>
        <w:t xml:space="preserve">Also recognizes </w:t>
      </w:r>
      <w:r w:rsidRPr="00D83584">
        <w:rPr>
          <w:kern w:val="22"/>
          <w:szCs w:val="22"/>
        </w:rPr>
        <w:t>that, as there could be potential adverse effects arising from organisms containing engineered gene drives, before these organisms are considered for release into the environment, research and analysis are needed, and specific guidance may be useful, to support case-by-case risk assessment;</w:t>
      </w:r>
    </w:p>
    <w:p w14:paraId="0C975C0B" w14:textId="77777777" w:rsidR="00DC1BF0" w:rsidRPr="00980760"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kern w:val="22"/>
          <w:szCs w:val="22"/>
        </w:rPr>
      </w:pPr>
      <w:r w:rsidRPr="00980760">
        <w:rPr>
          <w:i/>
          <w:kern w:val="22"/>
          <w:szCs w:val="22"/>
        </w:rPr>
        <w:t>Notes</w:t>
      </w:r>
      <w:r w:rsidRPr="00980760">
        <w:rPr>
          <w:kern w:val="22"/>
          <w:szCs w:val="22"/>
        </w:rPr>
        <w:t xml:space="preserve"> the conclusions of the Ad Hoc Technical Expert Group on Synthetic Biology that, given the current uncertainties regarding engineered gene drives, the free, prior and informed consent of indigenous peoples and local communities might be warranted when considering the possible release of organisms containing engineered gene drives that may impact their traditional knowledge, innovation, practices, livelihood and use of land and water;</w:t>
      </w:r>
    </w:p>
    <w:p w14:paraId="25B2B7FD" w14:textId="18726F7C" w:rsidR="00DC1BF0" w:rsidRPr="00980760"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kern w:val="22"/>
          <w:szCs w:val="22"/>
        </w:rPr>
      </w:pPr>
      <w:r w:rsidRPr="00980760">
        <w:rPr>
          <w:i/>
          <w:kern w:val="22"/>
          <w:szCs w:val="22"/>
        </w:rPr>
        <w:t>Calls for</w:t>
      </w:r>
      <w:r w:rsidRPr="00980760">
        <w:rPr>
          <w:kern w:val="22"/>
          <w:szCs w:val="22"/>
        </w:rPr>
        <w:t xml:space="preserve"> broad international cooperation, knowledge sharing and capacity-building to support, inter alia, Parties in assessing the potential adverse effects on the conservation and sustainable use of biodiversity from living modified fish and other living modified organisms produced through new developments </w:t>
      </w:r>
      <w:r w:rsidR="003343EC" w:rsidRPr="00980760">
        <w:rPr>
          <w:kern w:val="22"/>
          <w:szCs w:val="22"/>
        </w:rPr>
        <w:t xml:space="preserve">in </w:t>
      </w:r>
      <w:r w:rsidRPr="00980760">
        <w:rPr>
          <w:kern w:val="22"/>
          <w:szCs w:val="22"/>
        </w:rPr>
        <w:t xml:space="preserve">modern biotechnology, including </w:t>
      </w:r>
      <w:r w:rsidR="00B03E58" w:rsidRPr="00980760">
        <w:rPr>
          <w:kern w:val="22"/>
          <w:szCs w:val="22"/>
        </w:rPr>
        <w:t xml:space="preserve">living modified organisms </w:t>
      </w:r>
      <w:r w:rsidRPr="00980760">
        <w:rPr>
          <w:kern w:val="22"/>
          <w:szCs w:val="22"/>
        </w:rPr>
        <w:t xml:space="preserve">developed through genome editing and </w:t>
      </w:r>
      <w:r w:rsidR="00B03E58" w:rsidRPr="00980760">
        <w:rPr>
          <w:kern w:val="22"/>
          <w:szCs w:val="22"/>
        </w:rPr>
        <w:t xml:space="preserve">living modified organisms </w:t>
      </w:r>
      <w:r w:rsidRPr="00980760">
        <w:rPr>
          <w:kern w:val="22"/>
          <w:szCs w:val="22"/>
        </w:rPr>
        <w:t>containing engineered gene drives, taking into account risks to human health, the value of biodiversity to indigenous peoples and local communities, and relevant experiences of individual countries in performing risk assessment of such organisms in accordance with annex III of the Cartagena Protocol;</w:t>
      </w:r>
    </w:p>
    <w:p w14:paraId="54491BE8" w14:textId="77777777" w:rsidR="00DC1BF0" w:rsidRPr="00980760"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kern w:val="22"/>
          <w:szCs w:val="22"/>
        </w:rPr>
      </w:pPr>
      <w:r w:rsidRPr="00980760">
        <w:rPr>
          <w:i/>
          <w:kern w:val="22"/>
          <w:szCs w:val="22"/>
        </w:rPr>
        <w:lastRenderedPageBreak/>
        <w:t>Decides</w:t>
      </w:r>
      <w:r w:rsidRPr="00980760">
        <w:rPr>
          <w:iCs/>
          <w:kern w:val="22"/>
          <w:szCs w:val="22"/>
        </w:rPr>
        <w:t xml:space="preserve"> to establish </w:t>
      </w:r>
      <w:r w:rsidRPr="00980760">
        <w:rPr>
          <w:kern w:val="22"/>
          <w:szCs w:val="22"/>
        </w:rPr>
        <w:t xml:space="preserve">a process for the identification and prioritization of specific issues regarding risk assessment of living modified organisms for consideration by the Conference of the Parties serving as the meeting of the Parties to the Cartagena Protocol with a view to developing further guidance on risk assessment on the specific issues identified, </w:t>
      </w:r>
      <w:proofErr w:type="gramStart"/>
      <w:r w:rsidRPr="00980760">
        <w:rPr>
          <w:kern w:val="22"/>
          <w:szCs w:val="22"/>
        </w:rPr>
        <w:t>taking into account</w:t>
      </w:r>
      <w:proofErr w:type="gramEnd"/>
      <w:r w:rsidRPr="00980760">
        <w:rPr>
          <w:kern w:val="22"/>
          <w:szCs w:val="22"/>
        </w:rPr>
        <w:t xml:space="preserve"> annex I;</w:t>
      </w:r>
    </w:p>
    <w:p w14:paraId="13C07990" w14:textId="0ADFBA21" w:rsidR="00DC1BF0" w:rsidRPr="00980760"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kern w:val="22"/>
          <w:szCs w:val="22"/>
        </w:rPr>
      </w:pPr>
      <w:r w:rsidRPr="00980760">
        <w:rPr>
          <w:i/>
          <w:kern w:val="22"/>
          <w:szCs w:val="22"/>
        </w:rPr>
        <w:t>Also decides</w:t>
      </w:r>
      <w:r w:rsidRPr="00980760">
        <w:rPr>
          <w:iCs/>
          <w:kern w:val="22"/>
          <w:szCs w:val="22"/>
        </w:rPr>
        <w:t xml:space="preserve"> </w:t>
      </w:r>
      <w:r w:rsidRPr="00980760">
        <w:rPr>
          <w:kern w:val="22"/>
          <w:szCs w:val="22"/>
        </w:rPr>
        <w:t>to consider, at its tenth meeting, whether additional guidance materials on risk assessment are needed for (a) living modified organisms containing engineered gene drives, and (b) living modified fish;</w:t>
      </w:r>
    </w:p>
    <w:p w14:paraId="5A043A77" w14:textId="4E13E557" w:rsidR="00DC1BF0" w:rsidRPr="00980760"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kern w:val="22"/>
          <w:szCs w:val="22"/>
        </w:rPr>
      </w:pPr>
      <w:r w:rsidRPr="00980760">
        <w:rPr>
          <w:i/>
          <w:kern w:val="22"/>
          <w:szCs w:val="22"/>
        </w:rPr>
        <w:t>Further decides</w:t>
      </w:r>
      <w:r w:rsidRPr="00980760">
        <w:rPr>
          <w:iCs/>
          <w:kern w:val="22"/>
          <w:szCs w:val="22"/>
        </w:rPr>
        <w:t xml:space="preserve"> to establish </w:t>
      </w:r>
      <w:r w:rsidRPr="00980760">
        <w:rPr>
          <w:kern w:val="22"/>
          <w:szCs w:val="22"/>
        </w:rPr>
        <w:t xml:space="preserve">an </w:t>
      </w:r>
      <w:r w:rsidR="00A55A76" w:rsidRPr="00980760">
        <w:rPr>
          <w:kern w:val="22"/>
          <w:szCs w:val="22"/>
        </w:rPr>
        <w:t>A</w:t>
      </w:r>
      <w:r w:rsidRPr="00980760">
        <w:rPr>
          <w:kern w:val="22"/>
          <w:szCs w:val="22"/>
        </w:rPr>
        <w:t xml:space="preserve">d </w:t>
      </w:r>
      <w:r w:rsidR="00733288" w:rsidRPr="00980760">
        <w:rPr>
          <w:kern w:val="22"/>
          <w:szCs w:val="22"/>
        </w:rPr>
        <w:t>H</w:t>
      </w:r>
      <w:r w:rsidRPr="00980760">
        <w:rPr>
          <w:kern w:val="22"/>
          <w:szCs w:val="22"/>
        </w:rPr>
        <w:t xml:space="preserve">oc </w:t>
      </w:r>
      <w:r w:rsidR="002471B6" w:rsidRPr="00980760">
        <w:rPr>
          <w:kern w:val="22"/>
          <w:szCs w:val="22"/>
        </w:rPr>
        <w:t>T</w:t>
      </w:r>
      <w:r w:rsidRPr="00980760">
        <w:rPr>
          <w:kern w:val="22"/>
          <w:szCs w:val="22"/>
        </w:rPr>
        <w:t xml:space="preserve">echnical </w:t>
      </w:r>
      <w:r w:rsidR="002471B6" w:rsidRPr="00980760">
        <w:rPr>
          <w:kern w:val="22"/>
          <w:szCs w:val="22"/>
        </w:rPr>
        <w:t>E</w:t>
      </w:r>
      <w:r w:rsidRPr="00980760">
        <w:rPr>
          <w:kern w:val="22"/>
          <w:szCs w:val="22"/>
        </w:rPr>
        <w:t xml:space="preserve">xpert </w:t>
      </w:r>
      <w:r w:rsidR="002471B6" w:rsidRPr="00980760">
        <w:rPr>
          <w:kern w:val="22"/>
          <w:szCs w:val="22"/>
        </w:rPr>
        <w:t>G</w:t>
      </w:r>
      <w:r w:rsidRPr="00980760">
        <w:rPr>
          <w:kern w:val="22"/>
          <w:szCs w:val="22"/>
        </w:rPr>
        <w:t xml:space="preserve">roup on </w:t>
      </w:r>
      <w:r w:rsidR="002471B6" w:rsidRPr="00980760">
        <w:rPr>
          <w:kern w:val="22"/>
          <w:szCs w:val="22"/>
        </w:rPr>
        <w:t>R</w:t>
      </w:r>
      <w:r w:rsidRPr="00980760">
        <w:rPr>
          <w:kern w:val="22"/>
          <w:szCs w:val="22"/>
        </w:rPr>
        <w:t xml:space="preserve">isk </w:t>
      </w:r>
      <w:r w:rsidR="002471B6" w:rsidRPr="00980760">
        <w:rPr>
          <w:kern w:val="22"/>
          <w:szCs w:val="22"/>
        </w:rPr>
        <w:t>A</w:t>
      </w:r>
      <w:r w:rsidRPr="00980760">
        <w:rPr>
          <w:kern w:val="22"/>
          <w:szCs w:val="22"/>
        </w:rPr>
        <w:t xml:space="preserve">ssessment, composed of experts selected in accordance with the consolidated modus operandi of </w:t>
      </w:r>
      <w:r w:rsidR="001F7D2F" w:rsidRPr="00980760">
        <w:rPr>
          <w:kern w:val="22"/>
          <w:szCs w:val="22"/>
        </w:rPr>
        <w:t xml:space="preserve">the </w:t>
      </w:r>
      <w:r w:rsidRPr="00980760">
        <w:rPr>
          <w:kern w:val="22"/>
          <w:szCs w:val="22"/>
        </w:rPr>
        <w:t>Subsidiary Body on Scientific, Technical and Technological Advice,</w:t>
      </w:r>
      <w:r w:rsidRPr="00980760">
        <w:rPr>
          <w:rStyle w:val="FootnoteReference"/>
          <w:rFonts w:eastAsiaTheme="majorEastAsia"/>
          <w:kern w:val="22"/>
          <w:szCs w:val="22"/>
        </w:rPr>
        <w:footnoteReference w:id="1"/>
      </w:r>
      <w:r w:rsidRPr="00980760">
        <w:rPr>
          <w:kern w:val="22"/>
          <w:szCs w:val="22"/>
        </w:rPr>
        <w:t xml:space="preserve"> in accordance with the terms of reference </w:t>
      </w:r>
      <w:r w:rsidR="001F7D2F" w:rsidRPr="00980760">
        <w:rPr>
          <w:kern w:val="22"/>
          <w:szCs w:val="22"/>
        </w:rPr>
        <w:t xml:space="preserve">contained </w:t>
      </w:r>
      <w:r w:rsidRPr="00980760">
        <w:rPr>
          <w:kern w:val="22"/>
          <w:szCs w:val="22"/>
        </w:rPr>
        <w:t>in annex II;</w:t>
      </w:r>
    </w:p>
    <w:p w14:paraId="6F43C710" w14:textId="7F5249C1" w:rsidR="00DC1BF0" w:rsidRPr="00980760"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kern w:val="22"/>
          <w:szCs w:val="22"/>
        </w:rPr>
      </w:pPr>
      <w:r w:rsidRPr="00980760">
        <w:rPr>
          <w:i/>
          <w:kern w:val="22"/>
          <w:szCs w:val="22"/>
        </w:rPr>
        <w:t>Decides</w:t>
      </w:r>
      <w:r w:rsidRPr="00980760">
        <w:rPr>
          <w:iCs/>
          <w:kern w:val="22"/>
          <w:szCs w:val="22"/>
        </w:rPr>
        <w:t xml:space="preserve"> to extend </w:t>
      </w:r>
      <w:r w:rsidRPr="00980760">
        <w:rPr>
          <w:kern w:val="22"/>
          <w:szCs w:val="22"/>
        </w:rPr>
        <w:t xml:space="preserve">the online forum on risk assessment and risk management </w:t>
      </w:r>
      <w:proofErr w:type="gramStart"/>
      <w:r w:rsidR="00D63261" w:rsidRPr="00980760">
        <w:rPr>
          <w:kern w:val="22"/>
          <w:szCs w:val="22"/>
        </w:rPr>
        <w:t xml:space="preserve">in order </w:t>
      </w:r>
      <w:r w:rsidRPr="00980760">
        <w:rPr>
          <w:kern w:val="22"/>
          <w:szCs w:val="22"/>
        </w:rPr>
        <w:t>to</w:t>
      </w:r>
      <w:proofErr w:type="gramEnd"/>
      <w:r w:rsidRPr="00980760">
        <w:rPr>
          <w:kern w:val="22"/>
          <w:szCs w:val="22"/>
        </w:rPr>
        <w:t xml:space="preserve"> assist the </w:t>
      </w:r>
      <w:r w:rsidR="00D63261" w:rsidRPr="00980760">
        <w:rPr>
          <w:kern w:val="22"/>
          <w:szCs w:val="22"/>
        </w:rPr>
        <w:t>A</w:t>
      </w:r>
      <w:r w:rsidRPr="00980760">
        <w:rPr>
          <w:kern w:val="22"/>
          <w:szCs w:val="22"/>
        </w:rPr>
        <w:t xml:space="preserve">d </w:t>
      </w:r>
      <w:r w:rsidR="00733288" w:rsidRPr="00980760">
        <w:rPr>
          <w:kern w:val="22"/>
          <w:szCs w:val="22"/>
        </w:rPr>
        <w:t>H</w:t>
      </w:r>
      <w:r w:rsidRPr="00980760">
        <w:rPr>
          <w:kern w:val="22"/>
          <w:szCs w:val="22"/>
        </w:rPr>
        <w:t xml:space="preserve">oc </w:t>
      </w:r>
      <w:r w:rsidR="00D63261" w:rsidRPr="00980760">
        <w:rPr>
          <w:kern w:val="22"/>
          <w:szCs w:val="22"/>
        </w:rPr>
        <w:t>T</w:t>
      </w:r>
      <w:r w:rsidRPr="00980760">
        <w:rPr>
          <w:kern w:val="22"/>
          <w:szCs w:val="22"/>
        </w:rPr>
        <w:t xml:space="preserve">echnical </w:t>
      </w:r>
      <w:r w:rsidR="00D63261" w:rsidRPr="00980760">
        <w:rPr>
          <w:kern w:val="22"/>
          <w:szCs w:val="22"/>
        </w:rPr>
        <w:t>E</w:t>
      </w:r>
      <w:r w:rsidRPr="00980760">
        <w:rPr>
          <w:kern w:val="22"/>
          <w:szCs w:val="22"/>
        </w:rPr>
        <w:t xml:space="preserve">xpert </w:t>
      </w:r>
      <w:r w:rsidR="00D63261" w:rsidRPr="00980760">
        <w:rPr>
          <w:kern w:val="22"/>
          <w:szCs w:val="22"/>
        </w:rPr>
        <w:t>G</w:t>
      </w:r>
      <w:r w:rsidRPr="00980760">
        <w:rPr>
          <w:kern w:val="22"/>
          <w:szCs w:val="22"/>
        </w:rPr>
        <w:t xml:space="preserve">roup on </w:t>
      </w:r>
      <w:r w:rsidR="00D63261" w:rsidRPr="00980760">
        <w:rPr>
          <w:kern w:val="22"/>
          <w:szCs w:val="22"/>
        </w:rPr>
        <w:t>R</w:t>
      </w:r>
      <w:r w:rsidRPr="00980760">
        <w:rPr>
          <w:kern w:val="22"/>
          <w:szCs w:val="22"/>
        </w:rPr>
        <w:t xml:space="preserve">isk </w:t>
      </w:r>
      <w:r w:rsidR="00D63261" w:rsidRPr="00980760">
        <w:rPr>
          <w:kern w:val="22"/>
          <w:szCs w:val="22"/>
        </w:rPr>
        <w:t>A</w:t>
      </w:r>
      <w:r w:rsidRPr="00980760">
        <w:rPr>
          <w:kern w:val="22"/>
          <w:szCs w:val="22"/>
        </w:rPr>
        <w:t>ssessment;</w:t>
      </w:r>
    </w:p>
    <w:p w14:paraId="163896DE" w14:textId="71806663" w:rsidR="00DC1BF0" w:rsidRPr="00980760"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kern w:val="22"/>
          <w:szCs w:val="22"/>
        </w:rPr>
      </w:pPr>
      <w:r w:rsidRPr="00980760">
        <w:rPr>
          <w:i/>
          <w:kern w:val="22"/>
          <w:szCs w:val="22"/>
        </w:rPr>
        <w:t xml:space="preserve">Invites </w:t>
      </w:r>
      <w:r w:rsidRPr="00980760">
        <w:rPr>
          <w:kern w:val="22"/>
          <w:szCs w:val="22"/>
        </w:rPr>
        <w:t xml:space="preserve">Parties, other Governments, indigenous peoples and local communities, and relevant organizations to submit to the Executive Secretary information relevant to the work of the online forum and </w:t>
      </w:r>
      <w:r w:rsidR="00733288" w:rsidRPr="00980760">
        <w:rPr>
          <w:kern w:val="22"/>
          <w:szCs w:val="22"/>
        </w:rPr>
        <w:t xml:space="preserve">the </w:t>
      </w:r>
      <w:r w:rsidRPr="00980760">
        <w:rPr>
          <w:kern w:val="22"/>
          <w:szCs w:val="22"/>
        </w:rPr>
        <w:t>Ad Hoc Technical Expert Group;</w:t>
      </w:r>
    </w:p>
    <w:p w14:paraId="1400856A" w14:textId="77777777" w:rsidR="00DC1BF0" w:rsidRPr="00980760" w:rsidRDefault="00DC1BF0" w:rsidP="00D83584">
      <w:pPr>
        <w:pStyle w:val="Para1"/>
        <w:numPr>
          <w:ilvl w:val="0"/>
          <w:numId w:val="19"/>
        </w:numPr>
        <w:suppressLineNumbers/>
        <w:suppressAutoHyphens/>
        <w:kinsoku w:val="0"/>
        <w:overflowPunct w:val="0"/>
        <w:autoSpaceDE w:val="0"/>
        <w:autoSpaceDN w:val="0"/>
        <w:adjustRightInd w:val="0"/>
        <w:snapToGrid w:val="0"/>
        <w:ind w:left="0" w:firstLine="720"/>
        <w:rPr>
          <w:kern w:val="22"/>
          <w:szCs w:val="22"/>
        </w:rPr>
      </w:pPr>
      <w:r w:rsidRPr="00980760">
        <w:rPr>
          <w:i/>
          <w:kern w:val="22"/>
          <w:szCs w:val="22"/>
        </w:rPr>
        <w:t>Requests</w:t>
      </w:r>
      <w:r w:rsidRPr="00980760">
        <w:rPr>
          <w:kern w:val="22"/>
          <w:szCs w:val="22"/>
        </w:rPr>
        <w:t xml:space="preserve"> the Executive Secretary, subject to the availability of resources:</w:t>
      </w:r>
    </w:p>
    <w:p w14:paraId="730AE0E9" w14:textId="3B917BC7" w:rsidR="00DC1BF0" w:rsidRPr="00980760" w:rsidRDefault="00DC1BF0">
      <w:pPr>
        <w:pStyle w:val="ListParagraph"/>
        <w:numPr>
          <w:ilvl w:val="0"/>
          <w:numId w:val="20"/>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rPr>
          <w:kern w:val="22"/>
          <w:szCs w:val="22"/>
        </w:rPr>
      </w:pPr>
      <w:r w:rsidRPr="00980760">
        <w:rPr>
          <w:kern w:val="22"/>
          <w:szCs w:val="22"/>
        </w:rPr>
        <w:t>To commission a study informing the application of annex I to (</w:t>
      </w:r>
      <w:proofErr w:type="spellStart"/>
      <w:r w:rsidRPr="00980760">
        <w:rPr>
          <w:kern w:val="22"/>
          <w:szCs w:val="22"/>
        </w:rPr>
        <w:t>i</w:t>
      </w:r>
      <w:proofErr w:type="spellEnd"/>
      <w:r w:rsidRPr="00980760">
        <w:rPr>
          <w:kern w:val="22"/>
          <w:szCs w:val="22"/>
        </w:rPr>
        <w:t>) living modified organisms containing engineered gene drives and (ii) living modified fish, to facilitate the process referred to in paragraph </w:t>
      </w:r>
      <w:r w:rsidR="00D52458" w:rsidRPr="00980760">
        <w:rPr>
          <w:kern w:val="22"/>
          <w:szCs w:val="22"/>
        </w:rPr>
        <w:t xml:space="preserve">6 </w:t>
      </w:r>
      <w:r w:rsidRPr="00980760">
        <w:rPr>
          <w:kern w:val="22"/>
          <w:szCs w:val="22"/>
        </w:rPr>
        <w:t>above, and present it to the open-ended online forum and Ad Hoc Technical Expert Group on Risk Assessment and Risk Management;</w:t>
      </w:r>
    </w:p>
    <w:p w14:paraId="03634DB3" w14:textId="77777777" w:rsidR="00DC1BF0" w:rsidRPr="00980760" w:rsidRDefault="00DC1BF0">
      <w:pPr>
        <w:pStyle w:val="ListParagraph"/>
        <w:numPr>
          <w:ilvl w:val="0"/>
          <w:numId w:val="20"/>
        </w:numPr>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980760">
        <w:rPr>
          <w:kern w:val="22"/>
          <w:szCs w:val="22"/>
        </w:rPr>
        <w:t xml:space="preserve">To </w:t>
      </w:r>
      <w:r w:rsidRPr="00980760">
        <w:rPr>
          <w:color w:val="000000"/>
          <w:kern w:val="22"/>
          <w:szCs w:val="22"/>
          <w:lang w:eastAsia="x-none"/>
        </w:rPr>
        <w:t>collect</w:t>
      </w:r>
      <w:r w:rsidRPr="00980760">
        <w:rPr>
          <w:kern w:val="22"/>
          <w:szCs w:val="22"/>
        </w:rPr>
        <w:t xml:space="preserve"> and synthesize relevant information to facilitate the work of the online forum and the ad hoc technical expert group;</w:t>
      </w:r>
    </w:p>
    <w:p w14:paraId="13A873AB" w14:textId="77777777" w:rsidR="00DC1BF0" w:rsidRPr="00980760" w:rsidRDefault="00DC1BF0">
      <w:pPr>
        <w:pStyle w:val="ListParagraph"/>
        <w:numPr>
          <w:ilvl w:val="0"/>
          <w:numId w:val="20"/>
        </w:numPr>
        <w:suppressLineNumbers/>
        <w:suppressAutoHyphens/>
        <w:kinsoku w:val="0"/>
        <w:overflowPunct w:val="0"/>
        <w:autoSpaceDE w:val="0"/>
        <w:autoSpaceDN w:val="0"/>
        <w:adjustRightInd w:val="0"/>
        <w:snapToGrid w:val="0"/>
        <w:spacing w:before="120" w:after="120"/>
        <w:ind w:left="0" w:firstLine="720"/>
        <w:contextualSpacing w:val="0"/>
        <w:rPr>
          <w:color w:val="000000"/>
          <w:kern w:val="22"/>
          <w:szCs w:val="22"/>
          <w:lang w:eastAsia="x-none"/>
        </w:rPr>
      </w:pPr>
      <w:r w:rsidRPr="00980760">
        <w:rPr>
          <w:color w:val="000000"/>
          <w:kern w:val="22"/>
          <w:szCs w:val="22"/>
          <w:lang w:eastAsia="x-none"/>
        </w:rPr>
        <w:t>To assist the lead moderator of the online forum in convening discussions and reporting on the results of the discussions;</w:t>
      </w:r>
    </w:p>
    <w:p w14:paraId="406A1DF8" w14:textId="730A9064" w:rsidR="00DC1BF0" w:rsidRPr="00980760" w:rsidRDefault="00DC1BF0">
      <w:pPr>
        <w:pStyle w:val="ListParagraph"/>
        <w:numPr>
          <w:ilvl w:val="0"/>
          <w:numId w:val="20"/>
        </w:numPr>
        <w:suppressLineNumbers/>
        <w:suppressAutoHyphens/>
        <w:kinsoku w:val="0"/>
        <w:overflowPunct w:val="0"/>
        <w:autoSpaceDE w:val="0"/>
        <w:autoSpaceDN w:val="0"/>
        <w:adjustRightInd w:val="0"/>
        <w:snapToGrid w:val="0"/>
        <w:spacing w:before="120" w:after="120"/>
        <w:ind w:left="0" w:firstLine="720"/>
        <w:contextualSpacing w:val="0"/>
        <w:rPr>
          <w:kern w:val="22"/>
          <w:szCs w:val="22"/>
        </w:rPr>
      </w:pPr>
      <w:r w:rsidRPr="00980760">
        <w:rPr>
          <w:kern w:val="22"/>
          <w:szCs w:val="22"/>
        </w:rPr>
        <w:t xml:space="preserve">To </w:t>
      </w:r>
      <w:r w:rsidRPr="00980760">
        <w:rPr>
          <w:color w:val="000000"/>
          <w:kern w:val="22"/>
          <w:szCs w:val="22"/>
          <w:lang w:eastAsia="x-none"/>
        </w:rPr>
        <w:t>convene</w:t>
      </w:r>
      <w:r w:rsidRPr="00980760">
        <w:rPr>
          <w:kern w:val="22"/>
          <w:szCs w:val="22"/>
        </w:rPr>
        <w:t xml:space="preserve"> a face-to-face meeting of the </w:t>
      </w:r>
      <w:r w:rsidR="00771095" w:rsidRPr="00980760">
        <w:rPr>
          <w:kern w:val="22"/>
          <w:szCs w:val="22"/>
        </w:rPr>
        <w:t>A</w:t>
      </w:r>
      <w:r w:rsidRPr="00980760">
        <w:rPr>
          <w:kern w:val="22"/>
          <w:szCs w:val="22"/>
        </w:rPr>
        <w:t xml:space="preserve">d </w:t>
      </w:r>
      <w:r w:rsidR="00771095" w:rsidRPr="00980760">
        <w:rPr>
          <w:kern w:val="22"/>
          <w:szCs w:val="22"/>
        </w:rPr>
        <w:t>H</w:t>
      </w:r>
      <w:r w:rsidRPr="00980760">
        <w:rPr>
          <w:kern w:val="22"/>
          <w:szCs w:val="22"/>
        </w:rPr>
        <w:t xml:space="preserve">oc </w:t>
      </w:r>
      <w:r w:rsidR="00771095" w:rsidRPr="00980760">
        <w:rPr>
          <w:kern w:val="22"/>
          <w:szCs w:val="22"/>
        </w:rPr>
        <w:t>T</w:t>
      </w:r>
      <w:r w:rsidRPr="00980760">
        <w:rPr>
          <w:kern w:val="22"/>
          <w:szCs w:val="22"/>
        </w:rPr>
        <w:t xml:space="preserve">echnical </w:t>
      </w:r>
      <w:r w:rsidR="00771095" w:rsidRPr="00980760">
        <w:rPr>
          <w:kern w:val="22"/>
          <w:szCs w:val="22"/>
        </w:rPr>
        <w:t>E</w:t>
      </w:r>
      <w:r w:rsidRPr="00980760">
        <w:rPr>
          <w:kern w:val="22"/>
          <w:szCs w:val="22"/>
        </w:rPr>
        <w:t xml:space="preserve">xpert </w:t>
      </w:r>
      <w:r w:rsidR="00771095" w:rsidRPr="00980760">
        <w:rPr>
          <w:kern w:val="22"/>
          <w:szCs w:val="22"/>
        </w:rPr>
        <w:t>G</w:t>
      </w:r>
      <w:r w:rsidRPr="00980760">
        <w:rPr>
          <w:kern w:val="22"/>
          <w:szCs w:val="22"/>
        </w:rPr>
        <w:t xml:space="preserve">roup on </w:t>
      </w:r>
      <w:r w:rsidR="00771095" w:rsidRPr="00980760">
        <w:rPr>
          <w:kern w:val="22"/>
          <w:szCs w:val="22"/>
        </w:rPr>
        <w:t>R</w:t>
      </w:r>
      <w:r w:rsidRPr="00980760">
        <w:rPr>
          <w:kern w:val="22"/>
          <w:szCs w:val="22"/>
        </w:rPr>
        <w:t xml:space="preserve">isk </w:t>
      </w:r>
      <w:r w:rsidR="00771095" w:rsidRPr="00980760">
        <w:rPr>
          <w:kern w:val="22"/>
          <w:szCs w:val="22"/>
        </w:rPr>
        <w:t>A</w:t>
      </w:r>
      <w:r w:rsidRPr="00980760">
        <w:rPr>
          <w:kern w:val="22"/>
          <w:szCs w:val="22"/>
        </w:rPr>
        <w:t>ssessment;</w:t>
      </w:r>
    </w:p>
    <w:p w14:paraId="420C8B6F" w14:textId="281B9416" w:rsidR="00DC1BF0" w:rsidRPr="00980760" w:rsidRDefault="00DC1BF0">
      <w:pPr>
        <w:pStyle w:val="ListParagraph"/>
        <w:numPr>
          <w:ilvl w:val="0"/>
          <w:numId w:val="19"/>
        </w:numPr>
        <w:suppressLineNumbers/>
        <w:suppressAutoHyphens/>
        <w:kinsoku w:val="0"/>
        <w:overflowPunct w:val="0"/>
        <w:autoSpaceDE w:val="0"/>
        <w:autoSpaceDN w:val="0"/>
        <w:adjustRightInd w:val="0"/>
        <w:snapToGrid w:val="0"/>
        <w:spacing w:before="120" w:after="120"/>
        <w:ind w:left="0" w:firstLine="720"/>
        <w:contextualSpacing w:val="0"/>
        <w:rPr>
          <w:i/>
          <w:kern w:val="22"/>
          <w:szCs w:val="22"/>
        </w:rPr>
      </w:pPr>
      <w:r w:rsidRPr="00980760">
        <w:rPr>
          <w:i/>
          <w:kern w:val="22"/>
          <w:szCs w:val="22"/>
        </w:rPr>
        <w:t xml:space="preserve">Requests </w:t>
      </w:r>
      <w:r w:rsidRPr="00980760">
        <w:rPr>
          <w:kern w:val="22"/>
          <w:szCs w:val="22"/>
        </w:rPr>
        <w:t xml:space="preserve">the </w:t>
      </w:r>
      <w:r w:rsidRPr="00980760">
        <w:rPr>
          <w:rStyle w:val="st"/>
          <w:kern w:val="22"/>
          <w:szCs w:val="22"/>
        </w:rPr>
        <w:t>Subsidiary Body on Scientific, Technical and Technological Advice</w:t>
      </w:r>
      <w:r w:rsidRPr="00980760">
        <w:rPr>
          <w:kern w:val="22"/>
          <w:szCs w:val="22"/>
        </w:rPr>
        <w:t xml:space="preserve"> to make a recommendation as to whether additional guidance materials on risk assessment are needed for (</w:t>
      </w:r>
      <w:r w:rsidR="006D1C37" w:rsidRPr="00980760">
        <w:rPr>
          <w:kern w:val="22"/>
          <w:szCs w:val="22"/>
        </w:rPr>
        <w:t>a</w:t>
      </w:r>
      <w:r w:rsidRPr="00980760">
        <w:rPr>
          <w:kern w:val="22"/>
          <w:szCs w:val="22"/>
        </w:rPr>
        <w:t>) living modified organisms containing engineered gene drives, and (</w:t>
      </w:r>
      <w:r w:rsidR="006D1C37" w:rsidRPr="00980760">
        <w:rPr>
          <w:kern w:val="22"/>
          <w:szCs w:val="22"/>
        </w:rPr>
        <w:t>b</w:t>
      </w:r>
      <w:r w:rsidRPr="00980760">
        <w:rPr>
          <w:kern w:val="22"/>
          <w:szCs w:val="22"/>
        </w:rPr>
        <w:t>) living modified fish for consideration by the Conference of the Parties serving as the meeting of the Parties to the Cartagena Protocol at its tenth meeting.</w:t>
      </w:r>
    </w:p>
    <w:p w14:paraId="764E0114" w14:textId="77777777" w:rsidR="00DC1BF0" w:rsidRPr="00D83584" w:rsidRDefault="00DC1BF0" w:rsidP="00D83584">
      <w:pPr>
        <w:suppressLineNumbers/>
        <w:suppressAutoHyphens/>
        <w:kinsoku w:val="0"/>
        <w:overflowPunct w:val="0"/>
        <w:autoSpaceDE w:val="0"/>
        <w:autoSpaceDN w:val="0"/>
        <w:adjustRightInd w:val="0"/>
        <w:snapToGrid w:val="0"/>
        <w:jc w:val="left"/>
        <w:rPr>
          <w:kern w:val="22"/>
          <w:szCs w:val="22"/>
        </w:rPr>
      </w:pPr>
    </w:p>
    <w:p w14:paraId="298C61B7" w14:textId="77777777" w:rsidR="00DC1BF0" w:rsidRPr="00980760" w:rsidRDefault="00DC1BF0" w:rsidP="00DC1BF0">
      <w:pPr>
        <w:keepNext/>
        <w:suppressLineNumbers/>
        <w:suppressAutoHyphens/>
        <w:kinsoku w:val="0"/>
        <w:overflowPunct w:val="0"/>
        <w:autoSpaceDE w:val="0"/>
        <w:autoSpaceDN w:val="0"/>
        <w:adjustRightInd w:val="0"/>
        <w:snapToGrid w:val="0"/>
        <w:spacing w:before="120" w:after="120"/>
        <w:jc w:val="center"/>
        <w:rPr>
          <w:i/>
          <w:kern w:val="22"/>
          <w:szCs w:val="22"/>
        </w:rPr>
      </w:pPr>
      <w:r w:rsidRPr="00980760">
        <w:rPr>
          <w:i/>
          <w:kern w:val="22"/>
          <w:szCs w:val="22"/>
        </w:rPr>
        <w:t>Annex I</w:t>
      </w:r>
    </w:p>
    <w:p w14:paraId="098D704B" w14:textId="77777777" w:rsidR="00DC1BF0" w:rsidRPr="00980760" w:rsidRDefault="00DC1BF0" w:rsidP="00DC1BF0">
      <w:pPr>
        <w:keepNext/>
        <w:suppressLineNumbers/>
        <w:suppressAutoHyphens/>
        <w:kinsoku w:val="0"/>
        <w:overflowPunct w:val="0"/>
        <w:autoSpaceDE w:val="0"/>
        <w:autoSpaceDN w:val="0"/>
        <w:adjustRightInd w:val="0"/>
        <w:snapToGrid w:val="0"/>
        <w:spacing w:before="120" w:after="120"/>
        <w:jc w:val="center"/>
        <w:rPr>
          <w:b/>
          <w:kern w:val="22"/>
          <w:szCs w:val="22"/>
        </w:rPr>
      </w:pPr>
      <w:r w:rsidRPr="00980760">
        <w:rPr>
          <w:b/>
          <w:kern w:val="22"/>
          <w:szCs w:val="22"/>
        </w:rPr>
        <w:t>Identification and prioritization of specific issues of risk assessment of living modified organisms that may warrant consideration</w:t>
      </w:r>
    </w:p>
    <w:p w14:paraId="12199350" w14:textId="6C5055A7" w:rsidR="00DC1BF0" w:rsidRPr="00980760" w:rsidRDefault="00DC1BF0" w:rsidP="00DC1BF0">
      <w:pPr>
        <w:suppressLineNumbers/>
        <w:suppressAutoHyphens/>
        <w:kinsoku w:val="0"/>
        <w:overflowPunct w:val="0"/>
        <w:autoSpaceDE w:val="0"/>
        <w:autoSpaceDN w:val="0"/>
        <w:adjustRightInd w:val="0"/>
        <w:snapToGrid w:val="0"/>
        <w:spacing w:before="120" w:after="120"/>
        <w:ind w:firstLine="720"/>
        <w:rPr>
          <w:kern w:val="22"/>
          <w:szCs w:val="22"/>
        </w:rPr>
      </w:pPr>
      <w:r w:rsidRPr="00980760">
        <w:rPr>
          <w:kern w:val="22"/>
          <w:szCs w:val="22"/>
        </w:rPr>
        <w:t>The process for recommending specific issues of risk assessment for consideration by the Conference of the Parties serving as the meeting of the Parties to the Cartagena Protocol on Biosafety should include a structured analysis to evaluate whether the specific issues fulfil the following</w:t>
      </w:r>
      <w:r w:rsidR="00541A70" w:rsidRPr="00980760">
        <w:rPr>
          <w:kern w:val="22"/>
          <w:szCs w:val="22"/>
        </w:rPr>
        <w:t xml:space="preserve"> </w:t>
      </w:r>
      <w:r w:rsidR="000229D3">
        <w:rPr>
          <w:kern w:val="22"/>
          <w:szCs w:val="22"/>
        </w:rPr>
        <w:t>criteria</w:t>
      </w:r>
      <w:r w:rsidRPr="00980760">
        <w:rPr>
          <w:kern w:val="22"/>
          <w:szCs w:val="22"/>
        </w:rPr>
        <w:t>:</w:t>
      </w:r>
    </w:p>
    <w:p w14:paraId="7A352206" w14:textId="450CE8A2" w:rsidR="00DC1BF0" w:rsidRPr="00980760" w:rsidRDefault="00DC1BF0" w:rsidP="00DC1BF0">
      <w:pPr>
        <w:suppressLineNumbers/>
        <w:suppressAutoHyphens/>
        <w:kinsoku w:val="0"/>
        <w:overflowPunct w:val="0"/>
        <w:autoSpaceDE w:val="0"/>
        <w:autoSpaceDN w:val="0"/>
        <w:adjustRightInd w:val="0"/>
        <w:snapToGrid w:val="0"/>
        <w:spacing w:before="120" w:after="120"/>
        <w:ind w:firstLine="720"/>
        <w:rPr>
          <w:kern w:val="22"/>
          <w:szCs w:val="22"/>
        </w:rPr>
      </w:pPr>
      <w:r w:rsidRPr="00980760">
        <w:rPr>
          <w:kern w:val="22"/>
          <w:szCs w:val="22"/>
        </w:rPr>
        <w:t>(a)</w:t>
      </w:r>
      <w:r w:rsidRPr="00980760">
        <w:rPr>
          <w:kern w:val="22"/>
          <w:szCs w:val="22"/>
        </w:rPr>
        <w:tab/>
      </w:r>
      <w:r w:rsidR="00541A70" w:rsidRPr="00980760">
        <w:rPr>
          <w:kern w:val="22"/>
          <w:szCs w:val="22"/>
        </w:rPr>
        <w:t>They a</w:t>
      </w:r>
      <w:r w:rsidRPr="00980760">
        <w:rPr>
          <w:kern w:val="22"/>
          <w:szCs w:val="22"/>
        </w:rPr>
        <w:t xml:space="preserve">re identified by Parties as priorities, </w:t>
      </w:r>
      <w:proofErr w:type="gramStart"/>
      <w:r w:rsidRPr="00980760">
        <w:rPr>
          <w:kern w:val="22"/>
          <w:szCs w:val="22"/>
        </w:rPr>
        <w:t>taking into account</w:t>
      </w:r>
      <w:proofErr w:type="gramEnd"/>
      <w:r w:rsidRPr="00980760">
        <w:rPr>
          <w:kern w:val="22"/>
          <w:szCs w:val="22"/>
        </w:rPr>
        <w:t xml:space="preserve"> the challenges to risk assessment, particularly for developing c</w:t>
      </w:r>
      <w:bookmarkStart w:id="3" w:name="_GoBack"/>
      <w:bookmarkEnd w:id="3"/>
      <w:r w:rsidRPr="00980760">
        <w:rPr>
          <w:kern w:val="22"/>
          <w:szCs w:val="22"/>
        </w:rPr>
        <w:t>ountry Parties and countries with economies in transition;</w:t>
      </w:r>
    </w:p>
    <w:p w14:paraId="636748B2" w14:textId="1B45641F" w:rsidR="00DC1BF0" w:rsidRPr="00980760" w:rsidRDefault="00DC1BF0" w:rsidP="00DC1BF0">
      <w:pPr>
        <w:suppressLineNumbers/>
        <w:suppressAutoHyphens/>
        <w:kinsoku w:val="0"/>
        <w:overflowPunct w:val="0"/>
        <w:autoSpaceDE w:val="0"/>
        <w:autoSpaceDN w:val="0"/>
        <w:adjustRightInd w:val="0"/>
        <w:snapToGrid w:val="0"/>
        <w:spacing w:before="120" w:after="120"/>
        <w:ind w:firstLine="720"/>
        <w:rPr>
          <w:kern w:val="22"/>
          <w:szCs w:val="22"/>
        </w:rPr>
      </w:pPr>
      <w:r w:rsidRPr="00980760">
        <w:rPr>
          <w:kern w:val="22"/>
          <w:szCs w:val="22"/>
        </w:rPr>
        <w:t>(b)</w:t>
      </w:r>
      <w:r w:rsidRPr="00980760">
        <w:rPr>
          <w:kern w:val="22"/>
          <w:szCs w:val="22"/>
        </w:rPr>
        <w:tab/>
      </w:r>
      <w:r w:rsidR="00541A70" w:rsidRPr="00980760">
        <w:rPr>
          <w:kern w:val="22"/>
          <w:szCs w:val="22"/>
        </w:rPr>
        <w:t>They f</w:t>
      </w:r>
      <w:r w:rsidRPr="00980760">
        <w:rPr>
          <w:kern w:val="22"/>
          <w:szCs w:val="22"/>
        </w:rPr>
        <w:t>all within the scope and objective of the Cartagena Protocol;</w:t>
      </w:r>
    </w:p>
    <w:p w14:paraId="0C5CD312" w14:textId="501EC7DC" w:rsidR="00DC1BF0" w:rsidRPr="00980760" w:rsidRDefault="00DC1BF0" w:rsidP="00DC1BF0">
      <w:pPr>
        <w:suppressLineNumbers/>
        <w:suppressAutoHyphens/>
        <w:kinsoku w:val="0"/>
        <w:overflowPunct w:val="0"/>
        <w:autoSpaceDE w:val="0"/>
        <w:autoSpaceDN w:val="0"/>
        <w:adjustRightInd w:val="0"/>
        <w:snapToGrid w:val="0"/>
        <w:spacing w:before="120" w:after="120"/>
        <w:ind w:firstLine="720"/>
        <w:rPr>
          <w:kern w:val="22"/>
          <w:szCs w:val="22"/>
        </w:rPr>
      </w:pPr>
      <w:r w:rsidRPr="00980760">
        <w:rPr>
          <w:kern w:val="22"/>
          <w:szCs w:val="22"/>
        </w:rPr>
        <w:lastRenderedPageBreak/>
        <w:t>(c)</w:t>
      </w:r>
      <w:r w:rsidRPr="00980760">
        <w:rPr>
          <w:kern w:val="22"/>
          <w:szCs w:val="22"/>
        </w:rPr>
        <w:tab/>
      </w:r>
      <w:r w:rsidR="0070358E" w:rsidRPr="00980760">
        <w:rPr>
          <w:kern w:val="22"/>
          <w:szCs w:val="22"/>
        </w:rPr>
        <w:t>They p</w:t>
      </w:r>
      <w:r w:rsidRPr="00980760">
        <w:rPr>
          <w:kern w:val="22"/>
          <w:szCs w:val="22"/>
        </w:rPr>
        <w:t xml:space="preserve">ose challenges to existing risk assessment frameworks, guidance and methodologies, for example, </w:t>
      </w:r>
      <w:r w:rsidR="00B12FD6" w:rsidRPr="00980760">
        <w:rPr>
          <w:kern w:val="22"/>
          <w:szCs w:val="22"/>
        </w:rPr>
        <w:t xml:space="preserve">if </w:t>
      </w:r>
      <w:r w:rsidRPr="00980760">
        <w:rPr>
          <w:kern w:val="22"/>
          <w:szCs w:val="22"/>
        </w:rPr>
        <w:t>the issue at hand has been assessed with existing risk assessment frameworks but pose</w:t>
      </w:r>
      <w:r w:rsidR="00B12FD6" w:rsidRPr="00980760">
        <w:rPr>
          <w:kern w:val="22"/>
          <w:szCs w:val="22"/>
        </w:rPr>
        <w:t>s</w:t>
      </w:r>
      <w:r w:rsidRPr="00980760">
        <w:rPr>
          <w:kern w:val="22"/>
          <w:szCs w:val="22"/>
        </w:rPr>
        <w:t xml:space="preserve"> specific technical or methodological challenges that require further attention;</w:t>
      </w:r>
    </w:p>
    <w:p w14:paraId="601A1D6C" w14:textId="77777777" w:rsidR="00DC1BF0" w:rsidRPr="00980760" w:rsidRDefault="00DC1BF0" w:rsidP="00DC1BF0">
      <w:pPr>
        <w:suppressLineNumbers/>
        <w:suppressAutoHyphens/>
        <w:kinsoku w:val="0"/>
        <w:overflowPunct w:val="0"/>
        <w:autoSpaceDE w:val="0"/>
        <w:autoSpaceDN w:val="0"/>
        <w:adjustRightInd w:val="0"/>
        <w:snapToGrid w:val="0"/>
        <w:spacing w:before="120" w:after="120"/>
        <w:ind w:firstLine="720"/>
        <w:rPr>
          <w:kern w:val="22"/>
          <w:szCs w:val="22"/>
        </w:rPr>
      </w:pPr>
      <w:r w:rsidRPr="00980760">
        <w:rPr>
          <w:kern w:val="22"/>
          <w:szCs w:val="22"/>
        </w:rPr>
        <w:t>(d)</w:t>
      </w:r>
      <w:r w:rsidRPr="00980760">
        <w:rPr>
          <w:kern w:val="22"/>
          <w:szCs w:val="22"/>
        </w:rPr>
        <w:tab/>
        <w:t>The challenges in addressing the specific issue are clearly described;</w:t>
      </w:r>
    </w:p>
    <w:p w14:paraId="64E7A7CD" w14:textId="77777777" w:rsidR="00DC1BF0" w:rsidRPr="00980760" w:rsidRDefault="00DC1BF0" w:rsidP="00DC1BF0">
      <w:pPr>
        <w:suppressLineNumbers/>
        <w:suppressAutoHyphens/>
        <w:kinsoku w:val="0"/>
        <w:overflowPunct w:val="0"/>
        <w:autoSpaceDE w:val="0"/>
        <w:autoSpaceDN w:val="0"/>
        <w:adjustRightInd w:val="0"/>
        <w:snapToGrid w:val="0"/>
        <w:spacing w:before="120" w:after="120"/>
        <w:rPr>
          <w:kern w:val="22"/>
          <w:szCs w:val="22"/>
        </w:rPr>
      </w:pPr>
      <w:r w:rsidRPr="00980760">
        <w:rPr>
          <w:kern w:val="22"/>
          <w:szCs w:val="22"/>
        </w:rPr>
        <w:t>and considering, inter alia:</w:t>
      </w:r>
    </w:p>
    <w:p w14:paraId="261D4F12" w14:textId="650672B0" w:rsidR="00DC1BF0" w:rsidRPr="00980760" w:rsidRDefault="00DC1BF0" w:rsidP="00DC1BF0">
      <w:pPr>
        <w:suppressLineNumbers/>
        <w:suppressAutoHyphens/>
        <w:kinsoku w:val="0"/>
        <w:overflowPunct w:val="0"/>
        <w:autoSpaceDE w:val="0"/>
        <w:autoSpaceDN w:val="0"/>
        <w:adjustRightInd w:val="0"/>
        <w:snapToGrid w:val="0"/>
        <w:spacing w:before="120" w:after="120"/>
        <w:ind w:firstLine="720"/>
        <w:rPr>
          <w:kern w:val="22"/>
          <w:szCs w:val="22"/>
        </w:rPr>
      </w:pPr>
      <w:r w:rsidRPr="00980760">
        <w:rPr>
          <w:kern w:val="22"/>
          <w:szCs w:val="22"/>
        </w:rPr>
        <w:t>(e)</w:t>
      </w:r>
      <w:r w:rsidRPr="00980760">
        <w:rPr>
          <w:kern w:val="22"/>
          <w:szCs w:val="22"/>
        </w:rPr>
        <w:tab/>
        <w:t>The specific issues concern</w:t>
      </w:r>
      <w:r w:rsidR="00FA0F92">
        <w:rPr>
          <w:kern w:val="22"/>
          <w:szCs w:val="22"/>
        </w:rPr>
        <w:t>ing</w:t>
      </w:r>
      <w:r w:rsidRPr="00980760">
        <w:rPr>
          <w:kern w:val="22"/>
          <w:szCs w:val="22"/>
        </w:rPr>
        <w:t xml:space="preserve"> living modified organisms that:</w:t>
      </w:r>
    </w:p>
    <w:p w14:paraId="4D6F3915" w14:textId="5F918DA2" w:rsidR="00DC1BF0" w:rsidRPr="00980760" w:rsidRDefault="00DC1BF0" w:rsidP="00DC1BF0">
      <w:pPr>
        <w:suppressLineNumbers/>
        <w:suppressAutoHyphens/>
        <w:kinsoku w:val="0"/>
        <w:overflowPunct w:val="0"/>
        <w:autoSpaceDE w:val="0"/>
        <w:autoSpaceDN w:val="0"/>
        <w:adjustRightInd w:val="0"/>
        <w:snapToGrid w:val="0"/>
        <w:spacing w:before="120" w:after="120"/>
        <w:ind w:left="1980" w:hanging="540"/>
        <w:rPr>
          <w:kern w:val="22"/>
          <w:szCs w:val="22"/>
        </w:rPr>
      </w:pPr>
      <w:r w:rsidRPr="00980760">
        <w:rPr>
          <w:kern w:val="22"/>
          <w:szCs w:val="22"/>
        </w:rPr>
        <w:t>(</w:t>
      </w:r>
      <w:proofErr w:type="spellStart"/>
      <w:r w:rsidRPr="00980760">
        <w:rPr>
          <w:kern w:val="22"/>
          <w:szCs w:val="22"/>
        </w:rPr>
        <w:t>i</w:t>
      </w:r>
      <w:proofErr w:type="spellEnd"/>
      <w:r w:rsidRPr="00980760">
        <w:rPr>
          <w:kern w:val="22"/>
          <w:szCs w:val="22"/>
        </w:rPr>
        <w:t>)</w:t>
      </w:r>
      <w:r w:rsidRPr="00980760">
        <w:rPr>
          <w:kern w:val="22"/>
          <w:szCs w:val="22"/>
        </w:rPr>
        <w:tab/>
        <w:t xml:space="preserve">Have the potential to cause adverse effects on biodiversity, </w:t>
      </w:r>
      <w:proofErr w:type="gramStart"/>
      <w:r w:rsidRPr="00980760">
        <w:rPr>
          <w:kern w:val="22"/>
          <w:szCs w:val="22"/>
        </w:rPr>
        <w:t>in particular those</w:t>
      </w:r>
      <w:proofErr w:type="gramEnd"/>
      <w:r w:rsidRPr="00980760">
        <w:rPr>
          <w:kern w:val="22"/>
          <w:szCs w:val="22"/>
        </w:rPr>
        <w:t xml:space="preserve"> that are serious or irreversible, taking into account the urgent need to protect specific aspects of biodiversity, such as an endemic/rare species or a unique habitat or ecosystem, taking into account risks to human health and the value of biological diversity to indigenous peoples and local communities;</w:t>
      </w:r>
    </w:p>
    <w:p w14:paraId="3EEDC8C6" w14:textId="77777777" w:rsidR="00DC1BF0" w:rsidRPr="00980760" w:rsidRDefault="00DC1BF0" w:rsidP="00DC1BF0">
      <w:pPr>
        <w:suppressLineNumbers/>
        <w:suppressAutoHyphens/>
        <w:kinsoku w:val="0"/>
        <w:overflowPunct w:val="0"/>
        <w:autoSpaceDE w:val="0"/>
        <w:autoSpaceDN w:val="0"/>
        <w:adjustRightInd w:val="0"/>
        <w:snapToGrid w:val="0"/>
        <w:spacing w:before="120" w:after="120"/>
        <w:ind w:left="1980" w:hanging="540"/>
        <w:rPr>
          <w:kern w:val="22"/>
          <w:szCs w:val="22"/>
        </w:rPr>
      </w:pPr>
      <w:r w:rsidRPr="00980760">
        <w:rPr>
          <w:kern w:val="22"/>
          <w:szCs w:val="22"/>
        </w:rPr>
        <w:t>(ii)</w:t>
      </w:r>
      <w:r w:rsidRPr="00980760">
        <w:rPr>
          <w:kern w:val="22"/>
          <w:szCs w:val="22"/>
        </w:rPr>
        <w:tab/>
        <w:t>May be introduced into the environment either deliberately or accidentally;</w:t>
      </w:r>
    </w:p>
    <w:p w14:paraId="433C2E38" w14:textId="77777777" w:rsidR="00DC1BF0" w:rsidRPr="00980760" w:rsidRDefault="00DC1BF0" w:rsidP="00DC1BF0">
      <w:pPr>
        <w:suppressLineNumbers/>
        <w:suppressAutoHyphens/>
        <w:kinsoku w:val="0"/>
        <w:overflowPunct w:val="0"/>
        <w:autoSpaceDE w:val="0"/>
        <w:autoSpaceDN w:val="0"/>
        <w:adjustRightInd w:val="0"/>
        <w:snapToGrid w:val="0"/>
        <w:spacing w:before="120" w:after="120"/>
        <w:ind w:left="1980" w:hanging="540"/>
        <w:rPr>
          <w:kern w:val="22"/>
          <w:szCs w:val="22"/>
        </w:rPr>
      </w:pPr>
      <w:r w:rsidRPr="00980760">
        <w:rPr>
          <w:kern w:val="22"/>
          <w:szCs w:val="22"/>
        </w:rPr>
        <w:t>(iii)</w:t>
      </w:r>
      <w:r w:rsidRPr="00980760">
        <w:rPr>
          <w:kern w:val="22"/>
          <w:szCs w:val="22"/>
        </w:rPr>
        <w:tab/>
        <w:t>Have the potential to disseminate across national borders;</w:t>
      </w:r>
    </w:p>
    <w:p w14:paraId="76C5EF76" w14:textId="77777777" w:rsidR="00DC1BF0" w:rsidRPr="00980760" w:rsidRDefault="00DC1BF0" w:rsidP="00DC1BF0">
      <w:pPr>
        <w:suppressLineNumbers/>
        <w:suppressAutoHyphens/>
        <w:kinsoku w:val="0"/>
        <w:overflowPunct w:val="0"/>
        <w:autoSpaceDE w:val="0"/>
        <w:autoSpaceDN w:val="0"/>
        <w:adjustRightInd w:val="0"/>
        <w:snapToGrid w:val="0"/>
        <w:spacing w:before="120" w:after="120"/>
        <w:ind w:left="1980" w:hanging="540"/>
        <w:rPr>
          <w:kern w:val="22"/>
          <w:szCs w:val="22"/>
        </w:rPr>
      </w:pPr>
      <w:r w:rsidRPr="00980760">
        <w:rPr>
          <w:kern w:val="22"/>
          <w:szCs w:val="22"/>
        </w:rPr>
        <w:t>(iv)</w:t>
      </w:r>
      <w:r w:rsidRPr="00980760">
        <w:rPr>
          <w:kern w:val="22"/>
          <w:szCs w:val="22"/>
        </w:rPr>
        <w:tab/>
        <w:t>Are already, or are likely to be, commercialized or in use somewhere in the world;</w:t>
      </w:r>
    </w:p>
    <w:p w14:paraId="228068E5" w14:textId="77777777" w:rsidR="00DC1BF0" w:rsidRPr="00980760" w:rsidRDefault="00DC1BF0" w:rsidP="00DC1BF0">
      <w:pPr>
        <w:suppressLineNumbers/>
        <w:suppressAutoHyphens/>
        <w:kinsoku w:val="0"/>
        <w:overflowPunct w:val="0"/>
        <w:autoSpaceDE w:val="0"/>
        <w:autoSpaceDN w:val="0"/>
        <w:adjustRightInd w:val="0"/>
        <w:snapToGrid w:val="0"/>
        <w:spacing w:before="120" w:after="120"/>
        <w:rPr>
          <w:kern w:val="22"/>
          <w:szCs w:val="22"/>
        </w:rPr>
      </w:pPr>
      <w:r w:rsidRPr="00980760">
        <w:rPr>
          <w:kern w:val="22"/>
          <w:szCs w:val="22"/>
        </w:rPr>
        <w:t>and consider a stock-taking exercise to determine if resources on similar issues have been developed by national, regional and international bodies and, if so, whether such resources may be revised or adapted to the objective of the Cartagena Protocol, as appropriate.</w:t>
      </w:r>
    </w:p>
    <w:p w14:paraId="3344E9BE" w14:textId="77777777" w:rsidR="00DC1BF0" w:rsidRPr="00980760" w:rsidRDefault="00DC1BF0" w:rsidP="00DC1BF0">
      <w:pPr>
        <w:keepNext/>
        <w:suppressLineNumbers/>
        <w:suppressAutoHyphens/>
        <w:kinsoku w:val="0"/>
        <w:overflowPunct w:val="0"/>
        <w:autoSpaceDE w:val="0"/>
        <w:autoSpaceDN w:val="0"/>
        <w:adjustRightInd w:val="0"/>
        <w:snapToGrid w:val="0"/>
        <w:spacing w:before="240" w:after="120"/>
        <w:jc w:val="center"/>
        <w:rPr>
          <w:i/>
          <w:kern w:val="22"/>
          <w:szCs w:val="22"/>
        </w:rPr>
      </w:pPr>
      <w:r w:rsidRPr="00980760">
        <w:rPr>
          <w:i/>
          <w:kern w:val="22"/>
          <w:szCs w:val="22"/>
        </w:rPr>
        <w:t>Annex II</w:t>
      </w:r>
    </w:p>
    <w:p w14:paraId="75C7DB9D" w14:textId="77777777" w:rsidR="00DC1BF0" w:rsidRPr="00980760" w:rsidRDefault="00DC1BF0" w:rsidP="00DC1BF0">
      <w:pPr>
        <w:keepNext/>
        <w:suppressLineNumbers/>
        <w:suppressAutoHyphens/>
        <w:kinsoku w:val="0"/>
        <w:overflowPunct w:val="0"/>
        <w:autoSpaceDE w:val="0"/>
        <w:autoSpaceDN w:val="0"/>
        <w:adjustRightInd w:val="0"/>
        <w:snapToGrid w:val="0"/>
        <w:spacing w:before="120" w:after="120"/>
        <w:jc w:val="center"/>
        <w:rPr>
          <w:b/>
          <w:kern w:val="22"/>
          <w:szCs w:val="22"/>
        </w:rPr>
      </w:pPr>
      <w:r w:rsidRPr="00980760">
        <w:rPr>
          <w:b/>
          <w:color w:val="000000"/>
          <w:kern w:val="22"/>
          <w:szCs w:val="22"/>
        </w:rPr>
        <w:t>Terms of reference for the Ad Hoc Technical Expert Group on Risk Assessment</w:t>
      </w:r>
    </w:p>
    <w:p w14:paraId="0F40FBB7" w14:textId="77777777" w:rsidR="00DC1BF0" w:rsidRPr="00980760" w:rsidRDefault="00DC1BF0" w:rsidP="00DC1BF0">
      <w:pPr>
        <w:suppressLineNumbers/>
        <w:suppressAutoHyphens/>
        <w:kinsoku w:val="0"/>
        <w:overflowPunct w:val="0"/>
        <w:autoSpaceDE w:val="0"/>
        <w:autoSpaceDN w:val="0"/>
        <w:adjustRightInd w:val="0"/>
        <w:snapToGrid w:val="0"/>
        <w:spacing w:before="120" w:after="120"/>
        <w:rPr>
          <w:kern w:val="22"/>
          <w:szCs w:val="22"/>
        </w:rPr>
      </w:pPr>
      <w:r w:rsidRPr="00980760">
        <w:rPr>
          <w:kern w:val="22"/>
          <w:szCs w:val="22"/>
        </w:rPr>
        <w:tab/>
        <w:t xml:space="preserve">The Ad Hoc Technical Expert Group on Risk Assessment, </w:t>
      </w:r>
      <w:proofErr w:type="gramStart"/>
      <w:r w:rsidRPr="00980760">
        <w:rPr>
          <w:kern w:val="22"/>
          <w:szCs w:val="22"/>
        </w:rPr>
        <w:t>taking into account</w:t>
      </w:r>
      <w:proofErr w:type="gramEnd"/>
      <w:r w:rsidRPr="00980760">
        <w:rPr>
          <w:kern w:val="22"/>
          <w:szCs w:val="22"/>
        </w:rPr>
        <w:t xml:space="preserve"> the work undertaken by the Ad Hoc Technical Expert Group on Synthetic Biology, shall:</w:t>
      </w:r>
    </w:p>
    <w:p w14:paraId="4B0561B0" w14:textId="56AD481C" w:rsidR="00DC1BF0" w:rsidRPr="00980760" w:rsidRDefault="00DC1BF0" w:rsidP="00CC6C49">
      <w:pPr>
        <w:pStyle w:val="Para1"/>
        <w:numPr>
          <w:ilvl w:val="0"/>
          <w:numId w:val="0"/>
        </w:numPr>
        <w:suppressLineNumbers/>
        <w:suppressAutoHyphens/>
        <w:kinsoku w:val="0"/>
        <w:overflowPunct w:val="0"/>
        <w:autoSpaceDE w:val="0"/>
        <w:autoSpaceDN w:val="0"/>
        <w:adjustRightInd w:val="0"/>
        <w:ind w:firstLine="709"/>
        <w:rPr>
          <w:kern w:val="22"/>
          <w:szCs w:val="22"/>
        </w:rPr>
      </w:pPr>
      <w:r w:rsidRPr="00D83584">
        <w:rPr>
          <w:kern w:val="22"/>
          <w:szCs w:val="22"/>
        </w:rPr>
        <w:t>(a)</w:t>
      </w:r>
      <w:r w:rsidRPr="00D83584">
        <w:rPr>
          <w:kern w:val="22"/>
          <w:szCs w:val="22"/>
        </w:rPr>
        <w:tab/>
        <w:t>Review the study referred to in para</w:t>
      </w:r>
      <w:r w:rsidR="00FC1F92" w:rsidRPr="00980760">
        <w:rPr>
          <w:kern w:val="22"/>
          <w:szCs w:val="22"/>
        </w:rPr>
        <w:t>graph</w:t>
      </w:r>
      <w:r w:rsidR="00D03197" w:rsidRPr="00980760">
        <w:rPr>
          <w:kern w:val="22"/>
          <w:szCs w:val="22"/>
        </w:rPr>
        <w:t> </w:t>
      </w:r>
      <w:r w:rsidRPr="00D83584">
        <w:rPr>
          <w:kern w:val="22"/>
          <w:szCs w:val="22"/>
        </w:rPr>
        <w:t xml:space="preserve">11(a) </w:t>
      </w:r>
      <w:r w:rsidR="006D1C37" w:rsidRPr="00D83584">
        <w:rPr>
          <w:kern w:val="22"/>
          <w:szCs w:val="22"/>
        </w:rPr>
        <w:t>of decision CP-9/13</w:t>
      </w:r>
      <w:r w:rsidRPr="00D83584">
        <w:rPr>
          <w:kern w:val="22"/>
          <w:szCs w:val="22"/>
        </w:rPr>
        <w:t>, and perform an analysis on (</w:t>
      </w:r>
      <w:proofErr w:type="spellStart"/>
      <w:r w:rsidRPr="00D83584">
        <w:rPr>
          <w:kern w:val="22"/>
          <w:szCs w:val="22"/>
        </w:rPr>
        <w:t>i</w:t>
      </w:r>
      <w:proofErr w:type="spellEnd"/>
      <w:r w:rsidRPr="00D83584">
        <w:rPr>
          <w:kern w:val="22"/>
          <w:szCs w:val="22"/>
        </w:rPr>
        <w:t>) living modified organisms containing engineered gene drives and (ii) living modified fish, according to annex I, and supported by the data in the study;</w:t>
      </w:r>
    </w:p>
    <w:p w14:paraId="28817E59" w14:textId="77777777" w:rsidR="00DC1BF0" w:rsidRPr="00980760" w:rsidRDefault="00DC1BF0" w:rsidP="00CC6C49">
      <w:pPr>
        <w:pStyle w:val="Para1"/>
        <w:numPr>
          <w:ilvl w:val="0"/>
          <w:numId w:val="0"/>
        </w:numPr>
        <w:suppressLineNumbers/>
        <w:suppressAutoHyphens/>
        <w:kinsoku w:val="0"/>
        <w:overflowPunct w:val="0"/>
        <w:autoSpaceDE w:val="0"/>
        <w:autoSpaceDN w:val="0"/>
        <w:adjustRightInd w:val="0"/>
        <w:ind w:firstLine="709"/>
        <w:rPr>
          <w:kern w:val="22"/>
          <w:szCs w:val="22"/>
        </w:rPr>
      </w:pPr>
      <w:r w:rsidRPr="00980760">
        <w:rPr>
          <w:kern w:val="22"/>
          <w:szCs w:val="22"/>
        </w:rPr>
        <w:t>(b)</w:t>
      </w:r>
      <w:r w:rsidRPr="00980760">
        <w:rPr>
          <w:kern w:val="22"/>
          <w:szCs w:val="22"/>
        </w:rPr>
        <w:tab/>
        <w:t xml:space="preserve">Consider the needs and priorities for further guidance and gaps in existing guidance identified by Parties in response to decision CP-VIII/12 </w:t>
      </w:r>
      <w:proofErr w:type="gramStart"/>
      <w:r w:rsidRPr="00980760">
        <w:rPr>
          <w:kern w:val="22"/>
          <w:szCs w:val="22"/>
        </w:rPr>
        <w:t>with regard to</w:t>
      </w:r>
      <w:proofErr w:type="gramEnd"/>
      <w:r w:rsidRPr="00980760">
        <w:rPr>
          <w:kern w:val="22"/>
          <w:szCs w:val="22"/>
        </w:rPr>
        <w:t xml:space="preserve"> specific topics of risk assessment and prepare an analysis;</w:t>
      </w:r>
    </w:p>
    <w:p w14:paraId="0AD8D4E8" w14:textId="57D93320" w:rsidR="00DC1BF0" w:rsidRPr="00980760" w:rsidRDefault="00DC1BF0" w:rsidP="00CC6C49">
      <w:pPr>
        <w:pStyle w:val="Para1"/>
        <w:numPr>
          <w:ilvl w:val="0"/>
          <w:numId w:val="0"/>
        </w:numPr>
        <w:suppressLineNumbers/>
        <w:suppressAutoHyphens/>
        <w:kinsoku w:val="0"/>
        <w:overflowPunct w:val="0"/>
        <w:autoSpaceDE w:val="0"/>
        <w:autoSpaceDN w:val="0"/>
        <w:adjustRightInd w:val="0"/>
        <w:ind w:firstLine="709"/>
        <w:rPr>
          <w:kern w:val="22"/>
          <w:szCs w:val="22"/>
        </w:rPr>
      </w:pPr>
      <w:r w:rsidRPr="00980760">
        <w:rPr>
          <w:kern w:val="22"/>
          <w:szCs w:val="22"/>
        </w:rPr>
        <w:t>(c)</w:t>
      </w:r>
      <w:r w:rsidRPr="00980760">
        <w:rPr>
          <w:kern w:val="22"/>
          <w:szCs w:val="22"/>
        </w:rPr>
        <w:tab/>
        <w:t>Make recommendations on (</w:t>
      </w:r>
      <w:proofErr w:type="spellStart"/>
      <w:r w:rsidRPr="00980760">
        <w:rPr>
          <w:kern w:val="22"/>
          <w:szCs w:val="22"/>
        </w:rPr>
        <w:t>i</w:t>
      </w:r>
      <w:proofErr w:type="spellEnd"/>
      <w:r w:rsidRPr="00980760">
        <w:rPr>
          <w:kern w:val="22"/>
          <w:szCs w:val="22"/>
        </w:rPr>
        <w:t>) the need for guidance to be developed on risk assessment of living modified organisms containing engineered gene drives and living modified fish, and (ii) any adjustments to annex I</w:t>
      </w:r>
      <w:r w:rsidR="006D1C37" w:rsidRPr="00980760">
        <w:rPr>
          <w:kern w:val="22"/>
          <w:szCs w:val="22"/>
        </w:rPr>
        <w:t xml:space="preserve"> of decision CP-9/13</w:t>
      </w:r>
      <w:r w:rsidRPr="00980760">
        <w:rPr>
          <w:kern w:val="22"/>
          <w:szCs w:val="22"/>
        </w:rPr>
        <w:t>;</w:t>
      </w:r>
    </w:p>
    <w:p w14:paraId="49BD8DF7" w14:textId="531C41C5" w:rsidR="00D87517" w:rsidRPr="00D83584" w:rsidRDefault="00DC1BF0" w:rsidP="00CC6C49">
      <w:pPr>
        <w:pStyle w:val="ListParagraph"/>
        <w:suppressLineNumbers/>
        <w:suppressAutoHyphens/>
        <w:kinsoku w:val="0"/>
        <w:overflowPunct w:val="0"/>
        <w:autoSpaceDE w:val="0"/>
        <w:autoSpaceDN w:val="0"/>
        <w:adjustRightInd w:val="0"/>
        <w:snapToGrid w:val="0"/>
        <w:spacing w:before="120" w:after="120"/>
        <w:ind w:left="0" w:firstLine="720"/>
        <w:rPr>
          <w:snapToGrid w:val="0"/>
          <w:kern w:val="22"/>
          <w:lang w:eastAsia="en-CA"/>
        </w:rPr>
      </w:pPr>
      <w:r w:rsidRPr="00980760">
        <w:rPr>
          <w:kern w:val="22"/>
          <w:szCs w:val="22"/>
        </w:rPr>
        <w:t>(d)</w:t>
      </w:r>
      <w:r w:rsidRPr="00980760">
        <w:rPr>
          <w:kern w:val="22"/>
          <w:szCs w:val="22"/>
        </w:rPr>
        <w:tab/>
        <w:t>Prepare a report for consideration by</w:t>
      </w:r>
      <w:r w:rsidRPr="00980760">
        <w:rPr>
          <w:kern w:val="22"/>
          <w:szCs w:val="22"/>
          <w:lang w:eastAsia="x-none"/>
        </w:rPr>
        <w:t xml:space="preserve"> the </w:t>
      </w:r>
      <w:r w:rsidRPr="00980760">
        <w:rPr>
          <w:rStyle w:val="st"/>
          <w:kern w:val="22"/>
          <w:szCs w:val="22"/>
        </w:rPr>
        <w:t>Subsidiary Body on Scientific, Technical and Technological Advice</w:t>
      </w:r>
      <w:r w:rsidRPr="00980760">
        <w:rPr>
          <w:kern w:val="22"/>
          <w:szCs w:val="22"/>
        </w:rPr>
        <w:t xml:space="preserve"> with a view to enabling the </w:t>
      </w:r>
      <w:r w:rsidRPr="00980760">
        <w:rPr>
          <w:rStyle w:val="st"/>
          <w:kern w:val="22"/>
          <w:szCs w:val="22"/>
        </w:rPr>
        <w:t xml:space="preserve">Subsidiary Body </w:t>
      </w:r>
      <w:r w:rsidRPr="00980760">
        <w:rPr>
          <w:kern w:val="22"/>
          <w:szCs w:val="22"/>
        </w:rPr>
        <w:t>to prepare a recommendation for consideration by the Conference of the Parties serving as the meeting of the Parties to the Cartagena Protocol on Biosafety at its tenth meeting.</w:t>
      </w:r>
      <w:bookmarkEnd w:id="2"/>
    </w:p>
    <w:p w14:paraId="48D24824" w14:textId="55BD2221" w:rsidR="00B3369F" w:rsidRPr="00D83584" w:rsidRDefault="00D87517" w:rsidP="00CC6C49">
      <w:pPr>
        <w:suppressLineNumbers/>
        <w:suppressAutoHyphens/>
        <w:kinsoku w:val="0"/>
        <w:overflowPunct w:val="0"/>
        <w:autoSpaceDE w:val="0"/>
        <w:autoSpaceDN w:val="0"/>
        <w:snapToGrid w:val="0"/>
        <w:spacing w:before="120" w:after="120"/>
        <w:jc w:val="center"/>
        <w:rPr>
          <w:b/>
          <w:bCs/>
          <w:caps/>
          <w:snapToGrid w:val="0"/>
          <w:kern w:val="22"/>
          <w:szCs w:val="22"/>
        </w:rPr>
      </w:pPr>
      <w:r w:rsidRPr="00980760">
        <w:rPr>
          <w:snapToGrid w:val="0"/>
          <w:kern w:val="22"/>
          <w:szCs w:val="22"/>
          <w:lang w:eastAsia="en-CA"/>
        </w:rPr>
        <w:t>__________</w:t>
      </w:r>
    </w:p>
    <w:sectPr w:rsidR="00B3369F" w:rsidRPr="00D83584" w:rsidSect="009C200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2BDB3" w14:textId="77777777" w:rsidR="005864D0" w:rsidRDefault="005864D0" w:rsidP="00CF1848">
      <w:r>
        <w:separator/>
      </w:r>
    </w:p>
  </w:endnote>
  <w:endnote w:type="continuationSeparator" w:id="0">
    <w:p w14:paraId="0C3A19A3" w14:textId="77777777" w:rsidR="005864D0" w:rsidRDefault="005864D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188FA" w14:textId="77777777" w:rsidR="005864D0" w:rsidRDefault="005864D0" w:rsidP="00CF1848">
      <w:r>
        <w:separator/>
      </w:r>
    </w:p>
  </w:footnote>
  <w:footnote w:type="continuationSeparator" w:id="0">
    <w:p w14:paraId="681AD3A0" w14:textId="77777777" w:rsidR="005864D0" w:rsidRDefault="005864D0" w:rsidP="00CF1848">
      <w:r>
        <w:continuationSeparator/>
      </w:r>
    </w:p>
  </w:footnote>
  <w:footnote w:id="1">
    <w:p w14:paraId="4CA0A9F7" w14:textId="77777777" w:rsidR="00DC1BF0" w:rsidRPr="00FC1F92" w:rsidRDefault="00DC1BF0" w:rsidP="004646FE">
      <w:pPr>
        <w:pStyle w:val="FootnoteText"/>
        <w:kinsoku w:val="0"/>
        <w:overflowPunct w:val="0"/>
        <w:autoSpaceDE w:val="0"/>
        <w:autoSpaceDN w:val="0"/>
        <w:ind w:firstLine="0"/>
        <w:jc w:val="left"/>
        <w:rPr>
          <w:kern w:val="18"/>
          <w:szCs w:val="18"/>
          <w:lang w:val="en-US"/>
        </w:rPr>
      </w:pPr>
      <w:r w:rsidRPr="00D83584">
        <w:rPr>
          <w:rStyle w:val="FootnoteReference"/>
          <w:rFonts w:eastAsiaTheme="majorEastAsia"/>
          <w:kern w:val="18"/>
          <w:sz w:val="18"/>
          <w:szCs w:val="18"/>
        </w:rPr>
        <w:footnoteRef/>
      </w:r>
      <w:r w:rsidRPr="00FC1F92">
        <w:rPr>
          <w:kern w:val="18"/>
          <w:szCs w:val="18"/>
        </w:rPr>
        <w:t xml:space="preserve"> </w:t>
      </w:r>
      <w:hyperlink r:id="rId1" w:history="1">
        <w:r w:rsidRPr="00D83584">
          <w:rPr>
            <w:rStyle w:val="Hyperlink"/>
            <w:kern w:val="18"/>
            <w:szCs w:val="18"/>
            <w:lang w:val="en-US"/>
          </w:rPr>
          <w:t>Decision VIII/10</w:t>
        </w:r>
      </w:hyperlink>
      <w:r w:rsidRPr="00FC1F92">
        <w:rPr>
          <w:kern w:val="18"/>
          <w:szCs w:val="18"/>
          <w:lang w:val="en-US"/>
        </w:rPr>
        <w:t>,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71036794" w:rsidR="00534681" w:rsidRPr="00F25D90" w:rsidRDefault="001E03A2" w:rsidP="00D83584">
        <w:pPr>
          <w:pStyle w:val="Header"/>
          <w:tabs>
            <w:tab w:val="clear" w:pos="4320"/>
            <w:tab w:val="clear" w:pos="8640"/>
          </w:tabs>
          <w:jc w:val="left"/>
          <w:rPr>
            <w:noProof/>
            <w:kern w:val="22"/>
            <w:lang w:val="fr-FR"/>
          </w:rPr>
        </w:pPr>
        <w:r w:rsidRPr="00F25D90">
          <w:rPr>
            <w:noProof/>
            <w:kern w:val="22"/>
            <w:lang w:val="fr-FR"/>
          </w:rPr>
          <w:t>CBD/CP/MOP/DEC/9/13</w:t>
        </w:r>
      </w:p>
    </w:sdtContent>
  </w:sdt>
  <w:p w14:paraId="57597240" w14:textId="77777777" w:rsidR="00534681" w:rsidRPr="00F25D90" w:rsidRDefault="00534681" w:rsidP="00D83584">
    <w:pPr>
      <w:pStyle w:val="Header"/>
      <w:tabs>
        <w:tab w:val="clear" w:pos="4320"/>
        <w:tab w:val="clear" w:pos="8640"/>
      </w:tabs>
      <w:jc w:val="left"/>
      <w:rPr>
        <w:noProof/>
        <w:kern w:val="22"/>
        <w:lang w:val="fr-FR"/>
      </w:rPr>
    </w:pPr>
    <w:r w:rsidRPr="00F25D90">
      <w:rPr>
        <w:noProof/>
        <w:kern w:val="22"/>
        <w:lang w:val="fr-FR"/>
      </w:rPr>
      <w:t xml:space="preserve">Page </w:t>
    </w:r>
    <w:r w:rsidRPr="00D83584">
      <w:rPr>
        <w:noProof/>
        <w:kern w:val="22"/>
      </w:rPr>
      <w:fldChar w:fldCharType="begin"/>
    </w:r>
    <w:r w:rsidRPr="00F25D90">
      <w:rPr>
        <w:noProof/>
        <w:kern w:val="22"/>
        <w:lang w:val="fr-FR"/>
      </w:rPr>
      <w:instrText xml:space="preserve"> PAGE   \* MERGEFORMAT </w:instrText>
    </w:r>
    <w:r w:rsidRPr="00D83584">
      <w:rPr>
        <w:noProof/>
        <w:kern w:val="22"/>
      </w:rPr>
      <w:fldChar w:fldCharType="separate"/>
    </w:r>
    <w:r w:rsidR="00CB5563" w:rsidRPr="00F25D90">
      <w:rPr>
        <w:noProof/>
        <w:kern w:val="22"/>
        <w:lang w:val="fr-FR"/>
      </w:rPr>
      <w:t>2</w:t>
    </w:r>
    <w:r w:rsidRPr="00D83584">
      <w:rPr>
        <w:noProof/>
        <w:kern w:val="22"/>
      </w:rPr>
      <w:fldChar w:fldCharType="end"/>
    </w:r>
  </w:p>
  <w:p w14:paraId="1D80EB20" w14:textId="77777777" w:rsidR="00534681" w:rsidRPr="00F25D90" w:rsidRDefault="00534681" w:rsidP="00D83584">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6F25A064" w:rsidR="009505C9" w:rsidRPr="00F25D90" w:rsidRDefault="001E03A2" w:rsidP="00D83584">
        <w:pPr>
          <w:pStyle w:val="Header"/>
          <w:tabs>
            <w:tab w:val="clear" w:pos="4320"/>
            <w:tab w:val="clear" w:pos="8640"/>
          </w:tabs>
          <w:jc w:val="right"/>
          <w:rPr>
            <w:noProof/>
            <w:kern w:val="22"/>
            <w:lang w:val="fr-FR"/>
          </w:rPr>
        </w:pPr>
        <w:r w:rsidRPr="00F25D90">
          <w:rPr>
            <w:noProof/>
            <w:kern w:val="22"/>
            <w:lang w:val="fr-FR"/>
          </w:rPr>
          <w:t>CBD/CP/MOP/DEC/9/13</w:t>
        </w:r>
      </w:p>
    </w:sdtContent>
  </w:sdt>
  <w:p w14:paraId="7E9B8683" w14:textId="77777777" w:rsidR="009505C9" w:rsidRPr="00F25D90" w:rsidRDefault="009505C9" w:rsidP="00D83584">
    <w:pPr>
      <w:pStyle w:val="Header"/>
      <w:tabs>
        <w:tab w:val="clear" w:pos="4320"/>
        <w:tab w:val="clear" w:pos="8640"/>
      </w:tabs>
      <w:jc w:val="right"/>
      <w:rPr>
        <w:noProof/>
        <w:kern w:val="22"/>
        <w:lang w:val="fr-FR"/>
      </w:rPr>
    </w:pPr>
    <w:r w:rsidRPr="00F25D90">
      <w:rPr>
        <w:noProof/>
        <w:kern w:val="22"/>
        <w:lang w:val="fr-FR"/>
      </w:rPr>
      <w:t xml:space="preserve">Page </w:t>
    </w:r>
    <w:r w:rsidRPr="00D83584">
      <w:rPr>
        <w:noProof/>
        <w:kern w:val="22"/>
      </w:rPr>
      <w:fldChar w:fldCharType="begin"/>
    </w:r>
    <w:r w:rsidRPr="00F25D90">
      <w:rPr>
        <w:noProof/>
        <w:kern w:val="22"/>
        <w:lang w:val="fr-FR"/>
      </w:rPr>
      <w:instrText xml:space="preserve"> PAGE   \* MERGEFORMAT </w:instrText>
    </w:r>
    <w:r w:rsidRPr="00D83584">
      <w:rPr>
        <w:noProof/>
        <w:kern w:val="22"/>
      </w:rPr>
      <w:fldChar w:fldCharType="separate"/>
    </w:r>
    <w:r w:rsidR="0096790A" w:rsidRPr="00F25D90">
      <w:rPr>
        <w:noProof/>
        <w:kern w:val="22"/>
        <w:lang w:val="fr-FR"/>
      </w:rPr>
      <w:t>3</w:t>
    </w:r>
    <w:r w:rsidRPr="00D83584">
      <w:rPr>
        <w:noProof/>
        <w:kern w:val="22"/>
      </w:rPr>
      <w:fldChar w:fldCharType="end"/>
    </w:r>
  </w:p>
  <w:p w14:paraId="2F845650" w14:textId="77777777" w:rsidR="009505C9" w:rsidRPr="00F25D90" w:rsidRDefault="009505C9" w:rsidP="00D83584">
    <w:pPr>
      <w:pStyle w:val="Header"/>
      <w:tabs>
        <w:tab w:val="clear" w:pos="4320"/>
        <w:tab w:val="clear" w:pos="8640"/>
      </w:tabs>
      <w:jc w:val="righ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C3974"/>
    <w:multiLevelType w:val="hybridMultilevel"/>
    <w:tmpl w:val="942CDD84"/>
    <w:lvl w:ilvl="0" w:tplc="E25214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BBA75B1"/>
    <w:multiLevelType w:val="hybridMultilevel"/>
    <w:tmpl w:val="C736EB7C"/>
    <w:lvl w:ilvl="0" w:tplc="3A3446A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16B6E"/>
    <w:multiLevelType w:val="hybridMultilevel"/>
    <w:tmpl w:val="B142CAEC"/>
    <w:lvl w:ilvl="0" w:tplc="9D4605C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8"/>
  </w:num>
  <w:num w:numId="5">
    <w:abstractNumId w:val="6"/>
  </w:num>
  <w:num w:numId="6">
    <w:abstractNumId w:val="0"/>
  </w:num>
  <w:num w:numId="7">
    <w:abstractNumId w:val="3"/>
  </w:num>
  <w:num w:numId="8">
    <w:abstractNumId w:val="5"/>
    <w:lvlOverride w:ilvl="0">
      <w:startOverride w:val="1"/>
    </w:lvlOverride>
  </w:num>
  <w:num w:numId="9">
    <w:abstractNumId w:val="12"/>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1"/>
  </w:num>
  <w:num w:numId="15">
    <w:abstractNumId w:val="9"/>
  </w:num>
  <w:num w:numId="16">
    <w:abstractNumId w:val="1"/>
  </w:num>
  <w:num w:numId="17">
    <w:abstractNumId w:val="13"/>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12319"/>
    <w:rsid w:val="000229D3"/>
    <w:rsid w:val="000427ED"/>
    <w:rsid w:val="00051D54"/>
    <w:rsid w:val="000640E6"/>
    <w:rsid w:val="00093153"/>
    <w:rsid w:val="000D700C"/>
    <w:rsid w:val="000E673A"/>
    <w:rsid w:val="000F74F5"/>
    <w:rsid w:val="00105372"/>
    <w:rsid w:val="00131E7A"/>
    <w:rsid w:val="001372FB"/>
    <w:rsid w:val="0015210A"/>
    <w:rsid w:val="00172AF6"/>
    <w:rsid w:val="00176CEE"/>
    <w:rsid w:val="001C3EAD"/>
    <w:rsid w:val="001E03A2"/>
    <w:rsid w:val="001E5AC1"/>
    <w:rsid w:val="001F7D2F"/>
    <w:rsid w:val="002471B6"/>
    <w:rsid w:val="003200C1"/>
    <w:rsid w:val="003343EC"/>
    <w:rsid w:val="00372F74"/>
    <w:rsid w:val="003F7224"/>
    <w:rsid w:val="00405146"/>
    <w:rsid w:val="0042412C"/>
    <w:rsid w:val="00427D21"/>
    <w:rsid w:val="004445EA"/>
    <w:rsid w:val="0044492F"/>
    <w:rsid w:val="004644C2"/>
    <w:rsid w:val="004646FE"/>
    <w:rsid w:val="00467F9C"/>
    <w:rsid w:val="00470A9B"/>
    <w:rsid w:val="00472E76"/>
    <w:rsid w:val="004C04D5"/>
    <w:rsid w:val="00513F3F"/>
    <w:rsid w:val="00534681"/>
    <w:rsid w:val="00541A70"/>
    <w:rsid w:val="005864D0"/>
    <w:rsid w:val="006122BA"/>
    <w:rsid w:val="0061445E"/>
    <w:rsid w:val="00631FBC"/>
    <w:rsid w:val="006B0678"/>
    <w:rsid w:val="006B2290"/>
    <w:rsid w:val="006C6BC4"/>
    <w:rsid w:val="006D1C37"/>
    <w:rsid w:val="006F1189"/>
    <w:rsid w:val="0070358E"/>
    <w:rsid w:val="00717D88"/>
    <w:rsid w:val="00733288"/>
    <w:rsid w:val="00771095"/>
    <w:rsid w:val="007942D3"/>
    <w:rsid w:val="007B6C09"/>
    <w:rsid w:val="007E09DA"/>
    <w:rsid w:val="008037DD"/>
    <w:rsid w:val="008112E5"/>
    <w:rsid w:val="008178B6"/>
    <w:rsid w:val="00850840"/>
    <w:rsid w:val="00865B74"/>
    <w:rsid w:val="00930BA1"/>
    <w:rsid w:val="0093169E"/>
    <w:rsid w:val="009505C9"/>
    <w:rsid w:val="0096790A"/>
    <w:rsid w:val="00980760"/>
    <w:rsid w:val="009A52C3"/>
    <w:rsid w:val="009C200D"/>
    <w:rsid w:val="009F64B7"/>
    <w:rsid w:val="00A10C1D"/>
    <w:rsid w:val="00A55A76"/>
    <w:rsid w:val="00AA0627"/>
    <w:rsid w:val="00AE1BF4"/>
    <w:rsid w:val="00B03E58"/>
    <w:rsid w:val="00B12FD6"/>
    <w:rsid w:val="00B242A5"/>
    <w:rsid w:val="00B3369F"/>
    <w:rsid w:val="00B80A06"/>
    <w:rsid w:val="00BE47D1"/>
    <w:rsid w:val="00C9161D"/>
    <w:rsid w:val="00CB2050"/>
    <w:rsid w:val="00CB5563"/>
    <w:rsid w:val="00CC6C49"/>
    <w:rsid w:val="00CF1848"/>
    <w:rsid w:val="00D03197"/>
    <w:rsid w:val="00D041F3"/>
    <w:rsid w:val="00D12044"/>
    <w:rsid w:val="00D52458"/>
    <w:rsid w:val="00D63261"/>
    <w:rsid w:val="00D76A18"/>
    <w:rsid w:val="00D80016"/>
    <w:rsid w:val="00D83584"/>
    <w:rsid w:val="00D87517"/>
    <w:rsid w:val="00DA64A8"/>
    <w:rsid w:val="00DC1BF0"/>
    <w:rsid w:val="00DD118C"/>
    <w:rsid w:val="00E66235"/>
    <w:rsid w:val="00E76D23"/>
    <w:rsid w:val="00E83C24"/>
    <w:rsid w:val="00E9318D"/>
    <w:rsid w:val="00F25D90"/>
    <w:rsid w:val="00F94774"/>
    <w:rsid w:val="00FA0F92"/>
    <w:rsid w:val="00FC1F92"/>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59608F0"/>
  <w15:docId w15:val="{1DF13B3E-CAF4-4326-9961-76519B96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051D54"/>
    <w:pPr>
      <w:spacing w:after="160" w:line="240" w:lineRule="exact"/>
      <w:jc w:val="left"/>
    </w:pPr>
    <w:rPr>
      <w:rFonts w:asciiTheme="minorHAnsi" w:eastAsiaTheme="minorEastAsia" w:hAnsiTheme="minorHAnsi" w:cstheme="minorBidi"/>
      <w:vertAlign w:val="superscript"/>
      <w:lang w:val="fr-CA"/>
    </w:rPr>
  </w:style>
  <w:style w:type="table" w:customStyle="1" w:styleId="TableGrid1">
    <w:name w:val="Table Grid1"/>
    <w:basedOn w:val="TableNormal"/>
    <w:next w:val="TableGrid"/>
    <w:rsid w:val="00051D54"/>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00C1"/>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200C1"/>
    <w:rPr>
      <w:rFonts w:ascii="Times New Roman" w:eastAsia="Times New Roman" w:hAnsi="Times New Roman" w:cs="Times New Roman"/>
      <w:b/>
      <w:bCs/>
      <w:sz w:val="20"/>
      <w:szCs w:val="20"/>
      <w:lang w:val="en-GB"/>
    </w:rPr>
  </w:style>
  <w:style w:type="character" w:customStyle="1" w:styleId="st">
    <w:name w:val="st"/>
    <w:rsid w:val="00DC1BF0"/>
  </w:style>
  <w:style w:type="character" w:customStyle="1" w:styleId="Para1Char1">
    <w:name w:val="Para1 Char1"/>
    <w:rsid w:val="00DC1BF0"/>
    <w:rPr>
      <w:rFonts w:ascii="Times New Roman" w:eastAsia="MS Mincho" w:hAnsi="Times New Roman" w:cs="Angsana New"/>
      <w:snapToGrid w:val="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064328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2/cop-12-dec-24-en.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mop-07/mop-07-dec-12-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08/cop-08-dec-1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FD0311C12724AF789F42855E594144B"/>
        <w:category>
          <w:name w:val="General"/>
          <w:gallery w:val="placeholder"/>
        </w:category>
        <w:types>
          <w:type w:val="bbPlcHdr"/>
        </w:types>
        <w:behaviors>
          <w:behavior w:val="content"/>
        </w:behaviors>
        <w:guid w:val="{4C45376E-F039-4F98-890F-11C3D09476C0}"/>
      </w:docPartPr>
      <w:docPartBody>
        <w:p w:rsidR="00656240" w:rsidRDefault="00BA1468" w:rsidP="00BA1468">
          <w:pPr>
            <w:pStyle w:val="CFD0311C12724AF789F42855E594144B"/>
          </w:pPr>
          <w:r w:rsidRPr="007E02EB">
            <w:rPr>
              <w:rStyle w:val="PlaceholderText"/>
            </w:rPr>
            <w:t>[Status]</w:t>
          </w:r>
        </w:p>
      </w:docPartBody>
    </w:docPart>
    <w:docPart>
      <w:docPartPr>
        <w:name w:val="EC12B2066F284E44A71B0F3729FB8C90"/>
        <w:category>
          <w:name w:val="General"/>
          <w:gallery w:val="placeholder"/>
        </w:category>
        <w:types>
          <w:type w:val="bbPlcHdr"/>
        </w:types>
        <w:behaviors>
          <w:behavior w:val="content"/>
        </w:behaviors>
        <w:guid w:val="{0D2A6D26-CFFA-478F-AB85-8E0D1A9D5A59}"/>
      </w:docPartPr>
      <w:docPartBody>
        <w:p w:rsidR="00656240" w:rsidRDefault="00BA1468" w:rsidP="00BA1468">
          <w:pPr>
            <w:pStyle w:val="EC12B2066F284E44A71B0F3729FB8C90"/>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3125B"/>
    <w:rsid w:val="00261E9A"/>
    <w:rsid w:val="00500A2B"/>
    <w:rsid w:val="005559E6"/>
    <w:rsid w:val="0058288D"/>
    <w:rsid w:val="00656240"/>
    <w:rsid w:val="006801B3"/>
    <w:rsid w:val="00720F63"/>
    <w:rsid w:val="007F1B76"/>
    <w:rsid w:val="00810A55"/>
    <w:rsid w:val="008C6619"/>
    <w:rsid w:val="008D420E"/>
    <w:rsid w:val="008E798C"/>
    <w:rsid w:val="0098642F"/>
    <w:rsid w:val="00BA1468"/>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1468"/>
  </w:style>
  <w:style w:type="paragraph" w:customStyle="1" w:styleId="C444DEE40D7C456B82AF1A09CD132ABF">
    <w:name w:val="C444DEE40D7C456B82AF1A09CD132ABF"/>
    <w:rsid w:val="00CE6602"/>
    <w:pPr>
      <w:spacing w:after="160" w:line="259" w:lineRule="auto"/>
    </w:pPr>
  </w:style>
  <w:style w:type="paragraph" w:customStyle="1" w:styleId="CFD0311C12724AF789F42855E594144B">
    <w:name w:val="CFD0311C12724AF789F42855E594144B"/>
    <w:rsid w:val="00BA1468"/>
    <w:pPr>
      <w:spacing w:after="160" w:line="259" w:lineRule="auto"/>
    </w:pPr>
    <w:rPr>
      <w:lang w:val="en-CA" w:eastAsia="en-CA"/>
    </w:rPr>
  </w:style>
  <w:style w:type="paragraph" w:customStyle="1" w:styleId="EC12B2066F284E44A71B0F3729FB8C90">
    <w:name w:val="EC12B2066F284E44A71B0F3729FB8C90"/>
    <w:rsid w:val="00BA146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B48B1D-A8DC-4403-ABFE-A7569BE5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9/13.	Risk assessment and risk management (Articles 15 and 16)</vt:lpstr>
    </vt:vector>
  </TitlesOfParts>
  <Company>SCBD</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9/13.	Risk assessment and risk management (Articles 15 and 16)</dc:title>
  <dc:subject>CBD/CP/MOP/DEC/9/13</dc:subject>
  <dc:creator>SCBD</dc:creator>
  <cp:keywords>Risk assessment and risk management (Articles 15 and 16), Cartagena Protocol on Biosafety, Convention on Biological Diversity</cp:keywords>
  <cp:lastModifiedBy>Veronique Lefebvre</cp:lastModifiedBy>
  <cp:revision>3</cp:revision>
  <cp:lastPrinted>2019-01-17T17:29:00Z</cp:lastPrinted>
  <dcterms:created xsi:type="dcterms:W3CDTF">2019-01-31T19:21:00Z</dcterms:created>
  <dcterms:modified xsi:type="dcterms:W3CDTF">2019-01-31T19:24:00Z</dcterms:modified>
  <cp:contentStatus>GENERAL</cp:contentStatus>
</cp:coreProperties>
</file>