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74671D">
        <w:trPr>
          <w:trHeight w:val="709"/>
        </w:trPr>
        <w:tc>
          <w:tcPr>
            <w:tcW w:w="976" w:type="dxa"/>
            <w:tcBorders>
              <w:bottom w:val="single" w:sz="12" w:space="0" w:color="auto"/>
            </w:tcBorders>
          </w:tcPr>
          <w:p w:rsidR="0074671D" w:rsidRDefault="00D47370">
            <w:pPr>
              <w:rPr>
                <w:kern w:val="22"/>
                <w:lang w:val="es-ES"/>
              </w:rPr>
            </w:pPr>
            <w:r>
              <w:rPr>
                <w:noProof/>
                <w:snapToGrid/>
                <w:kern w:val="22"/>
                <w:lang w:val="es-UY" w:eastAsia="es-UY"/>
              </w:rPr>
              <w:drawing>
                <wp:inline distT="0" distB="0" distL="0" distR="0">
                  <wp:extent cx="431800" cy="368300"/>
                  <wp:effectExtent l="1905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74671D" w:rsidRDefault="00D47370">
            <w:pPr>
              <w:rPr>
                <w:kern w:val="22"/>
                <w:lang w:val="es-ES"/>
              </w:rPr>
            </w:pPr>
            <w:r>
              <w:rPr>
                <w:noProof/>
                <w:snapToGrid/>
                <w:kern w:val="22"/>
                <w:lang w:val="es-UY" w:eastAsia="es-UY"/>
              </w:rPr>
              <w:drawing>
                <wp:inline distT="0" distB="0" distL="0" distR="0">
                  <wp:extent cx="342900" cy="393700"/>
                  <wp:effectExtent l="1905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42900" cy="3937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74671D" w:rsidRDefault="0074671D">
            <w:pPr>
              <w:jc w:val="right"/>
              <w:rPr>
                <w:rFonts w:ascii="Arial" w:hAnsi="Arial"/>
                <w:b/>
                <w:kern w:val="22"/>
                <w:sz w:val="32"/>
                <w:lang w:val="es-ES"/>
              </w:rPr>
            </w:pPr>
            <w:r>
              <w:rPr>
                <w:rFonts w:ascii="Arial" w:hAnsi="Arial"/>
                <w:b/>
                <w:noProof/>
                <w:kern w:val="22"/>
                <w:sz w:val="32"/>
                <w:lang w:val="es-ES"/>
              </w:rPr>
              <w:t>CBD</w:t>
            </w:r>
          </w:p>
        </w:tc>
      </w:tr>
      <w:tr w:rsidR="0074671D">
        <w:tc>
          <w:tcPr>
            <w:tcW w:w="6117" w:type="dxa"/>
            <w:gridSpan w:val="2"/>
            <w:tcBorders>
              <w:top w:val="single" w:sz="12" w:space="0" w:color="auto"/>
              <w:bottom w:val="single" w:sz="36" w:space="0" w:color="auto"/>
            </w:tcBorders>
            <w:vAlign w:val="center"/>
          </w:tcPr>
          <w:p w:rsidR="0074671D" w:rsidRDefault="00D47370">
            <w:pPr>
              <w:rPr>
                <w:kern w:val="22"/>
                <w:lang w:val="es-ES"/>
              </w:rPr>
            </w:pPr>
            <w:r>
              <w:rPr>
                <w:noProof/>
                <w:snapToGrid/>
                <w:kern w:val="22"/>
                <w:lang w:val="es-UY" w:eastAsia="es-UY"/>
              </w:rPr>
              <w:drawing>
                <wp:inline distT="0" distB="0" distL="0" distR="0">
                  <wp:extent cx="2908300" cy="1041400"/>
                  <wp:effectExtent l="19050" t="0" r="635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908300" cy="10414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74671D" w:rsidRDefault="0074671D">
            <w:pPr>
              <w:ind w:left="1215"/>
              <w:jc w:val="left"/>
              <w:rPr>
                <w:kern w:val="22"/>
                <w:lang w:val="es-ES"/>
              </w:rPr>
            </w:pPr>
            <w:r>
              <w:rPr>
                <w:noProof/>
                <w:kern w:val="22"/>
                <w:lang w:val="es-ES"/>
              </w:rPr>
              <w:t>Distr.</w:t>
            </w:r>
          </w:p>
          <w:p w:rsidR="0074671D" w:rsidRDefault="0074671D">
            <w:pPr>
              <w:ind w:left="1215"/>
              <w:jc w:val="left"/>
              <w:rPr>
                <w:kern w:val="22"/>
                <w:lang w:val="es-ES"/>
              </w:rPr>
            </w:pPr>
            <w:r>
              <w:rPr>
                <w:noProof/>
                <w:kern w:val="22"/>
                <w:lang w:val="es-ES"/>
              </w:rPr>
              <w:t>GENERAL</w:t>
            </w:r>
          </w:p>
          <w:p w:rsidR="0074671D" w:rsidRDefault="0074671D">
            <w:pPr>
              <w:ind w:left="1215"/>
              <w:jc w:val="left"/>
              <w:rPr>
                <w:kern w:val="22"/>
                <w:lang w:val="es-ES"/>
              </w:rPr>
            </w:pPr>
          </w:p>
          <w:p w:rsidR="0074671D" w:rsidRDefault="0074671D">
            <w:pPr>
              <w:ind w:left="1215"/>
              <w:jc w:val="left"/>
              <w:rPr>
                <w:kern w:val="22"/>
                <w:lang w:val="es-ES"/>
              </w:rPr>
            </w:pPr>
            <w:r>
              <w:rPr>
                <w:noProof/>
                <w:kern w:val="22"/>
                <w:lang w:val="es-ES"/>
              </w:rPr>
              <w:t>CBD/CP/MOP/DEC/9/12</w:t>
            </w:r>
          </w:p>
          <w:p w:rsidR="0074671D" w:rsidRDefault="0074671D">
            <w:pPr>
              <w:ind w:left="1215"/>
              <w:jc w:val="left"/>
              <w:rPr>
                <w:kern w:val="22"/>
                <w:lang w:val="es-ES"/>
              </w:rPr>
            </w:pPr>
            <w:r>
              <w:rPr>
                <w:noProof/>
                <w:kern w:val="22"/>
                <w:lang w:val="es-ES"/>
              </w:rPr>
              <w:t>30 de noviembre de 2018</w:t>
            </w:r>
          </w:p>
          <w:p w:rsidR="0074671D" w:rsidRDefault="0074671D">
            <w:pPr>
              <w:ind w:left="1215"/>
              <w:jc w:val="left"/>
              <w:rPr>
                <w:kern w:val="22"/>
                <w:lang w:val="es-ES"/>
              </w:rPr>
            </w:pPr>
          </w:p>
          <w:p w:rsidR="0074671D" w:rsidRDefault="0074671D">
            <w:pPr>
              <w:ind w:left="1215"/>
              <w:jc w:val="left"/>
              <w:rPr>
                <w:kern w:val="22"/>
                <w:lang w:val="es-ES"/>
              </w:rPr>
            </w:pPr>
            <w:r>
              <w:rPr>
                <w:noProof/>
                <w:kern w:val="22"/>
                <w:lang w:val="es-ES"/>
              </w:rPr>
              <w:t>ESPAÑOL</w:t>
            </w:r>
          </w:p>
          <w:p w:rsidR="0074671D" w:rsidRDefault="0074671D">
            <w:pPr>
              <w:ind w:left="1215"/>
              <w:jc w:val="left"/>
              <w:rPr>
                <w:kern w:val="22"/>
                <w:lang w:val="es-ES"/>
              </w:rPr>
            </w:pPr>
            <w:r>
              <w:rPr>
                <w:noProof/>
                <w:kern w:val="22"/>
                <w:lang w:val="es-ES"/>
              </w:rPr>
              <w:t>ORIGINAL:</w:t>
            </w:r>
            <w:r>
              <w:rPr>
                <w:kern w:val="22"/>
                <w:lang w:val="es-ES"/>
              </w:rPr>
              <w:t xml:space="preserve"> </w:t>
            </w:r>
            <w:r>
              <w:rPr>
                <w:noProof/>
                <w:kern w:val="22"/>
                <w:lang w:val="es-ES"/>
              </w:rPr>
              <w:t>INGLÉS</w:t>
            </w:r>
          </w:p>
          <w:p w:rsidR="0074671D" w:rsidRDefault="0074671D">
            <w:pPr>
              <w:jc w:val="left"/>
              <w:rPr>
                <w:kern w:val="22"/>
                <w:lang w:val="es-ES"/>
              </w:rPr>
            </w:pPr>
          </w:p>
        </w:tc>
      </w:tr>
    </w:tbl>
    <w:p w:rsidR="0074671D" w:rsidRDefault="0074671D">
      <w:pPr>
        <w:pStyle w:val="Cornernotation"/>
        <w:suppressLineNumbers/>
        <w:suppressAutoHyphens/>
        <w:kinsoku w:val="0"/>
        <w:overflowPunct w:val="0"/>
        <w:autoSpaceDE w:val="0"/>
        <w:autoSpaceDN w:val="0"/>
        <w:spacing w:before="60"/>
        <w:ind w:left="227" w:right="3780" w:hanging="227"/>
        <w:rPr>
          <w:kern w:val="22"/>
          <w:lang w:val="es-ES"/>
        </w:rPr>
      </w:pPr>
      <w:bookmarkStart w:id="0" w:name="_Hlk530040340"/>
      <w:r>
        <w:rPr>
          <w:noProof/>
          <w:kern w:val="22"/>
          <w:lang w:val="es-ES"/>
        </w:rPr>
        <w:t>CONFERENCIA DE LAS PARTES EN EL CONVENIO SOBRE LA DIVERSIDAD BIOLÓGICA QUE ACTÚA COMO REUNIÓN DE LAS PARTES EN EL PROTOCOLO DE CARTAGENA SOBRE SEGURIDAD DE LA BIOTECNOLOGÍA</w:t>
      </w:r>
    </w:p>
    <w:p w:rsidR="0074671D" w:rsidRDefault="0074671D">
      <w:pPr>
        <w:pStyle w:val="Cornernotation"/>
        <w:suppressLineNumbers/>
        <w:suppressAutoHyphens/>
        <w:kinsoku w:val="0"/>
        <w:overflowPunct w:val="0"/>
        <w:autoSpaceDE w:val="0"/>
        <w:autoSpaceDN w:val="0"/>
        <w:ind w:left="0" w:right="4512" w:firstLine="0"/>
        <w:rPr>
          <w:kern w:val="22"/>
          <w:lang w:val="es-ES"/>
        </w:rPr>
      </w:pPr>
      <w:r>
        <w:rPr>
          <w:noProof/>
          <w:kern w:val="22"/>
          <w:lang w:val="es-ES"/>
        </w:rPr>
        <w:t>Novena reunión</w:t>
      </w:r>
    </w:p>
    <w:p w:rsidR="0074671D" w:rsidRDefault="0074671D">
      <w:pPr>
        <w:suppressLineNumbers/>
        <w:suppressAutoHyphens/>
        <w:kinsoku w:val="0"/>
        <w:overflowPunct w:val="0"/>
        <w:autoSpaceDE w:val="0"/>
        <w:autoSpaceDN w:val="0"/>
        <w:rPr>
          <w:kern w:val="22"/>
          <w:lang w:val="es-ES"/>
        </w:rPr>
      </w:pPr>
      <w:bookmarkStart w:id="1" w:name="_Hlk505863673"/>
      <w:r>
        <w:rPr>
          <w:noProof/>
          <w:kern w:val="22"/>
          <w:lang w:val="es-ES"/>
        </w:rPr>
        <w:t>Sharm el-Sheikh (Egipto), 17 a 29 de noviembre de 2018</w:t>
      </w:r>
      <w:bookmarkEnd w:id="1"/>
    </w:p>
    <w:bookmarkEnd w:id="0"/>
    <w:p w:rsidR="0074671D" w:rsidRDefault="0074671D">
      <w:pPr>
        <w:pStyle w:val="Cornernotation"/>
        <w:ind w:right="3973"/>
        <w:rPr>
          <w:kern w:val="22"/>
          <w:lang w:val="es-ES"/>
        </w:rPr>
      </w:pPr>
      <w:r>
        <w:rPr>
          <w:noProof/>
          <w:color w:val="000000"/>
          <w:kern w:val="22"/>
          <w:lang w:val="es-ES"/>
        </w:rPr>
        <w:t>Tema 17 del programa</w:t>
      </w:r>
    </w:p>
    <w:p w:rsidR="0074671D" w:rsidRDefault="0074671D">
      <w:pPr>
        <w:pStyle w:val="Heading1"/>
        <w:tabs>
          <w:tab w:val="clear" w:pos="720"/>
        </w:tabs>
        <w:rPr>
          <w:rFonts w:ascii="Times New Roman Bold" w:hAnsi="Times New Roman Bold"/>
          <w:kern w:val="22"/>
          <w:lang w:val="es-ES"/>
        </w:rPr>
      </w:pPr>
      <w:r>
        <w:rPr>
          <w:rFonts w:ascii="Times New Roman Bold" w:hAnsi="Times New Roman Bold"/>
          <w:noProof/>
          <w:kern w:val="22"/>
        </w:rPr>
        <w:t>Decisión adoptada por las Partes en el Protocolo de Cartagena sobre seguridad de la Biotecnología</w:t>
      </w:r>
    </w:p>
    <w:p w:rsidR="0074671D" w:rsidRDefault="0074671D">
      <w:pPr>
        <w:spacing w:before="120" w:after="240"/>
        <w:jc w:val="center"/>
        <w:rPr>
          <w:b/>
          <w:caps/>
          <w:kern w:val="22"/>
          <w:lang w:val="es-ES"/>
        </w:rPr>
      </w:pPr>
      <w:r>
        <w:rPr>
          <w:b/>
          <w:caps/>
          <w:kern w:val="22"/>
          <w:lang w:val="es-ES"/>
        </w:rPr>
        <w:t>9/12.</w:t>
      </w:r>
      <w:r>
        <w:rPr>
          <w:b/>
          <w:caps/>
          <w:kern w:val="22"/>
          <w:lang w:val="es-ES"/>
        </w:rPr>
        <w:tab/>
      </w:r>
      <w:r>
        <w:rPr>
          <w:b/>
          <w:kern w:val="22"/>
          <w:lang w:val="es-ES"/>
        </w:rPr>
        <w:t>Tránsito y uso confinado de organismos vivos modificados (artículo 6)</w:t>
      </w:r>
    </w:p>
    <w:p w:rsidR="0074671D" w:rsidRDefault="0074671D">
      <w:pPr>
        <w:shd w:val="clear" w:color="auto" w:fill="FFFFFF"/>
        <w:spacing w:before="120" w:after="120"/>
        <w:ind w:firstLine="720"/>
        <w:rPr>
          <w:i/>
          <w:kern w:val="22"/>
          <w:lang w:val="es-ES"/>
        </w:rPr>
      </w:pPr>
      <w:r>
        <w:rPr>
          <w:i/>
          <w:kern w:val="22"/>
          <w:lang w:val="es-ES"/>
        </w:rPr>
        <w:t>La Conferencia de las Partes que actúa como reunión de las Partes en el Protocolo de Cartagena sobre Seguridad de la Biotecnología,</w:t>
      </w:r>
    </w:p>
    <w:p w:rsidR="0074671D" w:rsidRDefault="0074671D">
      <w:pPr>
        <w:pStyle w:val="Para1"/>
        <w:numPr>
          <w:ilvl w:val="0"/>
          <w:numId w:val="0"/>
        </w:numPr>
        <w:snapToGrid w:val="0"/>
        <w:ind w:firstLine="720"/>
        <w:rPr>
          <w:kern w:val="22"/>
          <w:szCs w:val="24"/>
          <w:lang w:val="es-ES"/>
        </w:rPr>
      </w:pPr>
      <w:r>
        <w:rPr>
          <w:i/>
          <w:kern w:val="22"/>
          <w:szCs w:val="24"/>
          <w:lang w:val="es-ES"/>
        </w:rPr>
        <w:t xml:space="preserve">Recordando </w:t>
      </w:r>
      <w:r>
        <w:rPr>
          <w:kern w:val="22"/>
          <w:szCs w:val="24"/>
          <w:lang w:val="es-ES"/>
        </w:rPr>
        <w:t xml:space="preserve">las decisiones </w:t>
      </w:r>
      <w:hyperlink r:id="rId10" w:history="1">
        <w:r>
          <w:rPr>
            <w:rStyle w:val="Hyperlink"/>
            <w:kern w:val="22"/>
            <w:sz w:val="22"/>
            <w:szCs w:val="24"/>
            <w:lang w:val="es-ES"/>
          </w:rPr>
          <w:t>BS-V/2</w:t>
        </w:r>
      </w:hyperlink>
      <w:r>
        <w:rPr>
          <w:kern w:val="22"/>
          <w:szCs w:val="24"/>
          <w:lang w:val="es-ES"/>
        </w:rPr>
        <w:t xml:space="preserve">, párrafo 1 a), y </w:t>
      </w:r>
      <w:hyperlink r:id="rId11" w:history="1">
        <w:r>
          <w:rPr>
            <w:rStyle w:val="Hyperlink"/>
            <w:kern w:val="22"/>
            <w:sz w:val="22"/>
            <w:szCs w:val="24"/>
            <w:lang w:val="es-ES"/>
          </w:rPr>
          <w:t>BS-VII/2</w:t>
        </w:r>
      </w:hyperlink>
      <w:r>
        <w:rPr>
          <w:kern w:val="22"/>
          <w:szCs w:val="24"/>
          <w:lang w:val="es-ES"/>
        </w:rPr>
        <w:t>, párrafo 2 b),</w:t>
      </w:r>
    </w:p>
    <w:p w:rsidR="0074671D" w:rsidRDefault="0074671D">
      <w:pPr>
        <w:pStyle w:val="Para1"/>
        <w:numPr>
          <w:ilvl w:val="0"/>
          <w:numId w:val="0"/>
        </w:numPr>
        <w:snapToGrid w:val="0"/>
        <w:ind w:firstLine="720"/>
        <w:rPr>
          <w:kern w:val="22"/>
          <w:szCs w:val="24"/>
          <w:lang w:val="es-ES"/>
        </w:rPr>
      </w:pPr>
      <w:r>
        <w:rPr>
          <w:i/>
          <w:kern w:val="22"/>
          <w:szCs w:val="24"/>
          <w:lang w:val="es-ES"/>
        </w:rPr>
        <w:t xml:space="preserve">Recordando también </w:t>
      </w:r>
      <w:r>
        <w:rPr>
          <w:kern w:val="22"/>
          <w:szCs w:val="24"/>
          <w:lang w:val="es-ES"/>
        </w:rPr>
        <w:t xml:space="preserve">la decisión </w:t>
      </w:r>
      <w:hyperlink r:id="rId12" w:history="1">
        <w:r>
          <w:rPr>
            <w:rStyle w:val="Hyperlink"/>
            <w:kern w:val="22"/>
            <w:sz w:val="22"/>
            <w:szCs w:val="24"/>
            <w:lang w:val="es-ES"/>
          </w:rPr>
          <w:t>CP-VIII/17</w:t>
        </w:r>
      </w:hyperlink>
      <w:r>
        <w:rPr>
          <w:kern w:val="22"/>
          <w:szCs w:val="24"/>
          <w:lang w:val="es-ES"/>
        </w:rPr>
        <w:t>,</w:t>
      </w:r>
    </w:p>
    <w:p w:rsidR="0074671D" w:rsidRDefault="0074671D">
      <w:pPr>
        <w:pStyle w:val="Para1"/>
        <w:numPr>
          <w:ilvl w:val="0"/>
          <w:numId w:val="0"/>
        </w:numPr>
        <w:snapToGrid w:val="0"/>
        <w:ind w:firstLine="720"/>
        <w:rPr>
          <w:kern w:val="22"/>
          <w:szCs w:val="24"/>
          <w:lang w:val="es-ES"/>
        </w:rPr>
      </w:pPr>
      <w:r>
        <w:rPr>
          <w:kern w:val="22"/>
          <w:szCs w:val="24"/>
          <w:lang w:val="es-ES"/>
        </w:rPr>
        <w:t>1.</w:t>
      </w:r>
      <w:r>
        <w:rPr>
          <w:kern w:val="22"/>
          <w:szCs w:val="24"/>
          <w:lang w:val="es-ES"/>
        </w:rPr>
        <w:tab/>
      </w:r>
      <w:r>
        <w:rPr>
          <w:i/>
          <w:kern w:val="22"/>
          <w:szCs w:val="24"/>
          <w:lang w:val="es-ES"/>
        </w:rPr>
        <w:t>Toma nota</w:t>
      </w:r>
      <w:r>
        <w:rPr>
          <w:kern w:val="22"/>
          <w:szCs w:val="24"/>
          <w:lang w:val="es-ES"/>
        </w:rPr>
        <w:t xml:space="preserve"> de la evaluación que el Comité de Cumplimiento ha hecho de la información presentada por las Partes en el Centro de Intercambio de Información sobre Seguridad de la Biotecnología como decisiones </w:t>
      </w:r>
      <w:r w:rsidR="00BB78CF">
        <w:rPr>
          <w:kern w:val="22"/>
          <w:szCs w:val="24"/>
          <w:lang w:val="es-ES"/>
        </w:rPr>
        <w:t>referi</w:t>
      </w:r>
      <w:r w:rsidR="00CF0005">
        <w:rPr>
          <w:kern w:val="22"/>
          <w:szCs w:val="24"/>
          <w:lang w:val="es-ES"/>
        </w:rPr>
        <w:t>d</w:t>
      </w:r>
      <w:r w:rsidR="00BB78CF">
        <w:rPr>
          <w:kern w:val="22"/>
          <w:szCs w:val="24"/>
          <w:lang w:val="es-ES"/>
        </w:rPr>
        <w:t>as</w:t>
      </w:r>
      <w:r>
        <w:rPr>
          <w:kern w:val="22"/>
          <w:szCs w:val="24"/>
          <w:lang w:val="es-ES"/>
        </w:rPr>
        <w:t xml:space="preserve"> </w:t>
      </w:r>
      <w:r w:rsidR="00BB78CF">
        <w:rPr>
          <w:kern w:val="22"/>
          <w:szCs w:val="24"/>
          <w:lang w:val="es-ES"/>
        </w:rPr>
        <w:t xml:space="preserve">a </w:t>
      </w:r>
      <w:r>
        <w:rPr>
          <w:kern w:val="22"/>
          <w:szCs w:val="24"/>
          <w:lang w:val="es-ES"/>
        </w:rPr>
        <w:t>uso confinado</w:t>
      </w:r>
      <w:r>
        <w:rPr>
          <w:rStyle w:val="FootnoteReference"/>
          <w:kern w:val="22"/>
          <w:szCs w:val="24"/>
          <w:lang w:val="es-ES"/>
        </w:rPr>
        <w:footnoteReference w:id="1"/>
      </w:r>
      <w:r>
        <w:rPr>
          <w:kern w:val="22"/>
          <w:szCs w:val="24"/>
          <w:lang w:val="es-ES"/>
        </w:rPr>
        <w:t>;</w:t>
      </w:r>
    </w:p>
    <w:p w:rsidR="0074671D" w:rsidRDefault="0074671D">
      <w:pPr>
        <w:pStyle w:val="Para1"/>
        <w:numPr>
          <w:ilvl w:val="0"/>
          <w:numId w:val="0"/>
        </w:numPr>
        <w:snapToGrid w:val="0"/>
        <w:ind w:firstLine="720"/>
        <w:rPr>
          <w:kern w:val="22"/>
          <w:szCs w:val="24"/>
          <w:lang w:val="es-ES"/>
        </w:rPr>
      </w:pPr>
      <w:r>
        <w:rPr>
          <w:kern w:val="22"/>
          <w:szCs w:val="24"/>
          <w:lang w:val="es-ES"/>
        </w:rPr>
        <w:t>2.</w:t>
      </w:r>
      <w:r>
        <w:rPr>
          <w:kern w:val="22"/>
          <w:szCs w:val="24"/>
          <w:lang w:val="es-ES"/>
        </w:rPr>
        <w:tab/>
      </w:r>
      <w:r>
        <w:rPr>
          <w:i/>
          <w:kern w:val="22"/>
          <w:szCs w:val="24"/>
          <w:lang w:val="es-ES"/>
        </w:rPr>
        <w:t>Recuerda</w:t>
      </w:r>
      <w:r>
        <w:rPr>
          <w:kern w:val="22"/>
          <w:szCs w:val="24"/>
          <w:lang w:val="es-ES"/>
        </w:rPr>
        <w:t xml:space="preserve"> a las Partes que:</w:t>
      </w:r>
    </w:p>
    <w:p w:rsidR="0074671D" w:rsidRDefault="0074671D">
      <w:pPr>
        <w:pStyle w:val="Para3"/>
        <w:numPr>
          <w:ilvl w:val="0"/>
          <w:numId w:val="21"/>
        </w:numPr>
        <w:tabs>
          <w:tab w:val="clear" w:pos="1980"/>
        </w:tabs>
        <w:spacing w:before="0" w:after="120"/>
        <w:ind w:left="0" w:firstLine="720"/>
        <w:rPr>
          <w:kern w:val="22"/>
          <w:szCs w:val="24"/>
          <w:lang w:val="es-ES"/>
        </w:rPr>
      </w:pPr>
      <w:r>
        <w:rPr>
          <w:kern w:val="22"/>
          <w:szCs w:val="24"/>
          <w:lang w:val="es-ES"/>
        </w:rPr>
        <w:t>En el artículo 3, párrafo b)</w:t>
      </w:r>
      <w:r w:rsidR="00BD4B40">
        <w:rPr>
          <w:kern w:val="22"/>
          <w:szCs w:val="24"/>
          <w:lang w:val="es-ES"/>
        </w:rPr>
        <w:t>,</w:t>
      </w:r>
      <w:r>
        <w:rPr>
          <w:kern w:val="22"/>
          <w:szCs w:val="24"/>
          <w:lang w:val="es-ES"/>
        </w:rPr>
        <w:t xml:space="preserve"> del Protocolo de Cartagena se define al uso confinado como “cualquier operación, llevada a cabo dentro de un local, instalación u otra estructura física, que entrañe la manipulación de organismos vivos modificados controlados por medidas específicas que limiten de forma efectiva su contacto con el medio exterior o sus efectos sobre dicho medio”;</w:t>
      </w:r>
    </w:p>
    <w:p w:rsidR="0074671D" w:rsidRDefault="0074671D" w:rsidP="00BD4B40">
      <w:pPr>
        <w:pStyle w:val="Para3"/>
        <w:numPr>
          <w:ilvl w:val="0"/>
          <w:numId w:val="21"/>
        </w:numPr>
        <w:tabs>
          <w:tab w:val="clear" w:pos="1980"/>
        </w:tabs>
        <w:spacing w:before="0" w:after="120"/>
        <w:ind w:left="0" w:firstLine="720"/>
        <w:rPr>
          <w:kern w:val="22"/>
          <w:szCs w:val="24"/>
          <w:lang w:val="es-ES"/>
        </w:rPr>
      </w:pPr>
      <w:r>
        <w:rPr>
          <w:kern w:val="22"/>
          <w:szCs w:val="24"/>
          <w:lang w:val="es-ES"/>
        </w:rPr>
        <w:t>La introducción intencional en el medio ambiente puede tener fines tanto experimentales como comerciales;</w:t>
      </w:r>
    </w:p>
    <w:p w:rsidR="0074671D" w:rsidRDefault="0074671D">
      <w:pPr>
        <w:pStyle w:val="Para3"/>
        <w:numPr>
          <w:ilvl w:val="0"/>
          <w:numId w:val="21"/>
        </w:numPr>
        <w:tabs>
          <w:tab w:val="clear" w:pos="1980"/>
        </w:tabs>
        <w:spacing w:before="0" w:after="120"/>
        <w:ind w:left="0" w:firstLine="720"/>
        <w:rPr>
          <w:kern w:val="22"/>
          <w:szCs w:val="24"/>
          <w:lang w:val="es-ES"/>
        </w:rPr>
      </w:pPr>
      <w:r>
        <w:rPr>
          <w:kern w:val="22"/>
          <w:szCs w:val="24"/>
          <w:lang w:val="es-ES"/>
        </w:rPr>
        <w:t>Todo ensayo práctico, ensayo práctico confinado o introducción experimental que no cumpla con las condiciones estipuladas en el artículo</w:t>
      </w:r>
      <w:r w:rsidR="00BB78CF">
        <w:rPr>
          <w:kern w:val="22"/>
          <w:szCs w:val="24"/>
          <w:lang w:val="es-ES"/>
        </w:rPr>
        <w:t> </w:t>
      </w:r>
      <w:r>
        <w:rPr>
          <w:kern w:val="22"/>
          <w:szCs w:val="24"/>
          <w:lang w:val="es-ES"/>
        </w:rPr>
        <w:t>3, párrafo b), del Protocolo, se considerará una introducción intencional en el medio ambiente;</w:t>
      </w:r>
    </w:p>
    <w:p w:rsidR="0074671D" w:rsidRDefault="0074671D">
      <w:pPr>
        <w:pStyle w:val="Para1"/>
        <w:numPr>
          <w:ilvl w:val="0"/>
          <w:numId w:val="0"/>
        </w:numPr>
        <w:ind w:firstLine="720"/>
        <w:rPr>
          <w:kern w:val="22"/>
          <w:szCs w:val="24"/>
          <w:lang w:val="es-ES"/>
        </w:rPr>
      </w:pPr>
      <w:r>
        <w:rPr>
          <w:kern w:val="22"/>
          <w:szCs w:val="24"/>
          <w:lang w:val="es-ES"/>
        </w:rPr>
        <w:t>3.</w:t>
      </w:r>
      <w:r>
        <w:rPr>
          <w:kern w:val="22"/>
          <w:szCs w:val="24"/>
          <w:lang w:val="es-ES"/>
        </w:rPr>
        <w:tab/>
      </w:r>
      <w:r>
        <w:rPr>
          <w:i/>
          <w:kern w:val="22"/>
          <w:szCs w:val="24"/>
          <w:lang w:val="es-ES"/>
        </w:rPr>
        <w:t xml:space="preserve">Recuerda </w:t>
      </w:r>
      <w:r w:rsidR="00DA418E">
        <w:rPr>
          <w:i/>
          <w:kern w:val="22"/>
          <w:szCs w:val="24"/>
          <w:lang w:val="es-ES"/>
        </w:rPr>
        <w:t>también</w:t>
      </w:r>
      <w:r>
        <w:rPr>
          <w:kern w:val="22"/>
          <w:szCs w:val="24"/>
          <w:lang w:val="es-ES"/>
        </w:rPr>
        <w:t xml:space="preserve"> a las Partes </w:t>
      </w:r>
      <w:r w:rsidR="00DA418E">
        <w:rPr>
          <w:kern w:val="22"/>
          <w:szCs w:val="24"/>
          <w:lang w:val="es-ES"/>
        </w:rPr>
        <w:t>su</w:t>
      </w:r>
      <w:r>
        <w:rPr>
          <w:kern w:val="22"/>
          <w:szCs w:val="24"/>
          <w:lang w:val="es-ES"/>
        </w:rPr>
        <w:t xml:space="preserve"> obligación en virtud del artículo</w:t>
      </w:r>
      <w:r w:rsidR="00BB78CF">
        <w:rPr>
          <w:kern w:val="22"/>
          <w:szCs w:val="24"/>
          <w:lang w:val="es-ES"/>
        </w:rPr>
        <w:t> </w:t>
      </w:r>
      <w:r>
        <w:rPr>
          <w:kern w:val="22"/>
          <w:szCs w:val="24"/>
          <w:lang w:val="es-ES"/>
        </w:rPr>
        <w:t>20, párrafo 3</w:t>
      </w:r>
      <w:r w:rsidR="00DA418E">
        <w:rPr>
          <w:kern w:val="22"/>
          <w:szCs w:val="24"/>
          <w:lang w:val="es-ES"/>
        </w:rPr>
        <w:t> </w:t>
      </w:r>
      <w:r>
        <w:rPr>
          <w:kern w:val="22"/>
          <w:szCs w:val="24"/>
          <w:lang w:val="es-ES"/>
        </w:rPr>
        <w:t xml:space="preserve">d), y </w:t>
      </w:r>
      <w:r>
        <w:rPr>
          <w:i/>
          <w:kern w:val="22"/>
          <w:szCs w:val="24"/>
          <w:lang w:val="es-ES"/>
        </w:rPr>
        <w:t xml:space="preserve">alienta </w:t>
      </w:r>
      <w:r>
        <w:rPr>
          <w:kern w:val="22"/>
          <w:szCs w:val="24"/>
          <w:lang w:val="es-ES"/>
        </w:rPr>
        <w:t>a otros Gobiernos a publicar en el Centro de Intercambio de Información sobre Seguridad de la Biotecnología sus decisiones definitivas acerca de la importación o la liberación de organismos vivos modificados;</w:t>
      </w:r>
    </w:p>
    <w:p w:rsidR="0074671D" w:rsidRDefault="0074671D">
      <w:pPr>
        <w:pStyle w:val="ListParagraph"/>
        <w:keepNext/>
        <w:keepLines/>
        <w:shd w:val="clear" w:color="auto" w:fill="FFFFFF"/>
        <w:ind w:left="0" w:firstLine="720"/>
        <w:contextualSpacing w:val="0"/>
        <w:rPr>
          <w:kern w:val="22"/>
          <w:szCs w:val="24"/>
          <w:lang w:val="es-ES"/>
        </w:rPr>
      </w:pPr>
      <w:r>
        <w:rPr>
          <w:kern w:val="22"/>
          <w:szCs w:val="24"/>
          <w:lang w:val="es-ES"/>
        </w:rPr>
        <w:lastRenderedPageBreak/>
        <w:t>4.</w:t>
      </w:r>
      <w:r>
        <w:rPr>
          <w:kern w:val="22"/>
          <w:szCs w:val="24"/>
          <w:lang w:val="es-ES"/>
        </w:rPr>
        <w:tab/>
      </w:r>
      <w:r>
        <w:rPr>
          <w:i/>
          <w:kern w:val="22"/>
          <w:szCs w:val="24"/>
          <w:lang w:val="es-ES"/>
        </w:rPr>
        <w:t xml:space="preserve">Alienta </w:t>
      </w:r>
      <w:r>
        <w:rPr>
          <w:kern w:val="22"/>
          <w:szCs w:val="24"/>
          <w:lang w:val="es-ES"/>
        </w:rPr>
        <w:t xml:space="preserve">a las Partes, otros Gobiernos y organizaciones pertinentes a cooperar, compartir experiencias y fomentar el desarrollo de </w:t>
      </w:r>
      <w:r w:rsidR="00275599">
        <w:rPr>
          <w:kern w:val="22"/>
          <w:szCs w:val="24"/>
          <w:lang w:val="es-ES"/>
        </w:rPr>
        <w:t xml:space="preserve">la </w:t>
      </w:r>
      <w:r>
        <w:rPr>
          <w:kern w:val="22"/>
          <w:szCs w:val="24"/>
          <w:lang w:val="es-ES"/>
        </w:rPr>
        <w:t>capacidad para apoyar la aplicación de medidas específicas para el uso confinado que limiten de forma efectiva el contacto de los organismos vivos modificados con el medio exterior y sus efectos sobre dicho medio, de conformidad con el artículo</w:t>
      </w:r>
      <w:r w:rsidR="00BB78CF">
        <w:rPr>
          <w:kern w:val="22"/>
          <w:szCs w:val="24"/>
          <w:lang w:val="es-ES"/>
        </w:rPr>
        <w:t> </w:t>
      </w:r>
      <w:r>
        <w:rPr>
          <w:kern w:val="22"/>
          <w:szCs w:val="24"/>
          <w:lang w:val="es-ES"/>
        </w:rPr>
        <w:t>3, párrafo b), del Protocolo de Cartagena.</w:t>
      </w:r>
    </w:p>
    <w:p w:rsidR="0074671D" w:rsidRDefault="0074671D">
      <w:pPr>
        <w:jc w:val="center"/>
        <w:rPr>
          <w:kern w:val="22"/>
          <w:lang w:val="es-ES"/>
        </w:rPr>
      </w:pPr>
      <w:r>
        <w:rPr>
          <w:kern w:val="22"/>
          <w:lang w:val="es-ES"/>
        </w:rPr>
        <w:t>__________</w:t>
      </w:r>
    </w:p>
    <w:p w:rsidR="0074671D" w:rsidRDefault="0074671D">
      <w:pPr>
        <w:rPr>
          <w:kern w:val="22"/>
          <w:lang w:val="es-ES"/>
        </w:rPr>
      </w:pPr>
    </w:p>
    <w:sectPr w:rsidR="0074671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88" w:rsidRDefault="00472188">
      <w:r>
        <w:separator/>
      </w:r>
    </w:p>
  </w:endnote>
  <w:endnote w:type="continuationSeparator" w:id="0">
    <w:p w:rsidR="00472188" w:rsidRDefault="0047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20000003" w:usb1="00000000" w:usb2="00000000" w:usb3="00000000" w:csb0="000001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88" w:rsidRDefault="00472188">
      <w:r>
        <w:separator/>
      </w:r>
    </w:p>
  </w:footnote>
  <w:footnote w:type="continuationSeparator" w:id="0">
    <w:p w:rsidR="00472188" w:rsidRDefault="00472188">
      <w:r>
        <w:continuationSeparator/>
      </w:r>
    </w:p>
  </w:footnote>
  <w:footnote w:id="1">
    <w:p w:rsidR="0074671D" w:rsidRDefault="0074671D">
      <w:pPr>
        <w:pStyle w:val="FootnoteText"/>
        <w:ind w:firstLine="0"/>
        <w:jc w:val="left"/>
      </w:pPr>
      <w:r>
        <w:rPr>
          <w:rStyle w:val="FootnoteReference"/>
          <w:kern w:val="18"/>
          <w:sz w:val="18"/>
          <w:lang w:val="es-ES"/>
        </w:rPr>
        <w:footnoteRef/>
      </w:r>
      <w:r>
        <w:rPr>
          <w:kern w:val="18"/>
          <w:lang w:val="es-ES"/>
        </w:rPr>
        <w:t xml:space="preserve"> Véase el documento CBD/CP/MOP/9/2.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1D" w:rsidRDefault="0074671D">
    <w:pPr>
      <w:pStyle w:val="Header"/>
      <w:rPr>
        <w:lang w:val="es-ES"/>
      </w:rPr>
    </w:pPr>
    <w:r>
      <w:rPr>
        <w:lang w:val="es-ES"/>
      </w:rPr>
      <w:t>CBD/CP/MOP/DEC/9/12</w:t>
    </w:r>
  </w:p>
  <w:p w:rsidR="0074671D" w:rsidRDefault="0074671D">
    <w:pPr>
      <w:pStyle w:val="Header"/>
      <w:rPr>
        <w:lang w:val="es-ES"/>
      </w:rPr>
    </w:pPr>
    <w:r>
      <w:rPr>
        <w:lang w:val="es-ES"/>
      </w:rPr>
      <w:t xml:space="preserve">Página </w:t>
    </w:r>
    <w:r>
      <w:rPr>
        <w:lang w:val="es-ES"/>
      </w:rPr>
      <w:fldChar w:fldCharType="begin"/>
    </w:r>
    <w:r>
      <w:rPr>
        <w:lang w:val="es-ES"/>
      </w:rPr>
      <w:instrText xml:space="preserve"> PAGE   \* MERGEFORMAT </w:instrText>
    </w:r>
    <w:r>
      <w:rPr>
        <w:lang w:val="es-ES"/>
      </w:rPr>
      <w:fldChar w:fldCharType="separate"/>
    </w:r>
    <w:r w:rsidR="00D47370" w:rsidRPr="00D47370">
      <w:rPr>
        <w:noProof/>
      </w:rPr>
      <w:t>2</w:t>
    </w:r>
    <w:r>
      <w:rPr>
        <w:lang w:val="es-ES"/>
      </w:rPr>
      <w:fldChar w:fldCharType="end"/>
    </w:r>
  </w:p>
  <w:p w:rsidR="0074671D" w:rsidRDefault="0074671D">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1D" w:rsidRDefault="0074671D">
    <w:pPr>
      <w:pStyle w:val="Header"/>
      <w:jc w:val="right"/>
      <w:rPr>
        <w:lang w:val="fr-FR"/>
      </w:rPr>
    </w:pPr>
    <w:r>
      <w:rPr>
        <w:lang w:val="fr-FR"/>
      </w:rPr>
      <w:t>CBD/CP/MOP/DEC/9/12</w:t>
    </w:r>
  </w:p>
  <w:p w:rsidR="0074671D" w:rsidRDefault="0074671D">
    <w:pPr>
      <w:pStyle w:val="Header"/>
      <w:jc w:val="right"/>
      <w:rPr>
        <w:lang w:val="fr-FR"/>
      </w:rPr>
    </w:pPr>
    <w:r>
      <w:rPr>
        <w:lang w:val="fr-FR"/>
      </w:rPr>
      <w:t xml:space="preserve">Page </w:t>
    </w:r>
    <w:r>
      <w:rPr>
        <w:lang w:val="fr-FR"/>
      </w:rPr>
      <w:fldChar w:fldCharType="begin"/>
    </w:r>
    <w:r>
      <w:rPr>
        <w:lang w:val="fr-FR"/>
      </w:rPr>
      <w:instrText xml:space="preserve"> PAGE   \* MERGEFORMAT </w:instrText>
    </w:r>
    <w:r>
      <w:rPr>
        <w:lang w:val="fr-FR"/>
      </w:rPr>
      <w:fldChar w:fldCharType="separate"/>
    </w:r>
    <w:r>
      <w:rPr>
        <w:noProof/>
      </w:rPr>
      <w:t>1</w:t>
    </w:r>
    <w:r>
      <w:rPr>
        <w:lang w:val="fr-FR"/>
      </w:rPr>
      <w:fldChar w:fldCharType="end"/>
    </w:r>
  </w:p>
  <w:p w:rsidR="0074671D" w:rsidRDefault="0074671D">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2730787"/>
    <w:multiLevelType w:val="hybridMultilevel"/>
    <w:tmpl w:val="415A833A"/>
    <w:lvl w:ilvl="0" w:tplc="A6F0F234">
      <w:start w:val="1"/>
      <w:numFmt w:val="lowerLetter"/>
      <w:lvlText w:val="(%1)"/>
      <w:lvlJc w:val="left"/>
      <w:pPr>
        <w:tabs>
          <w:tab w:val="num" w:pos="2160"/>
        </w:tabs>
        <w:ind w:left="2160" w:hanging="144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4E5D154C"/>
    <w:multiLevelType w:val="multilevel"/>
    <w:tmpl w:val="8982DC1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Letter"/>
      <w:lvlText w:val="(%3)"/>
      <w:lvlJc w:val="lef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AE56B66"/>
    <w:multiLevelType w:val="hybridMultilevel"/>
    <w:tmpl w:val="EADEE3C4"/>
    <w:lvl w:ilvl="0" w:tplc="1844455A">
      <w:start w:val="1"/>
      <w:numFmt w:val="lowerLetter"/>
      <w:lvlText w:val="%1)"/>
      <w:lvlJc w:val="left"/>
      <w:pPr>
        <w:tabs>
          <w:tab w:val="num" w:pos="1353"/>
        </w:tabs>
        <w:ind w:left="2073"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1"/>
  </w:num>
  <w:num w:numId="17">
    <w:abstractNumId w:val="12"/>
  </w:num>
  <w:num w:numId="18">
    <w:abstractNumId w:val="14"/>
  </w:num>
  <w:num w:numId="1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footnotePr>
    <w:footnote w:id="-1"/>
    <w:footnote w:id="0"/>
  </w:footnotePr>
  <w:endnotePr>
    <w:endnote w:id="-1"/>
    <w:endnote w:id="0"/>
  </w:endnotePr>
  <w:compat/>
  <w:rsids>
    <w:rsidRoot w:val="00C9161D"/>
    <w:rsid w:val="000A5FDB"/>
    <w:rsid w:val="000E673A"/>
    <w:rsid w:val="000F4914"/>
    <w:rsid w:val="000F74F5"/>
    <w:rsid w:val="00105372"/>
    <w:rsid w:val="00131E7A"/>
    <w:rsid w:val="00150E9E"/>
    <w:rsid w:val="0016171D"/>
    <w:rsid w:val="00172AF6"/>
    <w:rsid w:val="00176CEE"/>
    <w:rsid w:val="00177682"/>
    <w:rsid w:val="00177FE4"/>
    <w:rsid w:val="00183670"/>
    <w:rsid w:val="00186DD8"/>
    <w:rsid w:val="001A2177"/>
    <w:rsid w:val="001C3C5F"/>
    <w:rsid w:val="001F652B"/>
    <w:rsid w:val="002346D3"/>
    <w:rsid w:val="00273079"/>
    <w:rsid w:val="00275599"/>
    <w:rsid w:val="0032413B"/>
    <w:rsid w:val="00372F74"/>
    <w:rsid w:val="00373C24"/>
    <w:rsid w:val="00376E07"/>
    <w:rsid w:val="003D6DF7"/>
    <w:rsid w:val="003F7224"/>
    <w:rsid w:val="004018AD"/>
    <w:rsid w:val="00427BFC"/>
    <w:rsid w:val="00427D21"/>
    <w:rsid w:val="004644C2"/>
    <w:rsid w:val="00467F9C"/>
    <w:rsid w:val="00472188"/>
    <w:rsid w:val="004B22C2"/>
    <w:rsid w:val="004E57A5"/>
    <w:rsid w:val="004F6872"/>
    <w:rsid w:val="0050225C"/>
    <w:rsid w:val="0051204B"/>
    <w:rsid w:val="005159F1"/>
    <w:rsid w:val="00534262"/>
    <w:rsid w:val="00534681"/>
    <w:rsid w:val="00541ABC"/>
    <w:rsid w:val="00553DBD"/>
    <w:rsid w:val="005F4595"/>
    <w:rsid w:val="006122BA"/>
    <w:rsid w:val="00633568"/>
    <w:rsid w:val="00646861"/>
    <w:rsid w:val="0065565E"/>
    <w:rsid w:val="0068672C"/>
    <w:rsid w:val="00693CBF"/>
    <w:rsid w:val="006B2290"/>
    <w:rsid w:val="006D5BFF"/>
    <w:rsid w:val="00717D88"/>
    <w:rsid w:val="0074671D"/>
    <w:rsid w:val="00755776"/>
    <w:rsid w:val="0076182A"/>
    <w:rsid w:val="007942D3"/>
    <w:rsid w:val="007B078D"/>
    <w:rsid w:val="007B6C09"/>
    <w:rsid w:val="007D52E9"/>
    <w:rsid w:val="007E09DA"/>
    <w:rsid w:val="00802D31"/>
    <w:rsid w:val="008047FF"/>
    <w:rsid w:val="008178B6"/>
    <w:rsid w:val="008228AB"/>
    <w:rsid w:val="008641A4"/>
    <w:rsid w:val="00865B74"/>
    <w:rsid w:val="008B7D32"/>
    <w:rsid w:val="008C2410"/>
    <w:rsid w:val="008D4D2C"/>
    <w:rsid w:val="008D74B8"/>
    <w:rsid w:val="00930BA1"/>
    <w:rsid w:val="0093169E"/>
    <w:rsid w:val="009505C9"/>
    <w:rsid w:val="009719FC"/>
    <w:rsid w:val="009A2733"/>
    <w:rsid w:val="00A149DA"/>
    <w:rsid w:val="00A83B5F"/>
    <w:rsid w:val="00AC3393"/>
    <w:rsid w:val="00B3369F"/>
    <w:rsid w:val="00B866F9"/>
    <w:rsid w:val="00BB4A2D"/>
    <w:rsid w:val="00BB78CF"/>
    <w:rsid w:val="00BD4B40"/>
    <w:rsid w:val="00BE6E80"/>
    <w:rsid w:val="00BE794D"/>
    <w:rsid w:val="00C20995"/>
    <w:rsid w:val="00C37FC9"/>
    <w:rsid w:val="00C443BD"/>
    <w:rsid w:val="00C9161D"/>
    <w:rsid w:val="00C94CD2"/>
    <w:rsid w:val="00CF0005"/>
    <w:rsid w:val="00CF1848"/>
    <w:rsid w:val="00D12044"/>
    <w:rsid w:val="00D22417"/>
    <w:rsid w:val="00D47370"/>
    <w:rsid w:val="00D476E2"/>
    <w:rsid w:val="00D6146E"/>
    <w:rsid w:val="00D76A18"/>
    <w:rsid w:val="00DA418E"/>
    <w:rsid w:val="00DD118C"/>
    <w:rsid w:val="00E66235"/>
    <w:rsid w:val="00E83C24"/>
    <w:rsid w:val="00E9318D"/>
    <w:rsid w:val="00ED72FA"/>
    <w:rsid w:val="00EE4917"/>
    <w:rsid w:val="00F0021B"/>
    <w:rsid w:val="00F1052D"/>
    <w:rsid w:val="00F4051A"/>
    <w:rsid w:val="00F63CA7"/>
    <w:rsid w:val="00F63ECD"/>
    <w:rsid w:val="00F6586C"/>
    <w:rsid w:val="00F7308C"/>
    <w:rsid w:val="00F83BF7"/>
    <w:rsid w:val="00F94774"/>
    <w:rsid w:val="00FC53D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0"/>
    <w:qFormat/>
    <w:pPr>
      <w:jc w:val="both"/>
    </w:pPr>
    <w:rPr>
      <w:snapToGrid w:val="0"/>
      <w:sz w:val="22"/>
      <w:szCs w:val="24"/>
      <w:lang w:val="en-GB" w:eastAsia="es-E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sz w:val="18"/>
      <w:szCs w:val="18"/>
    </w:rPr>
  </w:style>
  <w:style w:type="character" w:customStyle="1" w:styleId="CharChar8">
    <w:name w:val="Char Char8"/>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Pr>
      <w:rFonts w:cs="Times New Roman"/>
      <w:color w:val="808080"/>
    </w:rPr>
  </w:style>
  <w:style w:type="paragraph" w:styleId="Header">
    <w:name w:val="header"/>
    <w:basedOn w:val="Normal"/>
    <w:pPr>
      <w:tabs>
        <w:tab w:val="center" w:pos="4320"/>
        <w:tab w:val="right" w:pos="8640"/>
      </w:tabs>
    </w:pPr>
  </w:style>
  <w:style w:type="character" w:customStyle="1" w:styleId="CharChar7">
    <w:name w:val="Char Char7"/>
    <w:basedOn w:val="DefaultParagraphFont"/>
    <w:locked/>
    <w:rPr>
      <w:rFonts w:ascii="Times New Roman" w:eastAsia="Times New Roman" w:hAnsi="Times New Roman" w:cs="Times New Roman"/>
      <w:sz w:val="22"/>
      <w:lang w:val="en-GB"/>
    </w:rPr>
  </w:style>
  <w:style w:type="paragraph" w:styleId="Footer">
    <w:name w:val="footer"/>
    <w:basedOn w:val="Normal"/>
    <w:pPr>
      <w:tabs>
        <w:tab w:val="center" w:pos="4320"/>
        <w:tab w:val="right" w:pos="8640"/>
      </w:tabs>
      <w:ind w:firstLine="720"/>
      <w:jc w:val="right"/>
    </w:pPr>
  </w:style>
  <w:style w:type="character" w:customStyle="1" w:styleId="CharChar6">
    <w:name w:val="Char Char6"/>
    <w:basedOn w:val="DefaultParagraphFont"/>
    <w:locked/>
    <w:rPr>
      <w:rFonts w:ascii="Times New Roman" w:eastAsia="Times New Roman" w:hAnsi="Times New Roman" w:cs="Times New Roman"/>
      <w:sz w:val="22"/>
      <w:lang w:val="en-GB"/>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contextualSpacing/>
    </w:pPr>
    <w:rPr>
      <w:color w:val="17365D"/>
      <w:spacing w:val="5"/>
      <w:kern w:val="28"/>
      <w:sz w:val="52"/>
      <w:szCs w:val="52"/>
    </w:rPr>
  </w:style>
  <w:style w:type="character" w:customStyle="1" w:styleId="CharChar5">
    <w:name w:val="Char Char5"/>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i/>
      <w:iCs/>
      <w:color w:val="4F81BD"/>
      <w:spacing w:val="15"/>
      <w:sz w:val="24"/>
    </w:rPr>
  </w:style>
  <w:style w:type="character" w:customStyle="1" w:styleId="CharChar4">
    <w:name w:val="Char Char4"/>
    <w:basedOn w:val="DefaultParagraphFont"/>
    <w:locked/>
    <w:rPr>
      <w:rFonts w:ascii="Times New Roman" w:eastAsia="Times New Roman" w:hAnsi="Times New Roman" w:cs="Times New Roman"/>
      <w:i/>
      <w:iCs/>
      <w:color w:val="4F81BD"/>
      <w:spacing w:val="15"/>
      <w:lang w:val="en-US"/>
    </w:rPr>
  </w:style>
  <w:style w:type="character" w:customStyle="1" w:styleId="CharChar17">
    <w:name w:val="Char Char17"/>
    <w:basedOn w:val="DefaultParagraphFont"/>
    <w:locked/>
    <w:rPr>
      <w:rFonts w:ascii="Times New Roman" w:eastAsia="Times New Roman" w:hAnsi="Times New Roman" w:cs="Times New Roman"/>
      <w:b/>
      <w:caps/>
      <w:sz w:val="22"/>
      <w:lang w:val="en-GB"/>
    </w:rPr>
  </w:style>
  <w:style w:type="paragraph" w:styleId="BodyText">
    <w:name w:val="Body Text"/>
    <w:basedOn w:val="Normal"/>
    <w:pPr>
      <w:spacing w:before="120" w:after="120"/>
      <w:ind w:firstLine="720"/>
    </w:pPr>
    <w:rPr>
      <w:iCs/>
    </w:rPr>
  </w:style>
  <w:style w:type="character" w:customStyle="1" w:styleId="CharChar3">
    <w:name w:val="Char Char3"/>
    <w:basedOn w:val="DefaultParagraphFont"/>
    <w:locked/>
    <w:rPr>
      <w:rFonts w:ascii="Times New Roman" w:eastAsia="Times New Roman" w:hAnsi="Times New Roman" w:cs="Times New Roman"/>
      <w:iCs/>
      <w:sz w:val="22"/>
      <w:lang w:val="en-GB"/>
    </w:rPr>
  </w:style>
  <w:style w:type="paragraph" w:styleId="BodyTextIndent">
    <w:name w:val="Body Text Indent"/>
    <w:basedOn w:val="Normal"/>
    <w:pPr>
      <w:spacing w:before="120" w:after="120"/>
      <w:ind w:left="1440" w:hanging="720"/>
      <w:jc w:val="left"/>
    </w:pPr>
  </w:style>
  <w:style w:type="character" w:customStyle="1" w:styleId="CharChar2">
    <w:name w:val="Char Char2"/>
    <w:basedOn w:val="DefaultParagraphFont"/>
    <w:locked/>
    <w:rPr>
      <w:rFonts w:ascii="Times New Roman" w:eastAsia="Times New Roman" w:hAnsi="Times New Roman" w:cs="Times New Roman"/>
      <w:sz w:val="22"/>
      <w:lang w:val="en-G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120" w:line="240" w:lineRule="exact"/>
    </w:pPr>
  </w:style>
  <w:style w:type="character" w:customStyle="1" w:styleId="CharChar1">
    <w:name w:val="Char Char1"/>
    <w:basedOn w:val="DefaultParagraphFont"/>
    <w:semiHidden/>
    <w:locked/>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CharChar">
    <w:name w:val="Char Char"/>
    <w:basedOn w:val="DefaultParagraphFont"/>
    <w:semiHidden/>
    <w:locked/>
    <w:rPr>
      <w:rFonts w:ascii="Courier New" w:eastAsia="Times New Roman" w:hAnsi="Courier New" w:cs="Times New Roman"/>
      <w:sz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BVI fnr Char Char Char,BVI fnr Car Car Char Char Char,BVI fnr Car Char Char Char,BVI fnr Car Car Car Car Char Char Char Char,BVI fnr Car Car Car Car Char Char1 Char,BVI fnr Car Car Car Char Char Char"/>
    <w:basedOn w:val="DefaultParagraphFont"/>
    <w:locked/>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pPr>
      <w:keepLines/>
      <w:spacing w:after="60"/>
      <w:ind w:firstLine="720"/>
    </w:pPr>
    <w:rPr>
      <w:sz w:val="18"/>
    </w:rPr>
  </w:style>
  <w:style w:type="character" w:customStyle="1" w:styleId="fnChar">
    <w:name w:val="fn Char"/>
    <w:aliases w:val="Geneva 9 Char,Font: Geneva 9 Char,Boston 10 Char,f Char,ft Char1,Fotnotstext Char Char,ft Char Char,single space Char,footnote text Char,FOOTNOTES Char,ADB Char,single space1 Char,footnote text1 Char,FOOTNOTES1 Char,fn1 Char,ADB1 Char,fn2 Char"/>
    <w:basedOn w:val="DefaultParagraphFont"/>
    <w:locked/>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CharChar16">
    <w:name w:val="Char Char16"/>
    <w:basedOn w:val="DefaultParagraphFont"/>
    <w:locked/>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CharChar15">
    <w:name w:val="Char Char15"/>
    <w:basedOn w:val="DefaultParagraphFont"/>
    <w:locked/>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CharChar14">
    <w:name w:val="Char Char14"/>
    <w:basedOn w:val="DefaultParagraphFont"/>
    <w:locked/>
    <w:rPr>
      <w:rFonts w:ascii="Times New Roman Bold" w:eastAsia="Times New Roman"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CharChar13">
    <w:name w:val="Char Char13"/>
    <w:basedOn w:val="DefaultParagraphFont"/>
    <w:locked/>
    <w:rPr>
      <w:rFonts w:ascii="Times New Roman" w:eastAsia="Times New Roman" w:hAnsi="Times New Roman" w:cs="Times New Roman"/>
      <w:bCs/>
      <w:i/>
      <w:sz w:val="26"/>
      <w:szCs w:val="26"/>
      <w:lang w:val="en-CA"/>
    </w:rPr>
  </w:style>
  <w:style w:type="character" w:customStyle="1" w:styleId="CharChar12">
    <w:name w:val="Char Char12"/>
    <w:basedOn w:val="DefaultParagraphFont"/>
    <w:locked/>
    <w:rPr>
      <w:rFonts w:ascii="Times New Roman" w:eastAsia="Times New Roman" w:hAnsi="Times New Roman" w:cs="Times New Roman"/>
      <w:sz w:val="22"/>
      <w:u w:val="single"/>
      <w:lang w:val="en-GB"/>
    </w:rPr>
  </w:style>
  <w:style w:type="character" w:customStyle="1" w:styleId="CharChar11">
    <w:name w:val="Char Char11"/>
    <w:basedOn w:val="DefaultParagraphFont"/>
    <w:locked/>
    <w:rPr>
      <w:rFonts w:ascii="Times New Roman" w:eastAsia="Times New Roman" w:hAnsi="Times New Roman" w:cs="Times New Roman"/>
      <w:b/>
      <w:sz w:val="28"/>
      <w:lang w:val="en-GB"/>
    </w:rPr>
  </w:style>
  <w:style w:type="character" w:customStyle="1" w:styleId="CharChar10">
    <w:name w:val="Char Char10"/>
    <w:basedOn w:val="DefaultParagraphFont"/>
    <w:locked/>
    <w:rPr>
      <w:rFonts w:ascii="Times New Roman" w:eastAsia="Times New Roman" w:hAnsi="Times New Roman" w:cs="Times New Roman"/>
      <w:b/>
      <w:sz w:val="32"/>
      <w:lang w:val="en-GB"/>
    </w:rPr>
  </w:style>
  <w:style w:type="character" w:customStyle="1" w:styleId="CharChar9">
    <w:name w:val="Char Char9"/>
    <w:basedOn w:val="DefaultParagraphFont"/>
    <w:locked/>
    <w:rPr>
      <w:rFonts w:ascii="Times New Roman" w:eastAsia="Times New Roman" w:hAnsi="Times New Roman" w:cs="Times New Roman"/>
      <w:i/>
      <w:iCs/>
      <w:sz w:val="22"/>
      <w:lang w:val="en-GB"/>
    </w:rPr>
  </w:style>
  <w:style w:type="character" w:styleId="PageNumber">
    <w:name w:val="page number"/>
    <w:basedOn w:val="DefaultParagraphFont"/>
    <w:rPr>
      <w:rFonts w:ascii="Times New Roman" w:hAnsi="Times New Roman"/>
      <w:sz w:val="22"/>
    </w:rPr>
  </w:style>
  <w:style w:type="paragraph" w:customStyle="1" w:styleId="Para1">
    <w:name w:val="Para1"/>
    <w:basedOn w:val="Normal"/>
    <w:pPr>
      <w:numPr>
        <w:numId w:val="4"/>
      </w:numPr>
      <w:tabs>
        <w:tab w:val="clear" w:pos="360"/>
      </w:tabs>
      <w:spacing w:before="120" w:after="120"/>
    </w:pPr>
    <w:rPr>
      <w:snapToGrid/>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u w:val="single"/>
    </w:rPr>
  </w:style>
  <w:style w:type="character" w:customStyle="1" w:styleId="Para1Char">
    <w:name w:val="Para1 Char"/>
    <w:locked/>
    <w:rPr>
      <w:rFonts w:ascii="Times New Roman" w:eastAsia="Times New Roman" w:hAnsi="Times New Roman"/>
      <w:snapToGrid w:val="0"/>
      <w:sz w:val="18"/>
      <w:lang w:val="en-GB"/>
    </w:rPr>
  </w:style>
  <w:style w:type="paragraph" w:customStyle="1" w:styleId="CBD-Doc-Type">
    <w:name w:val="CBD-Doc-Type"/>
    <w:basedOn w:val="Normal"/>
    <w:pPr>
      <w:keepLines/>
      <w:spacing w:before="240" w:after="120"/>
    </w:pPr>
    <w:rPr>
      <w:b/>
      <w:i/>
      <w:sz w:val="24"/>
    </w:rPr>
  </w:style>
  <w:style w:type="paragraph" w:customStyle="1" w:styleId="CBD-Doc">
    <w:name w:val="CBD-Doc"/>
    <w:basedOn w:val="Normal"/>
    <w:pPr>
      <w:keepLines/>
      <w:numPr>
        <w:numId w:val="9"/>
      </w:numPr>
      <w:spacing w:after="120"/>
    </w:pPr>
  </w:style>
  <w:style w:type="paragraph" w:styleId="ListParagraph">
    <w:name w:val="List Paragraph"/>
    <w:basedOn w:val="Normal"/>
    <w:qFormat/>
    <w:pPr>
      <w:ind w:left="720"/>
      <w:contextualSpacing/>
    </w:pPr>
    <w:rPr>
      <w:szCs w:val="20"/>
    </w:rPr>
  </w:style>
  <w:style w:type="paragraph" w:styleId="Caption">
    <w:name w:val="caption"/>
    <w:basedOn w:val="Normal"/>
    <w:next w:val="Normal"/>
    <w:qFormat/>
    <w:pPr>
      <w:keepNext/>
      <w:keepLines/>
      <w:spacing w:after="200"/>
    </w:pPr>
    <w:rPr>
      <w:b/>
      <w:iCs/>
      <w:szCs w:val="18"/>
    </w:rPr>
  </w:style>
  <w:style w:type="paragraph" w:customStyle="1" w:styleId="Style1">
    <w:name w:val="Style1"/>
    <w:basedOn w:val="Heading2"/>
    <w:rPr>
      <w:i/>
    </w:rPr>
  </w:style>
  <w:style w:type="paragraph" w:styleId="NoSpacing">
    <w:name w:val="No Spacing"/>
    <w:qFormat/>
    <w:rPr>
      <w:snapToGrid w:val="0"/>
      <w:sz w:val="22"/>
      <w:szCs w:val="22"/>
      <w:lang w:val="en-US" w:eastAsia="es-ES"/>
    </w:rPr>
  </w:style>
  <w:style w:type="character" w:customStyle="1" w:styleId="NoSpacingChar">
    <w:name w:val="No Spacing Char"/>
    <w:basedOn w:val="DefaultParagraphFont"/>
    <w:locked/>
    <w:rPr>
      <w:rFonts w:ascii="Times New Roman" w:eastAsia="Times New Roman" w:hAnsi="Times New Roman" w:cs="Times New Roman"/>
      <w:sz w:val="22"/>
      <w:szCs w:val="22"/>
      <w:lang w:val="en-US" w:bidi="ar-SA"/>
    </w:rPr>
  </w:style>
  <w:style w:type="paragraph" w:customStyle="1" w:styleId="BVIfnrCharChar">
    <w:name w:val="BVI fnr Char Char"/>
    <w:aliases w:val="BVI fnr Car Car Char Char,BVI fnr Car Char Char,BVI fnr Car Car Car Car Char Char Char,BVI fnr Car Car Car Car Char Char1,BVI fnr Car Car Car Char Char,BVI fnr Car Car Car Car Car Char Char"/>
    <w:basedOn w:val="Normal"/>
    <w:pPr>
      <w:spacing w:after="160" w:line="240" w:lineRule="exact"/>
      <w:jc w:val="left"/>
    </w:pPr>
    <w:rPr>
      <w:szCs w:val="20"/>
      <w:vertAlign w:val="superscript"/>
      <w:lang w:val="es-ES"/>
    </w:rPr>
  </w:style>
  <w:style w:type="paragraph" w:customStyle="1" w:styleId="Body">
    <w:name w:val="Body"/>
    <w:pPr>
      <w:jc w:val="both"/>
    </w:pPr>
    <w:rPr>
      <w:snapToGrid w:val="0"/>
      <w:color w:val="000000"/>
      <w:sz w:val="22"/>
      <w:szCs w:val="22"/>
      <w:u w:color="000000"/>
      <w:lang w:val="en-CA" w:eastAsia="es-ES"/>
    </w:rPr>
  </w:style>
  <w:style w:type="character" w:customStyle="1" w:styleId="Hyperlink0">
    <w:name w:val="Hyperlink.0"/>
    <w:basedOn w:val="DefaultParagraphFont"/>
    <w:rPr>
      <w:rFonts w:cs="Times New Roman"/>
      <w:color w:val="0000FF"/>
      <w:kern w:val="22"/>
      <w:sz w:val="22"/>
      <w:szCs w:val="22"/>
      <w:u w:val="single" w:color="0000FF"/>
    </w:rPr>
  </w:style>
  <w:style w:type="character" w:customStyle="1" w:styleId="Hyperlink1">
    <w:name w:val="Hyperlink.1"/>
    <w:basedOn w:val="DefaultParagraphFont"/>
    <w:rPr>
      <w:rFonts w:cs="Times New Roman"/>
      <w:kern w:val="22"/>
    </w:rPr>
  </w:style>
  <w:style w:type="character" w:customStyle="1" w:styleId="None">
    <w:name w:val="None"/>
  </w:style>
  <w:style w:type="character" w:customStyle="1" w:styleId="ListParagraphChar">
    <w:name w:val="List Paragraph Char"/>
    <w:locked/>
    <w:rPr>
      <w:rFonts w:ascii="Times New Roman" w:eastAsia="Times New Roman" w:hAnsi="Times New Roman"/>
      <w:sz w:val="22"/>
      <w:lang w:val="en-GB"/>
    </w:rPr>
  </w:style>
  <w:style w:type="character" w:customStyle="1" w:styleId="UnresolvedMention">
    <w:name w:val="Unresolved Mention"/>
    <w:basedOn w:val="DefaultParagraphFont"/>
    <w:semiHidden/>
    <w:rPr>
      <w:rFonts w:cs="Times New Roman"/>
      <w:color w:val="808080"/>
      <w:shd w:val="clear" w:color="auto" w:fill="E6E6E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cbd.int/doc/decisions/mop-08/mop-08-dec-17-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mop-07/mop-07-dec-02-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ch.cbd.int/protocol/decisions/?decisionID=1231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2311</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9/12.	Transit and contained use of living modified organisms (Article 6)</vt:lpstr>
    </vt:vector>
  </TitlesOfParts>
  <Company>SCBD</Company>
  <LinksUpToDate>false</LinksUpToDate>
  <CharactersWithSpaces>2707</CharactersWithSpaces>
  <SharedDoc>false</SharedDoc>
  <HLinks>
    <vt:vector size="18" baseType="variant">
      <vt:variant>
        <vt:i4>720981</vt:i4>
      </vt:variant>
      <vt:variant>
        <vt:i4>6</vt:i4>
      </vt:variant>
      <vt:variant>
        <vt:i4>0</vt:i4>
      </vt:variant>
      <vt:variant>
        <vt:i4>5</vt:i4>
      </vt:variant>
      <vt:variant>
        <vt:lpwstr>https://www.cbd.int/doc/decisions/mop-08/mop-08-dec-17-es.pdf</vt:lpwstr>
      </vt:variant>
      <vt:variant>
        <vt:lpwstr/>
      </vt:variant>
      <vt:variant>
        <vt:i4>65627</vt:i4>
      </vt:variant>
      <vt:variant>
        <vt:i4>3</vt:i4>
      </vt:variant>
      <vt:variant>
        <vt:i4>0</vt:i4>
      </vt:variant>
      <vt:variant>
        <vt:i4>5</vt:i4>
      </vt:variant>
      <vt:variant>
        <vt:lpwstr>https://www.cbd.int/doc/decisions/mop-07/mop-07-dec-02-es.pdf</vt:lpwstr>
      </vt:variant>
      <vt:variant>
        <vt:lpwstr/>
      </vt:variant>
      <vt:variant>
        <vt:i4>6488186</vt:i4>
      </vt:variant>
      <vt:variant>
        <vt:i4>0</vt:i4>
      </vt:variant>
      <vt:variant>
        <vt:i4>0</vt:i4>
      </vt:variant>
      <vt:variant>
        <vt:i4>5</vt:i4>
      </vt:variant>
      <vt:variant>
        <vt:lpwstr>http://bch.cbd.int/protocol/decisions/?decisionID=12315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	Transit and contained use of living modified organisms (Article 6)</dc:title>
  <dc:subject>CBD/CP/MOP/DEC/9/12</dc:subject>
  <dc:creator>SCBD</dc:creator>
  <cp:lastModifiedBy>Laura Perez</cp:lastModifiedBy>
  <cp:revision>2</cp:revision>
  <cp:lastPrinted>2018-11-25T10:33:00Z</cp:lastPrinted>
  <dcterms:created xsi:type="dcterms:W3CDTF">2019-02-14T14:14:00Z</dcterms:created>
  <dcterms:modified xsi:type="dcterms:W3CDTF">2019-02-14T14:14:00Z</dcterms:modified>
</cp:coreProperties>
</file>