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1C74FF85" w:rsidR="00F82D3D" w:rsidRPr="008228AB" w:rsidRDefault="00F82D3D" w:rsidP="005569B2">
            <w:pPr>
              <w:ind w:left="69"/>
              <w:rPr>
                <w:szCs w:val="22"/>
              </w:rPr>
            </w:pPr>
            <w:r>
              <w:rPr>
                <w:lang w:val="en-US"/>
              </w:rPr>
              <w:t>CBD/CP/MOP/</w:t>
            </w:r>
            <w:r w:rsidR="00236D69">
              <w:rPr>
                <w:lang w:val="en-US"/>
              </w:rPr>
              <w:t>DEC/</w:t>
            </w:r>
            <w:r>
              <w:rPr>
                <w:lang w:val="en-US"/>
              </w:rPr>
              <w:t>9/</w:t>
            </w:r>
            <w:r w:rsidR="005569B2">
              <w:rPr>
                <w:lang w:val="en-US"/>
              </w:rPr>
              <w:t>12</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41D7C8AE" w:rsidR="00655368" w:rsidRDefault="00655368" w:rsidP="005569B2">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5569B2">
        <w:rPr>
          <w:rFonts w:ascii="Simplified Arabic" w:hAnsi="Simplified Arabic" w:cs="Simplified Arabic" w:hint="cs"/>
          <w:sz w:val="24"/>
          <w:rtl/>
          <w:lang w:bidi="ar-LY"/>
        </w:rPr>
        <w:t>17</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78B4228C" w:rsidR="00C9161D" w:rsidRPr="00DD5891" w:rsidRDefault="00236D69" w:rsidP="005569B2">
      <w:pPr>
        <w:bidi/>
        <w:spacing w:after="120" w:line="216" w:lineRule="auto"/>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5569B2">
        <w:rPr>
          <w:rFonts w:ascii="Simplified Arabic" w:hAnsi="Simplified Arabic" w:cs="Simplified Arabic" w:hint="cs"/>
          <w:b/>
          <w:bCs/>
          <w:sz w:val="24"/>
          <w:rtl/>
          <w:lang w:bidi="ar-EG"/>
        </w:rPr>
        <w:t>12</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5569B2" w:rsidRPr="005569B2">
        <w:rPr>
          <w:rFonts w:ascii="Simplified Arabic" w:hAnsi="Simplified Arabic" w:cs="Simplified Arabic"/>
          <w:b/>
          <w:bCs/>
          <w:sz w:val="24"/>
          <w:rtl/>
          <w:lang w:bidi="ar-EG"/>
        </w:rPr>
        <w:t>عبور الكائنات الحية المحورة واستخدامها المعزول (المادة 6)</w:t>
      </w:r>
    </w:p>
    <w:p w14:paraId="3F711A29" w14:textId="77777777" w:rsidR="004C0258" w:rsidRPr="004C0258" w:rsidRDefault="004C0258" w:rsidP="002D15BF">
      <w:pPr>
        <w:keepNext/>
        <w:bidi/>
        <w:adjustRightInd w:val="0"/>
        <w:snapToGrid w:val="0"/>
        <w:spacing w:after="10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29F77540" w14:textId="02BF4AFF" w:rsidR="005569B2" w:rsidRDefault="005569B2" w:rsidP="005569B2">
      <w:pPr>
        <w:keepNext/>
        <w:bidi/>
        <w:adjustRightInd w:val="0"/>
        <w:snapToGrid w:val="0"/>
        <w:spacing w:after="120" w:line="216" w:lineRule="auto"/>
        <w:ind w:firstLine="720"/>
        <w:rPr>
          <w:rFonts w:ascii="Simplified Arabic" w:hAnsi="Simplified Arabic" w:cs="Simplified Arabic"/>
          <w:i/>
          <w:snapToGrid w:val="0"/>
          <w:kern w:val="22"/>
        </w:rPr>
      </w:pPr>
      <w:r>
        <w:rPr>
          <w:rFonts w:ascii="Simplified Arabic" w:hAnsi="Simplified Arabic" w:cs="Simplified Arabic"/>
          <w:iCs/>
          <w:snapToGrid w:val="0"/>
          <w:kern w:val="22"/>
          <w:rtl/>
        </w:rPr>
        <w:t xml:space="preserve">إذ يشير </w:t>
      </w:r>
      <w:r w:rsidRPr="005569B2">
        <w:rPr>
          <w:rFonts w:ascii="Simplified Arabic" w:hAnsi="Simplified Arabic" w:cs="Simplified Arabic"/>
          <w:i/>
          <w:snapToGrid w:val="0"/>
          <w:kern w:val="22"/>
          <w:rtl/>
        </w:rPr>
        <w:t>إلى</w:t>
      </w:r>
      <w:r>
        <w:rPr>
          <w:rFonts w:ascii="Simplified Arabic" w:hAnsi="Simplified Arabic" w:cs="Simplified Arabic"/>
          <w:iCs/>
          <w:snapToGrid w:val="0"/>
          <w:kern w:val="22"/>
          <w:rtl/>
        </w:rPr>
        <w:t xml:space="preserve"> </w:t>
      </w:r>
      <w:r>
        <w:rPr>
          <w:rFonts w:ascii="Simplified Arabic" w:hAnsi="Simplified Arabic" w:cs="Simplified Arabic"/>
          <w:i/>
          <w:snapToGrid w:val="0"/>
          <w:kern w:val="22"/>
          <w:rtl/>
        </w:rPr>
        <w:t xml:space="preserve">الفقرة 1(أ) من المقرر </w:t>
      </w:r>
      <w:hyperlink r:id="rId13" w:history="1">
        <w:r w:rsidRPr="005569B2">
          <w:rPr>
            <w:rStyle w:val="Hyperlink"/>
            <w:kern w:val="22"/>
            <w:sz w:val="22"/>
            <w:szCs w:val="22"/>
          </w:rPr>
          <w:t>BS-V/2</w:t>
        </w:r>
      </w:hyperlink>
      <w:r>
        <w:rPr>
          <w:rFonts w:ascii="Simplified Arabic" w:hAnsi="Simplified Arabic" w:cs="Simplified Arabic"/>
          <w:i/>
          <w:snapToGrid w:val="0"/>
          <w:kern w:val="22"/>
          <w:rtl/>
        </w:rPr>
        <w:t xml:space="preserve">، والفقرة 2(ب) من المقرر </w:t>
      </w:r>
      <w:hyperlink r:id="rId14" w:history="1">
        <w:r w:rsidRPr="005569B2">
          <w:rPr>
            <w:rStyle w:val="Hyperlink"/>
            <w:kern w:val="22"/>
            <w:sz w:val="22"/>
            <w:szCs w:val="22"/>
          </w:rPr>
          <w:t>BS-VII/2</w:t>
        </w:r>
      </w:hyperlink>
      <w:r>
        <w:rPr>
          <w:rFonts w:ascii="Simplified Arabic" w:hAnsi="Simplified Arabic" w:cs="Simplified Arabic"/>
          <w:i/>
          <w:snapToGrid w:val="0"/>
          <w:kern w:val="22"/>
          <w:rtl/>
        </w:rPr>
        <w:t>،</w:t>
      </w:r>
    </w:p>
    <w:p w14:paraId="1559F3D1" w14:textId="575DF7A5" w:rsidR="005569B2" w:rsidRDefault="005569B2" w:rsidP="005569B2">
      <w:pPr>
        <w:keepNext/>
        <w:bidi/>
        <w:adjustRightInd w:val="0"/>
        <w:snapToGrid w:val="0"/>
        <w:spacing w:after="120" w:line="216" w:lineRule="auto"/>
        <w:ind w:firstLine="720"/>
        <w:rPr>
          <w:rFonts w:ascii="Simplified Arabic" w:hAnsi="Simplified Arabic" w:cs="Simplified Arabic"/>
          <w:i/>
          <w:snapToGrid w:val="0"/>
          <w:kern w:val="22"/>
          <w:rtl/>
        </w:rPr>
      </w:pPr>
      <w:r>
        <w:rPr>
          <w:rFonts w:ascii="Simplified Arabic" w:hAnsi="Simplified Arabic" w:cs="Simplified Arabic"/>
          <w:iCs/>
          <w:snapToGrid w:val="0"/>
          <w:kern w:val="22"/>
          <w:rtl/>
        </w:rPr>
        <w:t>وإذ يشير</w:t>
      </w:r>
      <w:r>
        <w:rPr>
          <w:rFonts w:ascii="Simplified Arabic" w:hAnsi="Simplified Arabic" w:cs="Simplified Arabic" w:hint="cs"/>
          <w:iCs/>
          <w:snapToGrid w:val="0"/>
          <w:kern w:val="22"/>
          <w:rtl/>
          <w:lang w:bidi="ar-EG"/>
        </w:rPr>
        <w:t xml:space="preserve"> أيضا</w:t>
      </w:r>
      <w:r>
        <w:rPr>
          <w:rFonts w:ascii="Simplified Arabic" w:hAnsi="Simplified Arabic" w:cs="Simplified Arabic"/>
          <w:iCs/>
          <w:snapToGrid w:val="0"/>
          <w:kern w:val="22"/>
          <w:rtl/>
        </w:rPr>
        <w:t xml:space="preserve"> </w:t>
      </w:r>
      <w:r w:rsidRPr="005569B2">
        <w:rPr>
          <w:rFonts w:ascii="Simplified Arabic" w:hAnsi="Simplified Arabic" w:cs="Simplified Arabic"/>
          <w:i/>
          <w:snapToGrid w:val="0"/>
          <w:kern w:val="22"/>
          <w:rtl/>
        </w:rPr>
        <w:t>إلى</w:t>
      </w:r>
      <w:r>
        <w:rPr>
          <w:rFonts w:ascii="Simplified Arabic" w:hAnsi="Simplified Arabic" w:cs="Simplified Arabic"/>
          <w:iCs/>
          <w:snapToGrid w:val="0"/>
          <w:kern w:val="22"/>
          <w:rtl/>
        </w:rPr>
        <w:t xml:space="preserve"> </w:t>
      </w:r>
      <w:r>
        <w:rPr>
          <w:rFonts w:ascii="Simplified Arabic" w:hAnsi="Simplified Arabic" w:cs="Simplified Arabic"/>
          <w:i/>
          <w:snapToGrid w:val="0"/>
          <w:kern w:val="22"/>
          <w:rtl/>
        </w:rPr>
        <w:t xml:space="preserve">المقرر </w:t>
      </w:r>
      <w:hyperlink r:id="rId15" w:history="1">
        <w:r w:rsidRPr="005569B2">
          <w:rPr>
            <w:rStyle w:val="Hyperlink"/>
            <w:kern w:val="22"/>
            <w:sz w:val="22"/>
            <w:szCs w:val="22"/>
          </w:rPr>
          <w:t>CP-VIII/17</w:t>
        </w:r>
      </w:hyperlink>
      <w:r>
        <w:rPr>
          <w:rFonts w:ascii="Simplified Arabic" w:hAnsi="Simplified Arabic" w:cs="Simplified Arabic"/>
          <w:i/>
          <w:snapToGrid w:val="0"/>
          <w:kern w:val="22"/>
          <w:rtl/>
        </w:rPr>
        <w:t>،</w:t>
      </w:r>
    </w:p>
    <w:p w14:paraId="36EB4B0E" w14:textId="26CF474E" w:rsidR="005569B2" w:rsidRDefault="005569B2" w:rsidP="00A45406">
      <w:pPr>
        <w:numPr>
          <w:ilvl w:val="6"/>
          <w:numId w:val="44"/>
        </w:numPr>
        <w:bidi/>
        <w:spacing w:after="120" w:line="216" w:lineRule="auto"/>
        <w:ind w:left="0" w:firstLine="720"/>
        <w:jc w:val="lowKashida"/>
        <w:rPr>
          <w:rFonts w:ascii="Simplified Arabic" w:eastAsia="YouYuan" w:hAnsi="Simplified Arabic" w:cs="Simplified Arabic"/>
          <w:color w:val="222222"/>
          <w:kern w:val="2"/>
          <w:rtl/>
          <w:lang w:val="en-US"/>
        </w:rPr>
      </w:pPr>
      <w:r>
        <w:rPr>
          <w:rFonts w:ascii="Simplified Arabic" w:eastAsia="YouYuan" w:hAnsi="Simplified Arabic" w:cs="Simplified Arabic"/>
          <w:i/>
          <w:iCs/>
          <w:color w:val="222222"/>
          <w:kern w:val="2"/>
          <w:rtl/>
          <w:lang w:val="en-US"/>
        </w:rPr>
        <w:t>يحيط علما</w:t>
      </w:r>
      <w:r>
        <w:rPr>
          <w:rFonts w:ascii="Simplified Arabic" w:eastAsia="YouYuan" w:hAnsi="Simplified Arabic" w:cs="Simplified Arabic"/>
          <w:color w:val="222222"/>
          <w:kern w:val="2"/>
          <w:rtl/>
          <w:lang w:val="en-US"/>
        </w:rPr>
        <w:t xml:space="preserve"> بتقييم لجنة الامتثال للمعلومات المقدمة من الأطراف الواردة في غرفة تبادل معلومات السلامة </w:t>
      </w:r>
      <w:bookmarkStart w:id="0" w:name="_GoBack"/>
      <w:bookmarkEnd w:id="0"/>
      <w:r>
        <w:rPr>
          <w:rFonts w:ascii="Simplified Arabic" w:eastAsia="YouYuan" w:hAnsi="Simplified Arabic" w:cs="Simplified Arabic"/>
          <w:color w:val="222222"/>
          <w:kern w:val="2"/>
          <w:rtl/>
          <w:lang w:val="en-US"/>
        </w:rPr>
        <w:t xml:space="preserve">الأحيائية بصفتها </w:t>
      </w:r>
      <w:r w:rsidR="00A45406">
        <w:rPr>
          <w:rFonts w:ascii="Simplified Arabic" w:eastAsia="YouYuan" w:hAnsi="Simplified Arabic" w:cs="Simplified Arabic" w:hint="cs"/>
          <w:color w:val="222222"/>
          <w:kern w:val="2"/>
          <w:rtl/>
          <w:lang w:val="en-US"/>
        </w:rPr>
        <w:t>قرارات</w:t>
      </w:r>
      <w:r>
        <w:rPr>
          <w:rFonts w:ascii="Simplified Arabic" w:eastAsia="YouYuan" w:hAnsi="Simplified Arabic" w:cs="Simplified Arabic"/>
          <w:color w:val="222222"/>
          <w:kern w:val="2"/>
          <w:rtl/>
          <w:lang w:val="en-US"/>
        </w:rPr>
        <w:t xml:space="preserve"> في إطار الاستخدام المعزول؛</w:t>
      </w:r>
      <w:r>
        <w:rPr>
          <w:rStyle w:val="FootnoteReference"/>
          <w:rFonts w:ascii="Simplified Arabic" w:eastAsia="YouYuan" w:hAnsi="Simplified Arabic" w:cs="Simplified Arabic"/>
          <w:color w:val="222222"/>
          <w:kern w:val="2"/>
          <w:rtl/>
          <w:lang w:val="en-US"/>
        </w:rPr>
        <w:footnoteReference w:id="1"/>
      </w:r>
    </w:p>
    <w:p w14:paraId="7BAB1F6A" w14:textId="77777777" w:rsidR="005569B2" w:rsidRDefault="005569B2" w:rsidP="005569B2">
      <w:pPr>
        <w:numPr>
          <w:ilvl w:val="6"/>
          <w:numId w:val="44"/>
        </w:numPr>
        <w:bidi/>
        <w:spacing w:after="120" w:line="216" w:lineRule="auto"/>
        <w:ind w:left="0" w:firstLine="720"/>
        <w:jc w:val="lowKashida"/>
        <w:rPr>
          <w:rFonts w:ascii="Simplified Arabic" w:eastAsia="YouYuan" w:hAnsi="Simplified Arabic" w:cs="Simplified Arabic"/>
          <w:color w:val="222222"/>
          <w:kern w:val="2"/>
          <w:lang w:val="en-US"/>
        </w:rPr>
      </w:pPr>
      <w:r>
        <w:rPr>
          <w:rFonts w:ascii="Simplified Arabic" w:eastAsia="YouYuan" w:hAnsi="Simplified Arabic" w:cs="Simplified Arabic"/>
          <w:i/>
          <w:iCs/>
          <w:color w:val="222222"/>
          <w:kern w:val="2"/>
          <w:rtl/>
          <w:lang w:val="en-US"/>
        </w:rPr>
        <w:t>يذكر</w:t>
      </w:r>
      <w:r>
        <w:rPr>
          <w:rFonts w:ascii="Simplified Arabic" w:eastAsia="YouYuan" w:hAnsi="Simplified Arabic" w:cs="Simplified Arabic"/>
          <w:color w:val="222222"/>
          <w:kern w:val="2"/>
          <w:rtl/>
          <w:lang w:val="en-US"/>
        </w:rPr>
        <w:t xml:space="preserve"> الأطراف بما يلي:</w:t>
      </w:r>
    </w:p>
    <w:p w14:paraId="6EE122B6" w14:textId="507F7564" w:rsidR="005569B2" w:rsidRDefault="005569B2" w:rsidP="005569B2">
      <w:pPr>
        <w:bidi/>
        <w:spacing w:after="120" w:line="216" w:lineRule="auto"/>
        <w:ind w:firstLine="720"/>
        <w:jc w:val="lowKashida"/>
        <w:rPr>
          <w:rFonts w:ascii="Simplified Arabic" w:eastAsia="YouYuan" w:hAnsi="Simplified Arabic" w:cs="Simplified Arabic"/>
          <w:color w:val="222222"/>
          <w:kern w:val="2"/>
          <w:lang w:val="en-US"/>
        </w:rPr>
      </w:pPr>
      <w:r>
        <w:rPr>
          <w:rFonts w:ascii="Simplified Arabic" w:eastAsia="YouYuan" w:hAnsi="Simplified Arabic" w:cs="Simplified Arabic"/>
          <w:color w:val="222222"/>
          <w:kern w:val="2"/>
          <w:rtl/>
          <w:lang w:val="en-US"/>
        </w:rPr>
        <w:t>(أ)</w:t>
      </w:r>
      <w:r>
        <w:rPr>
          <w:rFonts w:ascii="Simplified Arabic" w:eastAsia="YouYuan" w:hAnsi="Simplified Arabic" w:cs="Simplified Arabic"/>
          <w:color w:val="222222"/>
          <w:kern w:val="2"/>
          <w:rtl/>
          <w:lang w:val="en-US"/>
        </w:rPr>
        <w:tab/>
        <w:t xml:space="preserve">تُعرف المادة 3، الفقرة (ب) من </w:t>
      </w:r>
      <w:r>
        <w:rPr>
          <w:rFonts w:ascii="Simplified Arabic" w:eastAsia="YouYuan" w:hAnsi="Simplified Arabic" w:cs="Simplified Arabic" w:hint="cs"/>
          <w:color w:val="222222"/>
          <w:kern w:val="2"/>
          <w:rtl/>
          <w:lang w:val="en-US"/>
        </w:rPr>
        <w:t>ال</w:t>
      </w:r>
      <w:r>
        <w:rPr>
          <w:rFonts w:ascii="Simplified Arabic" w:eastAsia="YouYuan" w:hAnsi="Simplified Arabic" w:cs="Simplified Arabic"/>
          <w:color w:val="222222"/>
          <w:kern w:val="2"/>
          <w:rtl/>
          <w:lang w:val="en-US"/>
        </w:rPr>
        <w:t xml:space="preserve">بروتوكول الاستخدام المعزول، كالآتي: </w:t>
      </w:r>
      <w:r>
        <w:rPr>
          <w:rFonts w:ascii="Simplified Arabic" w:hAnsi="Simplified Arabic" w:cs="Simplified Arabic"/>
          <w:color w:val="222222"/>
          <w:rtl/>
        </w:rPr>
        <w:t>يعني الاستخدام المعزول "أي عملية تتم داخل مرفق أو منشأة أو أي أبنية مادية أخرى وتشتمل على أي كائنات حية محورة خاضعة لتدابير محددة تحد بصورة فعالة من تلامسها مع البيئة الخارجية، وتحد من تأثيرها على تلك البيئة"</w:t>
      </w:r>
      <w:r>
        <w:rPr>
          <w:rFonts w:ascii="Simplified Arabic" w:eastAsia="YouYuan" w:hAnsi="Simplified Arabic" w:cs="Simplified Arabic"/>
          <w:color w:val="222222"/>
          <w:kern w:val="2"/>
          <w:rtl/>
          <w:lang w:val="en-US"/>
        </w:rPr>
        <w:t>؛</w:t>
      </w:r>
    </w:p>
    <w:p w14:paraId="4DFD8E09" w14:textId="77777777" w:rsidR="005569B2" w:rsidRDefault="005569B2" w:rsidP="005569B2">
      <w:pPr>
        <w:bidi/>
        <w:spacing w:after="120" w:line="216" w:lineRule="auto"/>
        <w:ind w:firstLine="720"/>
        <w:rPr>
          <w:rFonts w:ascii="Simplified Arabic" w:eastAsia="YouYuan" w:hAnsi="Simplified Arabic" w:cs="Simplified Arabic"/>
          <w:color w:val="222222"/>
          <w:kern w:val="2"/>
          <w:lang w:val="en-US"/>
        </w:rPr>
      </w:pPr>
      <w:r>
        <w:rPr>
          <w:rFonts w:ascii="Simplified Arabic" w:eastAsia="YouYuan" w:hAnsi="Simplified Arabic" w:cs="Simplified Arabic"/>
          <w:color w:val="222222"/>
          <w:kern w:val="2"/>
          <w:rtl/>
          <w:lang w:val="en-US"/>
        </w:rPr>
        <w:t>(ب)</w:t>
      </w:r>
      <w:r>
        <w:rPr>
          <w:rFonts w:ascii="Simplified Arabic" w:eastAsia="YouYuan" w:hAnsi="Simplified Arabic" w:cs="Simplified Arabic"/>
          <w:color w:val="222222"/>
          <w:kern w:val="2"/>
          <w:rtl/>
          <w:lang w:val="en-US"/>
        </w:rPr>
        <w:tab/>
        <w:t>يمكن أن يشمل الإدخال المتعمد في البيئة الإدخال لأغراض تجريبية أو تجارية على حد سواء؛</w:t>
      </w:r>
    </w:p>
    <w:p w14:paraId="133EDB18" w14:textId="77777777" w:rsidR="005569B2" w:rsidRDefault="005569B2" w:rsidP="005569B2">
      <w:pPr>
        <w:bidi/>
        <w:spacing w:after="120" w:line="216" w:lineRule="auto"/>
        <w:ind w:firstLine="720"/>
        <w:rPr>
          <w:rFonts w:ascii="Simplified Arabic" w:eastAsia="YouYuan" w:hAnsi="Simplified Arabic" w:cs="Simplified Arabic"/>
          <w:color w:val="222222"/>
          <w:kern w:val="2"/>
          <w:sz w:val="20"/>
          <w:lang w:val="en-US"/>
        </w:rPr>
      </w:pPr>
      <w:r>
        <w:rPr>
          <w:rFonts w:ascii="Simplified Arabic" w:eastAsia="YouYuan" w:hAnsi="Simplified Arabic" w:cs="Simplified Arabic"/>
          <w:color w:val="222222"/>
          <w:kern w:val="2"/>
          <w:sz w:val="20"/>
          <w:rtl/>
          <w:lang w:val="en-US"/>
        </w:rPr>
        <w:t>(ج)</w:t>
      </w:r>
      <w:r>
        <w:rPr>
          <w:rFonts w:ascii="Simplified Arabic" w:eastAsia="YouYuan" w:hAnsi="Simplified Arabic" w:cs="Simplified Arabic"/>
          <w:color w:val="222222"/>
          <w:kern w:val="2"/>
          <w:sz w:val="20"/>
          <w:rtl/>
          <w:lang w:val="en-US"/>
        </w:rPr>
        <w:tab/>
        <w:t>تعتبر التجربة الميدانية أو التجربة الميدانية المحدودة أو الإدخال التجريبي بمثابة إدخال متعمد في البيئة عندما لا تُستوفى الشروط المحددة في الفقرة (ب) من المادة 3 من البروتوكول؛</w:t>
      </w:r>
    </w:p>
    <w:p w14:paraId="6D67E9CE" w14:textId="77777777" w:rsidR="005569B2" w:rsidRDefault="005569B2" w:rsidP="005569B2">
      <w:pPr>
        <w:numPr>
          <w:ilvl w:val="6"/>
          <w:numId w:val="44"/>
        </w:numPr>
        <w:bidi/>
        <w:spacing w:after="120" w:line="216" w:lineRule="auto"/>
        <w:ind w:left="0" w:firstLine="720"/>
        <w:jc w:val="lowKashida"/>
        <w:rPr>
          <w:rFonts w:ascii="Simplified Arabic" w:eastAsia="YouYuan" w:hAnsi="Simplified Arabic" w:cs="Simplified Arabic"/>
          <w:color w:val="222222"/>
          <w:kern w:val="2"/>
          <w:rtl/>
          <w:lang w:val="en-US"/>
        </w:rPr>
      </w:pPr>
      <w:r>
        <w:rPr>
          <w:rFonts w:ascii="Simplified Arabic" w:eastAsia="YouYuan" w:hAnsi="Simplified Arabic" w:cs="Simplified Arabic"/>
          <w:i/>
          <w:iCs/>
          <w:color w:val="222222"/>
          <w:kern w:val="2"/>
          <w:rtl/>
          <w:lang w:val="en-US"/>
        </w:rPr>
        <w:t>يذكر</w:t>
      </w:r>
      <w:r>
        <w:rPr>
          <w:rFonts w:ascii="Simplified Arabic" w:eastAsia="YouYuan" w:hAnsi="Simplified Arabic" w:cs="Simplified Arabic"/>
          <w:color w:val="222222"/>
          <w:kern w:val="2"/>
          <w:rtl/>
          <w:lang w:val="en-US"/>
        </w:rPr>
        <w:t xml:space="preserve"> الأطراف </w:t>
      </w:r>
      <w:r>
        <w:rPr>
          <w:rFonts w:ascii="Simplified Arabic" w:eastAsia="YouYuan" w:hAnsi="Simplified Arabic" w:cs="Simplified Arabic"/>
          <w:i/>
          <w:iCs/>
          <w:color w:val="222222"/>
          <w:kern w:val="2"/>
          <w:rtl/>
          <w:lang w:val="en-US"/>
        </w:rPr>
        <w:t>أيضا</w:t>
      </w:r>
      <w:r>
        <w:rPr>
          <w:rFonts w:ascii="Simplified Arabic" w:eastAsia="YouYuan" w:hAnsi="Simplified Arabic" w:cs="Simplified Arabic"/>
          <w:color w:val="222222"/>
          <w:kern w:val="2"/>
          <w:rtl/>
          <w:lang w:val="en-US"/>
        </w:rPr>
        <w:t xml:space="preserve"> بالتزاماتها بموجب الفقرة 3 (د) من المادة 20، </w:t>
      </w:r>
      <w:r>
        <w:rPr>
          <w:rFonts w:ascii="Simplified Arabic" w:eastAsia="YouYuan" w:hAnsi="Simplified Arabic" w:cs="Simplified Arabic"/>
          <w:i/>
          <w:iCs/>
          <w:color w:val="222222"/>
          <w:kern w:val="2"/>
          <w:rtl/>
          <w:lang w:val="en-US"/>
        </w:rPr>
        <w:t>ويشجع</w:t>
      </w:r>
      <w:r>
        <w:rPr>
          <w:rFonts w:ascii="Simplified Arabic" w:eastAsia="YouYuan" w:hAnsi="Simplified Arabic" w:cs="Simplified Arabic"/>
          <w:color w:val="222222"/>
          <w:kern w:val="2"/>
          <w:rtl/>
          <w:lang w:val="en-US"/>
        </w:rPr>
        <w:t xml:space="preserve"> الحكومات الأخرى على نشر قراراتها النهائية بشأن استيراد أو إطلاق الكائنات الحية المحورة في غرفة تبادل معلومات السلامة الأحيائية؛</w:t>
      </w:r>
    </w:p>
    <w:p w14:paraId="4681659E" w14:textId="77777777" w:rsidR="005569B2" w:rsidRDefault="005569B2" w:rsidP="005569B2">
      <w:pPr>
        <w:numPr>
          <w:ilvl w:val="6"/>
          <w:numId w:val="44"/>
        </w:numPr>
        <w:bidi/>
        <w:spacing w:after="120" w:line="216" w:lineRule="auto"/>
        <w:ind w:left="0" w:firstLine="720"/>
        <w:jc w:val="lowKashida"/>
        <w:rPr>
          <w:rFonts w:ascii="Simplified Arabic" w:eastAsia="YouYuan" w:hAnsi="Simplified Arabic" w:cs="Simplified Arabic"/>
          <w:color w:val="222222"/>
          <w:kern w:val="2"/>
          <w:lang w:val="en-US"/>
        </w:rPr>
      </w:pPr>
      <w:r>
        <w:rPr>
          <w:rFonts w:ascii="Simplified Arabic" w:eastAsia="YouYuan" w:hAnsi="Simplified Arabic" w:cs="Simplified Arabic"/>
          <w:i/>
          <w:iCs/>
          <w:color w:val="222222"/>
          <w:kern w:val="2"/>
          <w:rtl/>
          <w:lang w:val="en-US"/>
        </w:rPr>
        <w:lastRenderedPageBreak/>
        <w:t xml:space="preserve">يشجع </w:t>
      </w:r>
      <w:r>
        <w:rPr>
          <w:rFonts w:ascii="Simplified Arabic" w:eastAsia="YouYuan" w:hAnsi="Simplified Arabic" w:cs="Simplified Arabic"/>
          <w:color w:val="222222"/>
          <w:kern w:val="2"/>
          <w:rtl/>
          <w:lang w:val="en-US"/>
        </w:rPr>
        <w:t>الأطراف، والحكومات الأخرى والمنظمات ذات الصلة على التعاون، وتبادل الخبرات وتعزيز تنمية القدرات لدعم تنفيذ تدابير محددة بشأن الاستخدام المعزول الذي يحد بصورة فعالة من تلامس الكائنات الحية المحورة مع البيئة الخارجية ويحد من تأثيرها على تلك البيئة، وفقا للفقرة (ب) من المادة 3 من بروتوكول قرطاجنة.</w:t>
      </w:r>
    </w:p>
    <w:p w14:paraId="26E49804" w14:textId="1158B727" w:rsidR="00645CB7" w:rsidRPr="00DD5891" w:rsidRDefault="00C90471" w:rsidP="002D15BF">
      <w:pPr>
        <w:bidi/>
        <w:spacing w:before="120" w:after="120"/>
        <w:jc w:val="center"/>
        <w:rPr>
          <w:rFonts w:ascii="Simplified Arabic" w:hAnsi="Simplified Arabic" w:cs="Simplified Arabic"/>
          <w:sz w:val="24"/>
          <w:lang w:val="en-US"/>
        </w:rPr>
      </w:pPr>
      <w:r w:rsidRPr="00C90471">
        <w:rPr>
          <w:rFonts w:hint="cs"/>
          <w:b/>
          <w:caps/>
          <w:rtl/>
        </w:rPr>
        <w:t>___________</w:t>
      </w:r>
    </w:p>
    <w:sectPr w:rsidR="00645CB7" w:rsidRPr="00DD5891" w:rsidSect="005569B2">
      <w:headerReference w:type="even" r:id="rId16"/>
      <w:headerReference w:type="default" r:id="rId17"/>
      <w:pgSz w:w="12240" w:h="15840"/>
      <w:pgMar w:top="1134"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304508D3" w14:textId="6E2E4901" w:rsidR="005569B2" w:rsidRPr="005569B2" w:rsidRDefault="005569B2" w:rsidP="005569B2">
      <w:pPr>
        <w:pStyle w:val="FootnoteText"/>
        <w:bidi/>
        <w:spacing w:after="0"/>
        <w:ind w:firstLine="0"/>
        <w:rPr>
          <w:rtl/>
          <w:lang w:val="en-CA" w:bidi="ar-EG"/>
        </w:rPr>
      </w:pPr>
      <w:r>
        <w:rPr>
          <w:rStyle w:val="FootnoteReference"/>
        </w:rPr>
        <w:footnoteRef/>
      </w:r>
      <w:r>
        <w:rPr>
          <w:rFonts w:hint="cs"/>
          <w:rtl/>
        </w:rPr>
        <w:t xml:space="preserve"> انظر </w:t>
      </w:r>
      <w:r>
        <w:rPr>
          <w:lang w:val="en-CA"/>
        </w:rPr>
        <w:t>CBD/CP/MOP/9/2</w:t>
      </w:r>
      <w:r>
        <w:rPr>
          <w:rFonts w:hint="cs"/>
          <w:rtl/>
          <w:lang w:val="en-CA"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2ABAFED0" w:rsidR="004C0258" w:rsidRPr="004C69D2" w:rsidRDefault="00F82D3D" w:rsidP="005569B2">
    <w:pPr>
      <w:pStyle w:val="Header"/>
      <w:jc w:val="right"/>
      <w:rPr>
        <w:lang w:val="en-CA"/>
      </w:rPr>
    </w:pPr>
    <w:r>
      <w:rPr>
        <w:lang w:val="en-CA"/>
      </w:rPr>
      <w:t>CBD/CP/MOP/</w:t>
    </w:r>
    <w:r w:rsidR="00645CB7">
      <w:rPr>
        <w:lang w:val="en-CA"/>
      </w:rPr>
      <w:t>DEC/</w:t>
    </w:r>
    <w:r>
      <w:rPr>
        <w:lang w:val="en-CA"/>
      </w:rPr>
      <w:t>9/</w:t>
    </w:r>
    <w:r w:rsidR="005569B2">
      <w:rPr>
        <w:lang w:val="en-CA"/>
      </w:rPr>
      <w:t>12</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A45406">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60393C40" w:rsidR="004C0258" w:rsidRPr="004C69D2" w:rsidRDefault="00F82D3D" w:rsidP="00DA1336">
    <w:pPr>
      <w:pStyle w:val="Header"/>
      <w:jc w:val="left"/>
      <w:rPr>
        <w:lang w:val="en-CA"/>
      </w:rPr>
    </w:pPr>
    <w:r>
      <w:rPr>
        <w:lang w:val="en-CA"/>
      </w:rPr>
      <w:t>CBD/CP/MOP/</w:t>
    </w:r>
    <w:r w:rsidR="00645CB7">
      <w:rPr>
        <w:lang w:val="en-CA"/>
      </w:rPr>
      <w:t>DEC/</w:t>
    </w:r>
    <w:r>
      <w:rPr>
        <w:lang w:val="en-CA"/>
      </w:rPr>
      <w:t>9/</w:t>
    </w:r>
    <w:r w:rsidR="00C90471">
      <w:rPr>
        <w:lang w:val="en-CA"/>
      </w:rPr>
      <w:t>3</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569B2">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nsid w:val="15952FAD"/>
    <w:multiLevelType w:val="hybridMultilevel"/>
    <w:tmpl w:val="680E5156"/>
    <w:lvl w:ilvl="0" w:tplc="4628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113A7"/>
    <w:multiLevelType w:val="multilevel"/>
    <w:tmpl w:val="48241D10"/>
    <w:numStyleLink w:val="Normallist"/>
  </w:abstractNum>
  <w:abstractNum w:abstractNumId="8">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0C29E9"/>
    <w:multiLevelType w:val="hybridMultilevel"/>
    <w:tmpl w:val="B86A2E08"/>
    <w:lvl w:ilvl="0" w:tplc="AF90D66A">
      <w:start w:val="1"/>
      <w:numFmt w:val="decimal"/>
      <w:lvlText w:val="%1-"/>
      <w:lvlJc w:val="left"/>
      <w:pPr>
        <w:ind w:left="1433" w:hanging="360"/>
      </w:pPr>
      <w:rPr>
        <w:rFonts w:ascii="Times New Roman" w:eastAsia="Times New Roman" w:hAnsi="Times New Roman" w:cs="Times New Roman" w:hint="default"/>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F5E4CFD4">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1">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4">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8">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9">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1">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2">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6">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7">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8">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2">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3">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7"/>
  </w:num>
  <w:num w:numId="2">
    <w:abstractNumId w:val="29"/>
  </w:num>
  <w:num w:numId="3">
    <w:abstractNumId w:val="26"/>
  </w:num>
  <w:num w:numId="4">
    <w:abstractNumId w:val="39"/>
  </w:num>
  <w:num w:numId="5">
    <w:abstractNumId w:val="13"/>
  </w:num>
  <w:num w:numId="6">
    <w:abstractNumId w:val="33"/>
  </w:num>
  <w:num w:numId="7">
    <w:abstractNumId w:val="10"/>
  </w:num>
  <w:num w:numId="8">
    <w:abstractNumId w:val="18"/>
  </w:num>
  <w:num w:numId="9">
    <w:abstractNumId w:val="42"/>
  </w:num>
  <w:num w:numId="10">
    <w:abstractNumId w:val="28"/>
  </w:num>
  <w:num w:numId="11">
    <w:abstractNumId w:val="30"/>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num>
  <w:num w:numId="1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
  </w:num>
  <w:num w:numId="18">
    <w:abstractNumId w:val="38"/>
  </w:num>
  <w:num w:numId="19">
    <w:abstractNumId w:val="31"/>
  </w:num>
  <w:num w:numId="20">
    <w:abstractNumId w:val="7"/>
  </w:num>
  <w:num w:numId="21">
    <w:abstractNumId w:val="0"/>
  </w:num>
  <w:num w:numId="22">
    <w:abstractNumId w:val="5"/>
  </w:num>
  <w:num w:numId="23">
    <w:abstractNumId w:val="20"/>
  </w:num>
  <w:num w:numId="24">
    <w:abstractNumId w:val="41"/>
  </w:num>
  <w:num w:numId="25">
    <w:abstractNumId w:val="8"/>
  </w:num>
  <w:num w:numId="26">
    <w:abstractNumId w:val="34"/>
  </w:num>
  <w:num w:numId="27">
    <w:abstractNumId w:val="16"/>
  </w:num>
  <w:num w:numId="28">
    <w:abstractNumId w:val="14"/>
  </w:num>
  <w:num w:numId="29">
    <w:abstractNumId w:val="12"/>
  </w:num>
  <w:num w:numId="30">
    <w:abstractNumId w:val="27"/>
  </w:num>
  <w:num w:numId="31">
    <w:abstractNumId w:val="24"/>
  </w:num>
  <w:num w:numId="32">
    <w:abstractNumId w:val="35"/>
  </w:num>
  <w:num w:numId="33">
    <w:abstractNumId w:val="36"/>
  </w:num>
  <w:num w:numId="34">
    <w:abstractNumId w:val="2"/>
  </w:num>
  <w:num w:numId="35">
    <w:abstractNumId w:val="11"/>
  </w:num>
  <w:num w:numId="36">
    <w:abstractNumId w:val="25"/>
  </w:num>
  <w:num w:numId="37">
    <w:abstractNumId w:val="19"/>
  </w:num>
  <w:num w:numId="38">
    <w:abstractNumId w:val="21"/>
  </w:num>
  <w:num w:numId="39">
    <w:abstractNumId w:val="15"/>
  </w:num>
  <w:num w:numId="40">
    <w:abstractNumId w:val="4"/>
  </w:num>
  <w:num w:numId="41">
    <w:abstractNumId w:val="37"/>
  </w:num>
  <w:num w:numId="42">
    <w:abstractNumId w:val="3"/>
  </w:num>
  <w:num w:numId="43">
    <w:abstractNumId w:val="6"/>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31E7A"/>
    <w:rsid w:val="001372FB"/>
    <w:rsid w:val="00172AF6"/>
    <w:rsid w:val="00176CEE"/>
    <w:rsid w:val="001B3854"/>
    <w:rsid w:val="001B6CF5"/>
    <w:rsid w:val="00236D69"/>
    <w:rsid w:val="002D15BF"/>
    <w:rsid w:val="002E3296"/>
    <w:rsid w:val="003378E3"/>
    <w:rsid w:val="00361392"/>
    <w:rsid w:val="00372F74"/>
    <w:rsid w:val="0037689F"/>
    <w:rsid w:val="003B2B69"/>
    <w:rsid w:val="003D290D"/>
    <w:rsid w:val="003F7224"/>
    <w:rsid w:val="00405146"/>
    <w:rsid w:val="0042412C"/>
    <w:rsid w:val="00427D21"/>
    <w:rsid w:val="00433DE1"/>
    <w:rsid w:val="004644C2"/>
    <w:rsid w:val="00467F9C"/>
    <w:rsid w:val="0047558D"/>
    <w:rsid w:val="004A221D"/>
    <w:rsid w:val="004A6265"/>
    <w:rsid w:val="004C0258"/>
    <w:rsid w:val="004C69D2"/>
    <w:rsid w:val="004D5D03"/>
    <w:rsid w:val="005224E3"/>
    <w:rsid w:val="00534681"/>
    <w:rsid w:val="005569B2"/>
    <w:rsid w:val="0059306F"/>
    <w:rsid w:val="005B19D8"/>
    <w:rsid w:val="006122BA"/>
    <w:rsid w:val="0061445E"/>
    <w:rsid w:val="00645CB7"/>
    <w:rsid w:val="00654313"/>
    <w:rsid w:val="00655368"/>
    <w:rsid w:val="006A0F84"/>
    <w:rsid w:val="006B2290"/>
    <w:rsid w:val="006F1189"/>
    <w:rsid w:val="006F6E55"/>
    <w:rsid w:val="00717D88"/>
    <w:rsid w:val="0074103A"/>
    <w:rsid w:val="007942D3"/>
    <w:rsid w:val="007A3583"/>
    <w:rsid w:val="007B342F"/>
    <w:rsid w:val="007B6C09"/>
    <w:rsid w:val="007E09DA"/>
    <w:rsid w:val="007E10ED"/>
    <w:rsid w:val="007E73F7"/>
    <w:rsid w:val="008178B6"/>
    <w:rsid w:val="008640AC"/>
    <w:rsid w:val="00865B74"/>
    <w:rsid w:val="00883B12"/>
    <w:rsid w:val="008C1D56"/>
    <w:rsid w:val="00904233"/>
    <w:rsid w:val="00930BA1"/>
    <w:rsid w:val="0093169E"/>
    <w:rsid w:val="009505C9"/>
    <w:rsid w:val="00993063"/>
    <w:rsid w:val="0099414B"/>
    <w:rsid w:val="00994FAC"/>
    <w:rsid w:val="009C200D"/>
    <w:rsid w:val="00A45406"/>
    <w:rsid w:val="00A75926"/>
    <w:rsid w:val="00A92307"/>
    <w:rsid w:val="00AC4591"/>
    <w:rsid w:val="00B3369F"/>
    <w:rsid w:val="00B33DB6"/>
    <w:rsid w:val="00B777EE"/>
    <w:rsid w:val="00BB33F4"/>
    <w:rsid w:val="00BC4923"/>
    <w:rsid w:val="00C90471"/>
    <w:rsid w:val="00C9161D"/>
    <w:rsid w:val="00CF1848"/>
    <w:rsid w:val="00CF4661"/>
    <w:rsid w:val="00D12044"/>
    <w:rsid w:val="00D20864"/>
    <w:rsid w:val="00D76A18"/>
    <w:rsid w:val="00DA1336"/>
    <w:rsid w:val="00DD118C"/>
    <w:rsid w:val="00DD5891"/>
    <w:rsid w:val="00E24022"/>
    <w:rsid w:val="00E66235"/>
    <w:rsid w:val="00E83C24"/>
    <w:rsid w:val="00E9318D"/>
    <w:rsid w:val="00EC7130"/>
    <w:rsid w:val="00F21124"/>
    <w:rsid w:val="00F82D3D"/>
    <w:rsid w:val="00F94774"/>
    <w:rsid w:val="00FC53DB"/>
    <w:rsid w:val="00FE7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 w:type="character" w:customStyle="1" w:styleId="UnresolvedMention">
    <w:name w:val="Unresolved Mention"/>
    <w:basedOn w:val="DefaultParagraphFont"/>
    <w:uiPriority w:val="99"/>
    <w:semiHidden/>
    <w:unhideWhenUsed/>
    <w:rsid w:val="00C90471"/>
    <w:rPr>
      <w:color w:val="605E5C"/>
      <w:shd w:val="clear" w:color="auto" w:fill="E1DFDD"/>
    </w:rPr>
  </w:style>
  <w:style w:type="table" w:customStyle="1" w:styleId="TableGrid2">
    <w:name w:val="Table Grid2"/>
    <w:basedOn w:val="TableNormal"/>
    <w:next w:val="TableGrid"/>
    <w:uiPriority w:val="39"/>
    <w:rsid w:val="00C9047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 w:type="character" w:customStyle="1" w:styleId="UnresolvedMention">
    <w:name w:val="Unresolved Mention"/>
    <w:basedOn w:val="DefaultParagraphFont"/>
    <w:uiPriority w:val="99"/>
    <w:semiHidden/>
    <w:unhideWhenUsed/>
    <w:rsid w:val="00C90471"/>
    <w:rPr>
      <w:color w:val="605E5C"/>
      <w:shd w:val="clear" w:color="auto" w:fill="E1DFDD"/>
    </w:rPr>
  </w:style>
  <w:style w:type="table" w:customStyle="1" w:styleId="TableGrid2">
    <w:name w:val="Table Grid2"/>
    <w:basedOn w:val="TableNormal"/>
    <w:next w:val="TableGrid"/>
    <w:uiPriority w:val="39"/>
    <w:rsid w:val="00C9047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13471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ch.cbd.int/protocol/decisions/?decisionID=1231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bch.cbd.int/protocol/decisions/?decisionID=13545"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ch.cbd.int/protocol/decisions/?decisionID=13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8CD21-4F97-4C0B-BF24-E5DF0C63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4</cp:revision>
  <cp:lastPrinted>2019-02-11T03:46:00Z</cp:lastPrinted>
  <dcterms:created xsi:type="dcterms:W3CDTF">2019-02-11T01:46:00Z</dcterms:created>
  <dcterms:modified xsi:type="dcterms:W3CDTF">2019-02-11T03:47:00Z</dcterms:modified>
  <cp:contentStatus>GENERAL</cp:contentStatus>
</cp:coreProperties>
</file>