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503E92">
        <w:trPr>
          <w:trHeight w:val="709"/>
        </w:trPr>
        <w:tc>
          <w:tcPr>
            <w:tcW w:w="976" w:type="dxa"/>
            <w:tcBorders>
              <w:bottom w:val="single" w:sz="12" w:space="0" w:color="auto"/>
            </w:tcBorders>
          </w:tcPr>
          <w:p w:rsidR="00503E92" w:rsidRDefault="00F866CC">
            <w:pPr>
              <w:rPr>
                <w:kern w:val="22"/>
                <w:lang w:val="es-ES"/>
              </w:rPr>
            </w:pPr>
            <w:r>
              <w:rPr>
                <w:noProof/>
                <w:snapToGrid/>
                <w:kern w:val="22"/>
                <w:lang w:val="es-UY" w:eastAsia="es-UY"/>
              </w:rPr>
              <w:drawing>
                <wp:inline distT="0" distB="0" distL="0" distR="0">
                  <wp:extent cx="431800" cy="368300"/>
                  <wp:effectExtent l="19050" t="0" r="635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srcRect/>
                          <a:stretch>
                            <a:fillRect/>
                          </a:stretch>
                        </pic:blipFill>
                        <pic:spPr bwMode="auto">
                          <a:xfrm>
                            <a:off x="0" y="0"/>
                            <a:ext cx="431800" cy="36830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503E92" w:rsidRDefault="00F866CC">
            <w:pPr>
              <w:rPr>
                <w:kern w:val="22"/>
                <w:lang w:val="es-ES"/>
              </w:rPr>
            </w:pPr>
            <w:r>
              <w:rPr>
                <w:noProof/>
                <w:snapToGrid/>
                <w:kern w:val="22"/>
                <w:lang w:val="es-UY" w:eastAsia="es-UY"/>
              </w:rPr>
              <w:drawing>
                <wp:inline distT="0" distB="0" distL="0" distR="0">
                  <wp:extent cx="342900" cy="393700"/>
                  <wp:effectExtent l="19050" t="0" r="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8" cstate="print"/>
                          <a:srcRect/>
                          <a:stretch>
                            <a:fillRect/>
                          </a:stretch>
                        </pic:blipFill>
                        <pic:spPr bwMode="auto">
                          <a:xfrm>
                            <a:off x="0" y="0"/>
                            <a:ext cx="342900" cy="39370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503E92" w:rsidRDefault="00503E92">
            <w:pPr>
              <w:jc w:val="right"/>
              <w:rPr>
                <w:rFonts w:ascii="Arial" w:hAnsi="Arial"/>
                <w:b/>
                <w:kern w:val="22"/>
                <w:sz w:val="32"/>
                <w:lang w:val="es-ES"/>
              </w:rPr>
            </w:pPr>
            <w:r>
              <w:rPr>
                <w:rFonts w:ascii="Arial" w:hAnsi="Arial"/>
                <w:b/>
                <w:noProof/>
                <w:kern w:val="22"/>
                <w:sz w:val="32"/>
                <w:lang w:val="es-ES"/>
              </w:rPr>
              <w:t>CBD</w:t>
            </w:r>
          </w:p>
        </w:tc>
      </w:tr>
      <w:tr w:rsidR="00503E92">
        <w:tc>
          <w:tcPr>
            <w:tcW w:w="6117" w:type="dxa"/>
            <w:gridSpan w:val="2"/>
            <w:tcBorders>
              <w:top w:val="single" w:sz="12" w:space="0" w:color="auto"/>
              <w:bottom w:val="single" w:sz="36" w:space="0" w:color="auto"/>
            </w:tcBorders>
            <w:vAlign w:val="center"/>
          </w:tcPr>
          <w:p w:rsidR="00503E92" w:rsidRDefault="00F866CC">
            <w:pPr>
              <w:rPr>
                <w:kern w:val="22"/>
                <w:lang w:val="es-ES"/>
              </w:rPr>
            </w:pPr>
            <w:r>
              <w:rPr>
                <w:noProof/>
                <w:snapToGrid/>
                <w:kern w:val="22"/>
                <w:lang w:val="es-UY" w:eastAsia="es-UY"/>
              </w:rPr>
              <w:drawing>
                <wp:inline distT="0" distB="0" distL="0" distR="0">
                  <wp:extent cx="2908300" cy="1041400"/>
                  <wp:effectExtent l="19050" t="0" r="635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srcRect/>
                          <a:stretch>
                            <a:fillRect/>
                          </a:stretch>
                        </pic:blipFill>
                        <pic:spPr bwMode="auto">
                          <a:xfrm>
                            <a:off x="0" y="0"/>
                            <a:ext cx="2908300" cy="104140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503E92" w:rsidRDefault="00503E92">
            <w:pPr>
              <w:ind w:left="1215"/>
              <w:jc w:val="left"/>
              <w:rPr>
                <w:kern w:val="22"/>
                <w:lang w:val="es-ES"/>
              </w:rPr>
            </w:pPr>
            <w:r>
              <w:rPr>
                <w:noProof/>
                <w:kern w:val="22"/>
                <w:lang w:val="es-ES"/>
              </w:rPr>
              <w:t>Distr.</w:t>
            </w:r>
          </w:p>
          <w:p w:rsidR="00503E92" w:rsidRDefault="00503E92">
            <w:pPr>
              <w:ind w:left="1215"/>
              <w:jc w:val="left"/>
              <w:rPr>
                <w:kern w:val="22"/>
                <w:lang w:val="es-ES"/>
              </w:rPr>
            </w:pPr>
            <w:r>
              <w:rPr>
                <w:noProof/>
                <w:kern w:val="22"/>
                <w:lang w:val="es-ES"/>
              </w:rPr>
              <w:t>GENERAL</w:t>
            </w:r>
          </w:p>
          <w:p w:rsidR="00503E92" w:rsidRDefault="00503E92">
            <w:pPr>
              <w:ind w:left="1215"/>
              <w:jc w:val="left"/>
              <w:rPr>
                <w:kern w:val="22"/>
                <w:lang w:val="es-ES"/>
              </w:rPr>
            </w:pPr>
          </w:p>
          <w:p w:rsidR="00503E92" w:rsidRDefault="00503E92">
            <w:pPr>
              <w:ind w:left="1215"/>
              <w:jc w:val="left"/>
              <w:rPr>
                <w:kern w:val="22"/>
                <w:lang w:val="es-ES"/>
              </w:rPr>
            </w:pPr>
            <w:r>
              <w:rPr>
                <w:noProof/>
                <w:kern w:val="22"/>
                <w:lang w:val="es-ES"/>
              </w:rPr>
              <w:t>CBD/CP/MOP/DEC/9/11</w:t>
            </w:r>
          </w:p>
          <w:p w:rsidR="00503E92" w:rsidRDefault="00503E92">
            <w:pPr>
              <w:ind w:left="1215"/>
              <w:jc w:val="left"/>
              <w:rPr>
                <w:kern w:val="22"/>
                <w:lang w:val="es-ES"/>
              </w:rPr>
            </w:pPr>
            <w:r>
              <w:rPr>
                <w:noProof/>
                <w:kern w:val="22"/>
                <w:lang w:val="es-ES"/>
              </w:rPr>
              <w:t>30 de noviembre de 2018</w:t>
            </w:r>
          </w:p>
          <w:p w:rsidR="00503E92" w:rsidRDefault="00503E92">
            <w:pPr>
              <w:ind w:left="1215"/>
              <w:jc w:val="left"/>
              <w:rPr>
                <w:kern w:val="22"/>
                <w:lang w:val="es-ES"/>
              </w:rPr>
            </w:pPr>
          </w:p>
          <w:p w:rsidR="00503E92" w:rsidRDefault="00503E92">
            <w:pPr>
              <w:ind w:left="1215"/>
              <w:jc w:val="left"/>
              <w:rPr>
                <w:kern w:val="22"/>
                <w:lang w:val="es-ES"/>
              </w:rPr>
            </w:pPr>
            <w:r>
              <w:rPr>
                <w:noProof/>
                <w:kern w:val="22"/>
                <w:lang w:val="es-ES"/>
              </w:rPr>
              <w:t>ESPAÑOL</w:t>
            </w:r>
          </w:p>
          <w:p w:rsidR="00503E92" w:rsidRDefault="00503E92">
            <w:pPr>
              <w:ind w:left="1215"/>
              <w:jc w:val="left"/>
              <w:rPr>
                <w:kern w:val="22"/>
                <w:lang w:val="es-ES"/>
              </w:rPr>
            </w:pPr>
            <w:r>
              <w:rPr>
                <w:noProof/>
                <w:kern w:val="22"/>
                <w:lang w:val="es-ES"/>
              </w:rPr>
              <w:t>ORIGINAL:</w:t>
            </w:r>
            <w:r>
              <w:rPr>
                <w:kern w:val="22"/>
                <w:lang w:val="es-ES"/>
              </w:rPr>
              <w:t xml:space="preserve"> </w:t>
            </w:r>
            <w:r>
              <w:rPr>
                <w:noProof/>
                <w:kern w:val="22"/>
                <w:lang w:val="es-ES"/>
              </w:rPr>
              <w:t>INGLÉS</w:t>
            </w:r>
          </w:p>
          <w:p w:rsidR="00503E92" w:rsidRDefault="00503E92">
            <w:pPr>
              <w:jc w:val="left"/>
              <w:rPr>
                <w:kern w:val="22"/>
                <w:lang w:val="es-ES"/>
              </w:rPr>
            </w:pPr>
          </w:p>
        </w:tc>
      </w:tr>
    </w:tbl>
    <w:p w:rsidR="00503E92" w:rsidRDefault="00503E92">
      <w:pPr>
        <w:pStyle w:val="Cornernotation"/>
        <w:suppressLineNumbers/>
        <w:suppressAutoHyphens/>
        <w:kinsoku w:val="0"/>
        <w:overflowPunct w:val="0"/>
        <w:autoSpaceDE w:val="0"/>
        <w:autoSpaceDN w:val="0"/>
        <w:spacing w:before="60"/>
        <w:ind w:left="227" w:right="3780" w:hanging="227"/>
        <w:rPr>
          <w:kern w:val="22"/>
          <w:lang w:val="es-ES"/>
        </w:rPr>
      </w:pPr>
      <w:bookmarkStart w:id="0" w:name="_Hlk530040340"/>
      <w:r>
        <w:rPr>
          <w:noProof/>
          <w:kern w:val="22"/>
          <w:lang w:val="es-ES"/>
        </w:rPr>
        <w:t>CONFERENCIA DE LAS PARTES EN EL CONVENIO SOBRE LA DIVERSIDAD BIOLÓGICA QUE ACTÚA COMO REUNIÓN DE LAS PARTES EN EL PROTOCOLO DE CARTAGENA SOBRE SEGURIDAD DE LA BIOTECNOLOGÍA</w:t>
      </w:r>
    </w:p>
    <w:p w:rsidR="00503E92" w:rsidRDefault="00503E92">
      <w:pPr>
        <w:pStyle w:val="Cornernotation"/>
        <w:suppressLineNumbers/>
        <w:suppressAutoHyphens/>
        <w:kinsoku w:val="0"/>
        <w:overflowPunct w:val="0"/>
        <w:autoSpaceDE w:val="0"/>
        <w:autoSpaceDN w:val="0"/>
        <w:ind w:left="0" w:right="4512" w:firstLine="0"/>
        <w:rPr>
          <w:kern w:val="22"/>
          <w:lang w:val="es-ES"/>
        </w:rPr>
      </w:pPr>
      <w:r>
        <w:rPr>
          <w:noProof/>
          <w:kern w:val="22"/>
          <w:lang w:val="es-ES"/>
        </w:rPr>
        <w:t>Novena reunión</w:t>
      </w:r>
    </w:p>
    <w:p w:rsidR="00503E92" w:rsidRDefault="00503E92">
      <w:pPr>
        <w:suppressLineNumbers/>
        <w:suppressAutoHyphens/>
        <w:kinsoku w:val="0"/>
        <w:overflowPunct w:val="0"/>
        <w:autoSpaceDE w:val="0"/>
        <w:autoSpaceDN w:val="0"/>
        <w:rPr>
          <w:kern w:val="22"/>
          <w:lang w:val="es-ES"/>
        </w:rPr>
      </w:pPr>
      <w:bookmarkStart w:id="1" w:name="_Hlk505863673"/>
      <w:r>
        <w:rPr>
          <w:noProof/>
          <w:kern w:val="22"/>
          <w:lang w:val="es-ES"/>
        </w:rPr>
        <w:t>Sharm el-Sheikh (Egipto), 17 a 29 de noviembre de 2018</w:t>
      </w:r>
      <w:bookmarkEnd w:id="1"/>
    </w:p>
    <w:bookmarkEnd w:id="0"/>
    <w:p w:rsidR="00503E92" w:rsidRDefault="00503E92">
      <w:pPr>
        <w:pStyle w:val="Cornernotation"/>
        <w:ind w:right="3973"/>
        <w:rPr>
          <w:kern w:val="22"/>
          <w:lang w:val="es-ES"/>
        </w:rPr>
      </w:pPr>
      <w:r>
        <w:rPr>
          <w:noProof/>
          <w:color w:val="000000"/>
          <w:kern w:val="22"/>
          <w:lang w:val="es-ES"/>
        </w:rPr>
        <w:t>Tema 16 del programa</w:t>
      </w:r>
    </w:p>
    <w:p w:rsidR="00503E92" w:rsidRDefault="00503E92">
      <w:pPr>
        <w:pStyle w:val="Heading1"/>
        <w:tabs>
          <w:tab w:val="clear" w:pos="720"/>
        </w:tabs>
        <w:rPr>
          <w:rFonts w:ascii="Times New Roman Bold" w:hAnsi="Times New Roman Bold"/>
          <w:kern w:val="22"/>
          <w:lang w:val="es-ES"/>
        </w:rPr>
      </w:pPr>
      <w:r>
        <w:rPr>
          <w:rFonts w:ascii="Times New Roman Bold" w:hAnsi="Times New Roman Bold"/>
          <w:noProof/>
          <w:kern w:val="22"/>
        </w:rPr>
        <w:t>Decisión adoptada por las Partes en el Protocolo de Cartagena sobre seguridad de la Biotecnología</w:t>
      </w:r>
    </w:p>
    <w:p w:rsidR="00503E92" w:rsidRPr="00F02BA5" w:rsidRDefault="00503E92">
      <w:pPr>
        <w:pStyle w:val="recommendationheader"/>
        <w:rPr>
          <w:bCs w:val="0"/>
          <w:iCs w:val="0"/>
          <w:kern w:val="22"/>
          <w:lang w:val="es-ES"/>
        </w:rPr>
      </w:pPr>
      <w:bookmarkStart w:id="2" w:name="_Hlk530319274"/>
      <w:r w:rsidRPr="00F02BA5">
        <w:rPr>
          <w:bCs w:val="0"/>
          <w:iCs w:val="0"/>
          <w:kern w:val="22"/>
          <w:lang w:val="es-ES"/>
        </w:rPr>
        <w:t>9/11.</w:t>
      </w:r>
      <w:r w:rsidRPr="00F02BA5">
        <w:rPr>
          <w:bCs w:val="0"/>
          <w:iCs w:val="0"/>
          <w:kern w:val="22"/>
          <w:lang w:val="es-ES"/>
        </w:rPr>
        <w:tab/>
        <w:t>Movimientos transfronterizos involuntarios y medidas de emergencia (artículo 17)</w:t>
      </w:r>
    </w:p>
    <w:bookmarkEnd w:id="2"/>
    <w:p w:rsidR="00503E92" w:rsidRDefault="00503E92">
      <w:pPr>
        <w:tabs>
          <w:tab w:val="left" w:pos="426"/>
        </w:tabs>
        <w:spacing w:before="120" w:after="120"/>
        <w:ind w:firstLine="720"/>
        <w:rPr>
          <w:i/>
          <w:kern w:val="22"/>
          <w:lang w:val="es-ES"/>
        </w:rPr>
      </w:pPr>
      <w:r>
        <w:rPr>
          <w:i/>
          <w:kern w:val="22"/>
          <w:lang w:val="es-ES"/>
        </w:rPr>
        <w:t xml:space="preserve">La Conferencia de </w:t>
      </w:r>
      <w:r w:rsidR="000E772A">
        <w:rPr>
          <w:i/>
          <w:kern w:val="22"/>
          <w:lang w:val="es-ES"/>
        </w:rPr>
        <w:t xml:space="preserve">las </w:t>
      </w:r>
      <w:r>
        <w:rPr>
          <w:i/>
          <w:kern w:val="22"/>
          <w:lang w:val="es-ES"/>
        </w:rPr>
        <w:t>Partes que actúa como reunión de las Partes en el Protocolo de Cartagena sobre Seguridad de la Biotecnología</w:t>
      </w:r>
    </w:p>
    <w:p w:rsidR="00503E92" w:rsidRDefault="00503E92">
      <w:pPr>
        <w:numPr>
          <w:ilvl w:val="0"/>
          <w:numId w:val="19"/>
        </w:numPr>
        <w:spacing w:before="120" w:after="120"/>
        <w:ind w:left="0" w:firstLine="720"/>
        <w:rPr>
          <w:kern w:val="22"/>
          <w:lang w:val="es-ES"/>
        </w:rPr>
      </w:pPr>
      <w:r>
        <w:rPr>
          <w:i/>
          <w:kern w:val="22"/>
          <w:lang w:val="es-ES"/>
        </w:rPr>
        <w:t>Reconoce</w:t>
      </w:r>
      <w:r>
        <w:rPr>
          <w:kern w:val="22"/>
          <w:lang w:val="es-ES"/>
        </w:rPr>
        <w:t xml:space="preserve"> que la falta de marcos de seguridad de la biotecnología que estén plenamente operativos podría afectar la capacidad de algunas Partes para aplicar disposiciones referidas al artículo 17;</w:t>
      </w:r>
    </w:p>
    <w:p w:rsidR="00503E92" w:rsidRDefault="00503E92">
      <w:pPr>
        <w:numPr>
          <w:ilvl w:val="0"/>
          <w:numId w:val="19"/>
        </w:numPr>
        <w:ind w:left="0" w:firstLine="720"/>
        <w:rPr>
          <w:kern w:val="22"/>
          <w:lang w:val="es-ES"/>
        </w:rPr>
      </w:pPr>
      <w:r>
        <w:rPr>
          <w:i/>
          <w:kern w:val="22"/>
          <w:lang w:val="es-ES"/>
        </w:rPr>
        <w:t>Toma nota</w:t>
      </w:r>
      <w:r>
        <w:rPr>
          <w:kern w:val="22"/>
          <w:lang w:val="es-ES"/>
        </w:rPr>
        <w:t xml:space="preserve"> del proyecto de manual de capacitación sobre detección e identificación de organismos vivos modificados</w:t>
      </w:r>
      <w:r w:rsidRPr="000E772A">
        <w:rPr>
          <w:rFonts w:eastAsia="MS Gothic"/>
          <w:kern w:val="22"/>
          <w:sz w:val="18"/>
          <w:szCs w:val="18"/>
          <w:vertAlign w:val="superscript"/>
          <w:lang w:val="es-ES"/>
        </w:rPr>
        <w:footnoteReference w:id="1"/>
      </w:r>
      <w:r>
        <w:rPr>
          <w:kern w:val="22"/>
          <w:lang w:val="es-ES"/>
        </w:rPr>
        <w:t xml:space="preserve"> </w:t>
      </w:r>
      <w:r w:rsidR="00494258">
        <w:rPr>
          <w:kern w:val="22"/>
          <w:lang w:val="es-ES"/>
        </w:rPr>
        <w:t xml:space="preserve">que se propone </w:t>
      </w:r>
      <w:r>
        <w:rPr>
          <w:kern w:val="22"/>
          <w:lang w:val="es-ES"/>
        </w:rPr>
        <w:t>como herramienta para la creación de capacidad en esta esfera;</w:t>
      </w:r>
    </w:p>
    <w:p w:rsidR="00503E92" w:rsidRDefault="00503E92">
      <w:pPr>
        <w:numPr>
          <w:ilvl w:val="0"/>
          <w:numId w:val="19"/>
        </w:numPr>
        <w:spacing w:before="120" w:after="120"/>
        <w:ind w:left="0" w:firstLine="720"/>
        <w:rPr>
          <w:kern w:val="22"/>
          <w:lang w:val="es-ES"/>
        </w:rPr>
      </w:pPr>
      <w:r>
        <w:rPr>
          <w:i/>
          <w:kern w:val="22"/>
          <w:lang w:val="es-ES"/>
        </w:rPr>
        <w:t>Alienta</w:t>
      </w:r>
      <w:r>
        <w:rPr>
          <w:kern w:val="22"/>
          <w:lang w:val="es-ES"/>
        </w:rPr>
        <w:t xml:space="preserve"> a las Partes a que, en el contexto del artículo 17, y de conformidad con la legislación nacional, </w:t>
      </w:r>
      <w:r w:rsidR="00BA7AF4">
        <w:rPr>
          <w:kern w:val="22"/>
          <w:lang w:val="es-ES"/>
        </w:rPr>
        <w:t>requieran</w:t>
      </w:r>
      <w:r>
        <w:rPr>
          <w:kern w:val="22"/>
          <w:lang w:val="es-ES"/>
        </w:rPr>
        <w:t xml:space="preserve"> </w:t>
      </w:r>
      <w:r w:rsidR="00BA7AF4">
        <w:rPr>
          <w:kern w:val="22"/>
          <w:lang w:val="es-ES"/>
        </w:rPr>
        <w:t>que e</w:t>
      </w:r>
      <w:r>
        <w:rPr>
          <w:kern w:val="22"/>
          <w:lang w:val="es-ES"/>
        </w:rPr>
        <w:t>l operador responsable</w:t>
      </w:r>
      <w:r>
        <w:rPr>
          <w:rStyle w:val="FootnoteReference"/>
          <w:kern w:val="22"/>
          <w:lang w:val="es-ES"/>
        </w:rPr>
        <w:footnoteReference w:id="2"/>
      </w:r>
      <w:r>
        <w:rPr>
          <w:kern w:val="22"/>
          <w:lang w:val="es-ES"/>
        </w:rPr>
        <w:t xml:space="preserve"> facilite información o </w:t>
      </w:r>
      <w:r w:rsidR="00BA7AF4">
        <w:rPr>
          <w:kern w:val="22"/>
          <w:lang w:val="es-ES"/>
        </w:rPr>
        <w:t xml:space="preserve">brinde </w:t>
      </w:r>
      <w:r>
        <w:rPr>
          <w:kern w:val="22"/>
          <w:lang w:val="es-ES"/>
        </w:rPr>
        <w:t xml:space="preserve">acceso, ya sea directo o indirecto, a materiales de referencia que permitan realizar el trabajo de laboratorio </w:t>
      </w:r>
      <w:r w:rsidR="00BA7AF4">
        <w:rPr>
          <w:kern w:val="22"/>
          <w:lang w:val="es-ES"/>
        </w:rPr>
        <w:t>para la</w:t>
      </w:r>
      <w:r>
        <w:rPr>
          <w:kern w:val="22"/>
          <w:lang w:val="es-ES"/>
        </w:rPr>
        <w:t xml:space="preserve"> detección e identificación de </w:t>
      </w:r>
      <w:r w:rsidR="00BA7AF4">
        <w:rPr>
          <w:kern w:val="22"/>
          <w:lang w:val="es-ES"/>
        </w:rPr>
        <w:t>tales</w:t>
      </w:r>
      <w:r>
        <w:rPr>
          <w:kern w:val="22"/>
          <w:lang w:val="es-ES"/>
        </w:rPr>
        <w:t xml:space="preserve"> organismos con fines regulatorios;</w:t>
      </w:r>
    </w:p>
    <w:p w:rsidR="00503E92" w:rsidRDefault="00503E92">
      <w:pPr>
        <w:numPr>
          <w:ilvl w:val="0"/>
          <w:numId w:val="19"/>
        </w:numPr>
        <w:spacing w:before="120" w:after="120"/>
        <w:ind w:left="0" w:firstLine="720"/>
        <w:rPr>
          <w:kern w:val="22"/>
          <w:lang w:val="es-ES"/>
        </w:rPr>
      </w:pPr>
      <w:r>
        <w:rPr>
          <w:i/>
          <w:kern w:val="22"/>
          <w:lang w:val="es-ES"/>
        </w:rPr>
        <w:t xml:space="preserve">Alienta </w:t>
      </w:r>
      <w:r>
        <w:rPr>
          <w:kern w:val="22"/>
          <w:lang w:val="es-ES"/>
        </w:rPr>
        <w:t xml:space="preserve">a las Partes e </w:t>
      </w:r>
      <w:r>
        <w:rPr>
          <w:i/>
          <w:kern w:val="22"/>
          <w:lang w:val="es-ES"/>
        </w:rPr>
        <w:t>invita</w:t>
      </w:r>
      <w:r>
        <w:rPr>
          <w:kern w:val="22"/>
          <w:lang w:val="es-ES"/>
        </w:rPr>
        <w:t xml:space="preserve"> a otros Gobiernos y organizaciones pertinentes a que faciliten fondos para la capacitación de personal de laboratorio en la esfera de detección e identificación de organismos vivos modificados, y continúen participando en redes regionales y subregionales en materia de detección e identificación de organismos vivos modificados;</w:t>
      </w:r>
    </w:p>
    <w:p w:rsidR="00503E92" w:rsidRDefault="00503E92">
      <w:pPr>
        <w:numPr>
          <w:ilvl w:val="0"/>
          <w:numId w:val="19"/>
        </w:numPr>
        <w:spacing w:before="120" w:after="120"/>
        <w:ind w:left="0" w:firstLine="720"/>
        <w:rPr>
          <w:kern w:val="22"/>
          <w:lang w:val="es-ES"/>
        </w:rPr>
      </w:pPr>
      <w:r>
        <w:rPr>
          <w:i/>
          <w:kern w:val="22"/>
          <w:lang w:val="es-ES"/>
        </w:rPr>
        <w:t>Invita</w:t>
      </w:r>
      <w:r>
        <w:rPr>
          <w:kern w:val="22"/>
          <w:lang w:val="es-ES"/>
        </w:rPr>
        <w:t xml:space="preserve"> a las Partes a que proporcionen a la Secretaria Ejecutiva: a) información sobre sus capacidades y necesidades en materia de detección e identificación de organismos vivos modificados y b) una lista de laboratorios que incluya información sobre las actividades específicas que llevan a cabo esos laboratorios;</w:t>
      </w:r>
    </w:p>
    <w:p w:rsidR="00503E92" w:rsidRDefault="00503E92">
      <w:pPr>
        <w:numPr>
          <w:ilvl w:val="0"/>
          <w:numId w:val="19"/>
        </w:numPr>
        <w:spacing w:before="120" w:after="120"/>
        <w:ind w:left="0" w:firstLine="720"/>
        <w:rPr>
          <w:kern w:val="22"/>
          <w:lang w:val="es-ES"/>
        </w:rPr>
      </w:pPr>
      <w:r>
        <w:rPr>
          <w:i/>
          <w:kern w:val="22"/>
          <w:lang w:val="es-ES"/>
        </w:rPr>
        <w:t xml:space="preserve">Invita </w:t>
      </w:r>
      <w:r>
        <w:rPr>
          <w:kern w:val="22"/>
          <w:lang w:val="es-ES"/>
        </w:rPr>
        <w:t>al Fondo para el Medio Ambiente Mundial y a otros organismos de financiación pertinentes a que brinden f</w:t>
      </w:r>
      <w:r w:rsidR="00BA7AF4">
        <w:rPr>
          <w:kern w:val="22"/>
          <w:lang w:val="es-ES"/>
        </w:rPr>
        <w:t>o</w:t>
      </w:r>
      <w:r>
        <w:rPr>
          <w:kern w:val="22"/>
          <w:lang w:val="es-ES"/>
        </w:rPr>
        <w:t>n</w:t>
      </w:r>
      <w:r w:rsidR="00BA7AF4">
        <w:rPr>
          <w:kern w:val="22"/>
          <w:lang w:val="es-ES"/>
        </w:rPr>
        <w:t>dos</w:t>
      </w:r>
      <w:r>
        <w:rPr>
          <w:kern w:val="22"/>
          <w:lang w:val="es-ES"/>
        </w:rPr>
        <w:t xml:space="preserve"> para proyectos regionales, incluidos proyectos dirigidos a crear capacidad</w:t>
      </w:r>
      <w:r w:rsidR="00494258">
        <w:rPr>
          <w:kern w:val="22"/>
          <w:lang w:val="es-ES"/>
        </w:rPr>
        <w:t>es</w:t>
      </w:r>
      <w:r>
        <w:rPr>
          <w:kern w:val="22"/>
          <w:lang w:val="es-ES"/>
        </w:rPr>
        <w:t xml:space="preserve"> científica</w:t>
      </w:r>
      <w:r w:rsidR="00494258">
        <w:rPr>
          <w:kern w:val="22"/>
          <w:lang w:val="es-ES"/>
        </w:rPr>
        <w:t>s</w:t>
      </w:r>
      <w:r>
        <w:rPr>
          <w:kern w:val="22"/>
          <w:lang w:val="es-ES"/>
        </w:rPr>
        <w:t xml:space="preserve"> que p</w:t>
      </w:r>
      <w:r w:rsidR="00BA7AF4">
        <w:rPr>
          <w:kern w:val="22"/>
          <w:lang w:val="es-ES"/>
        </w:rPr>
        <w:t>o</w:t>
      </w:r>
      <w:r>
        <w:rPr>
          <w:kern w:val="22"/>
          <w:lang w:val="es-ES"/>
        </w:rPr>
        <w:t>d</w:t>
      </w:r>
      <w:r w:rsidR="00BA7AF4">
        <w:rPr>
          <w:kern w:val="22"/>
          <w:lang w:val="es-ES"/>
        </w:rPr>
        <w:t>rí</w:t>
      </w:r>
      <w:r>
        <w:rPr>
          <w:kern w:val="22"/>
          <w:lang w:val="es-ES"/>
        </w:rPr>
        <w:t>a</w:t>
      </w:r>
      <w:r w:rsidR="00494258">
        <w:rPr>
          <w:kern w:val="22"/>
          <w:lang w:val="es-ES"/>
        </w:rPr>
        <w:t>n</w:t>
      </w:r>
      <w:r>
        <w:rPr>
          <w:kern w:val="22"/>
          <w:lang w:val="es-ES"/>
        </w:rPr>
        <w:t xml:space="preserve"> apoyar </w:t>
      </w:r>
      <w:r w:rsidR="00494258">
        <w:rPr>
          <w:kern w:val="22"/>
          <w:lang w:val="es-ES"/>
        </w:rPr>
        <w:t xml:space="preserve">las </w:t>
      </w:r>
      <w:r w:rsidR="00BA7AF4">
        <w:rPr>
          <w:kern w:val="22"/>
          <w:lang w:val="es-ES"/>
        </w:rPr>
        <w:t>med</w:t>
      </w:r>
      <w:r>
        <w:rPr>
          <w:kern w:val="22"/>
          <w:lang w:val="es-ES"/>
        </w:rPr>
        <w:t xml:space="preserve">idas </w:t>
      </w:r>
      <w:r w:rsidR="00494258">
        <w:rPr>
          <w:kern w:val="22"/>
          <w:lang w:val="es-ES"/>
        </w:rPr>
        <w:t>de los</w:t>
      </w:r>
      <w:r>
        <w:rPr>
          <w:kern w:val="22"/>
          <w:lang w:val="es-ES"/>
        </w:rPr>
        <w:t xml:space="preserve"> </w:t>
      </w:r>
      <w:r w:rsidR="00494258">
        <w:rPr>
          <w:kern w:val="22"/>
          <w:lang w:val="es-ES"/>
        </w:rPr>
        <w:t xml:space="preserve">países </w:t>
      </w:r>
      <w:r w:rsidR="002F6C04">
        <w:rPr>
          <w:kern w:val="22"/>
          <w:lang w:val="es-ES"/>
        </w:rPr>
        <w:t>en materia de</w:t>
      </w:r>
      <w:r>
        <w:rPr>
          <w:kern w:val="22"/>
          <w:lang w:val="es-ES"/>
        </w:rPr>
        <w:t xml:space="preserve"> detección e </w:t>
      </w:r>
      <w:r>
        <w:rPr>
          <w:kern w:val="22"/>
          <w:lang w:val="es-ES"/>
        </w:rPr>
        <w:lastRenderedPageBreak/>
        <w:t xml:space="preserve">identificación de organismos vivos modificados y, en particular, fomentar el intercambio Norte-Sur y Sur-Sur de experiencias y </w:t>
      </w:r>
      <w:r w:rsidR="00BA7AF4">
        <w:rPr>
          <w:kern w:val="22"/>
          <w:lang w:val="es-ES"/>
        </w:rPr>
        <w:t>aprendizajes</w:t>
      </w:r>
      <w:r>
        <w:rPr>
          <w:kern w:val="22"/>
          <w:lang w:val="es-ES"/>
        </w:rPr>
        <w:t>;</w:t>
      </w:r>
    </w:p>
    <w:p w:rsidR="00503E92" w:rsidRDefault="00503E92">
      <w:pPr>
        <w:numPr>
          <w:ilvl w:val="0"/>
          <w:numId w:val="19"/>
        </w:numPr>
        <w:spacing w:before="120" w:after="120"/>
        <w:ind w:left="0" w:firstLine="720"/>
        <w:rPr>
          <w:kern w:val="22"/>
          <w:lang w:val="es-ES"/>
        </w:rPr>
      </w:pPr>
      <w:r>
        <w:rPr>
          <w:i/>
          <w:kern w:val="22"/>
          <w:lang w:val="es-ES"/>
        </w:rPr>
        <w:t>Pide</w:t>
      </w:r>
      <w:r>
        <w:rPr>
          <w:kern w:val="22"/>
          <w:lang w:val="es-ES"/>
        </w:rPr>
        <w:t xml:space="preserve"> a la Secretaria Ejecutiva que:</w:t>
      </w:r>
    </w:p>
    <w:p w:rsidR="00503E92" w:rsidRDefault="00503E92">
      <w:pPr>
        <w:numPr>
          <w:ilvl w:val="0"/>
          <w:numId w:val="30"/>
        </w:numPr>
        <w:spacing w:before="120" w:after="120"/>
        <w:ind w:left="0" w:firstLine="720"/>
        <w:rPr>
          <w:kern w:val="22"/>
          <w:lang w:val="es-ES"/>
        </w:rPr>
      </w:pPr>
      <w:r>
        <w:rPr>
          <w:kern w:val="22"/>
          <w:lang w:val="es-ES"/>
        </w:rPr>
        <w:t>Siga rec</w:t>
      </w:r>
      <w:r w:rsidR="00965BAF">
        <w:rPr>
          <w:kern w:val="22"/>
          <w:lang w:val="es-ES"/>
        </w:rPr>
        <w:t>ab</w:t>
      </w:r>
      <w:r>
        <w:rPr>
          <w:kern w:val="22"/>
          <w:lang w:val="es-ES"/>
        </w:rPr>
        <w:t xml:space="preserve">ando información pertinente para la detección e identificación de organismos vivos modificados y que la publique en el Centro de Intercambio de Información sobre Seguridad de la Biotecnología </w:t>
      </w:r>
      <w:r w:rsidR="00965BAF">
        <w:rPr>
          <w:kern w:val="22"/>
          <w:lang w:val="es-ES"/>
        </w:rPr>
        <w:t>en un formato de</w:t>
      </w:r>
      <w:r>
        <w:rPr>
          <w:kern w:val="22"/>
          <w:lang w:val="es-ES"/>
        </w:rPr>
        <w:t xml:space="preserve"> fácil</w:t>
      </w:r>
      <w:r w:rsidR="00965BAF">
        <w:rPr>
          <w:kern w:val="22"/>
          <w:lang w:val="es-ES"/>
        </w:rPr>
        <w:t xml:space="preserve"> </w:t>
      </w:r>
      <w:r>
        <w:rPr>
          <w:kern w:val="22"/>
          <w:lang w:val="es-ES"/>
        </w:rPr>
        <w:t>a</w:t>
      </w:r>
      <w:r w:rsidR="00965BAF">
        <w:rPr>
          <w:kern w:val="22"/>
          <w:lang w:val="es-ES"/>
        </w:rPr>
        <w:t>cceso</w:t>
      </w:r>
      <w:r>
        <w:rPr>
          <w:kern w:val="22"/>
          <w:lang w:val="es-ES"/>
        </w:rPr>
        <w:t>;</w:t>
      </w:r>
    </w:p>
    <w:p w:rsidR="00503E92" w:rsidRDefault="00503E92">
      <w:pPr>
        <w:numPr>
          <w:ilvl w:val="0"/>
          <w:numId w:val="30"/>
        </w:numPr>
        <w:spacing w:before="120" w:after="120"/>
        <w:ind w:left="0" w:firstLine="720"/>
        <w:rPr>
          <w:kern w:val="22"/>
          <w:lang w:val="es-ES"/>
        </w:rPr>
      </w:pPr>
      <w:r>
        <w:rPr>
          <w:kern w:val="22"/>
          <w:lang w:val="es-ES"/>
        </w:rPr>
        <w:t>Revise el manual sobre detección e identificación de organismos vivos modificados y lo termine de elaborar, asegurándose de que sea coherente con la letra y el alcance del artículo 17 del Protocolo de Cartagena;</w:t>
      </w:r>
    </w:p>
    <w:p w:rsidR="00503E92" w:rsidRDefault="00503E92">
      <w:pPr>
        <w:numPr>
          <w:ilvl w:val="0"/>
          <w:numId w:val="30"/>
        </w:numPr>
        <w:spacing w:before="120" w:after="120"/>
        <w:ind w:left="0" w:firstLine="720"/>
        <w:rPr>
          <w:kern w:val="22"/>
          <w:lang w:val="es-ES"/>
        </w:rPr>
      </w:pPr>
      <w:r>
        <w:rPr>
          <w:kern w:val="22"/>
          <w:lang w:val="es-ES"/>
        </w:rPr>
        <w:t xml:space="preserve">Sintetice la información brindada por las Partes en respuesta al párrafo 5 anterior para que la Conferencia de las Partes que actúa como reunión de las Partes la examine en su décima reunión, y que refleje </w:t>
      </w:r>
      <w:r w:rsidR="002F6C04">
        <w:rPr>
          <w:kern w:val="22"/>
          <w:lang w:val="es-ES"/>
        </w:rPr>
        <w:t>es</w:t>
      </w:r>
      <w:r>
        <w:rPr>
          <w:kern w:val="22"/>
          <w:lang w:val="es-ES"/>
        </w:rPr>
        <w:t>a información en el plan de acción de creación de capacidad para el marco posterior a 2020, según proceda;</w:t>
      </w:r>
    </w:p>
    <w:p w:rsidR="00503E92" w:rsidRDefault="00503E92">
      <w:pPr>
        <w:pStyle w:val="ListParagraph"/>
        <w:numPr>
          <w:ilvl w:val="0"/>
          <w:numId w:val="19"/>
        </w:numPr>
        <w:spacing w:before="120" w:after="120"/>
        <w:ind w:firstLine="65"/>
        <w:contextualSpacing w:val="0"/>
        <w:rPr>
          <w:kern w:val="22"/>
          <w:lang w:val="es-ES"/>
        </w:rPr>
      </w:pPr>
      <w:r>
        <w:rPr>
          <w:i/>
          <w:kern w:val="22"/>
          <w:lang w:val="es-ES"/>
        </w:rPr>
        <w:t xml:space="preserve">Pide </w:t>
      </w:r>
      <w:r>
        <w:rPr>
          <w:kern w:val="22"/>
          <w:lang w:val="es-ES"/>
        </w:rPr>
        <w:t>a la Secretaria Ejecutiva que, con sujeción a la disponibilidad de recursos:</w:t>
      </w:r>
    </w:p>
    <w:p w:rsidR="00503E92" w:rsidRDefault="00503E92">
      <w:pPr>
        <w:pStyle w:val="ListParagraph"/>
        <w:numPr>
          <w:ilvl w:val="0"/>
          <w:numId w:val="31"/>
        </w:numPr>
        <w:tabs>
          <w:tab w:val="left" w:pos="90"/>
        </w:tabs>
        <w:spacing w:before="120" w:after="120"/>
        <w:ind w:left="0" w:firstLine="720"/>
        <w:rPr>
          <w:kern w:val="22"/>
          <w:lang w:val="es-ES"/>
        </w:rPr>
      </w:pPr>
      <w:r>
        <w:rPr>
          <w:kern w:val="22"/>
          <w:lang w:val="es-ES"/>
        </w:rPr>
        <w:t>Siga facilitando debates en línea de la Red de Laboratorios para la Detección e Identificación de Organismos Vivos Modificados y reuniones presenciales, según proceda;</w:t>
      </w:r>
    </w:p>
    <w:p w:rsidR="00503E92" w:rsidRDefault="00965BAF">
      <w:pPr>
        <w:numPr>
          <w:ilvl w:val="0"/>
          <w:numId w:val="31"/>
        </w:numPr>
        <w:spacing w:before="120" w:after="120"/>
        <w:ind w:left="0" w:firstLine="720"/>
        <w:rPr>
          <w:kern w:val="22"/>
          <w:lang w:val="es-ES"/>
        </w:rPr>
      </w:pPr>
      <w:r>
        <w:rPr>
          <w:kern w:val="22"/>
          <w:lang w:val="es-ES"/>
        </w:rPr>
        <w:t>Continúe su</w:t>
      </w:r>
      <w:r w:rsidR="00494258">
        <w:rPr>
          <w:kern w:val="22"/>
          <w:lang w:val="es-ES"/>
        </w:rPr>
        <w:t xml:space="preserve"> labor</w:t>
      </w:r>
      <w:r w:rsidR="00503E92">
        <w:rPr>
          <w:kern w:val="22"/>
          <w:lang w:val="es-ES"/>
        </w:rPr>
        <w:t xml:space="preserve"> </w:t>
      </w:r>
      <w:r>
        <w:rPr>
          <w:kern w:val="22"/>
          <w:lang w:val="es-ES"/>
        </w:rPr>
        <w:t>de</w:t>
      </w:r>
      <w:r w:rsidR="00503E92">
        <w:rPr>
          <w:kern w:val="22"/>
          <w:lang w:val="es-ES"/>
        </w:rPr>
        <w:t xml:space="preserve"> colabora</w:t>
      </w:r>
      <w:r>
        <w:rPr>
          <w:kern w:val="22"/>
          <w:lang w:val="es-ES"/>
        </w:rPr>
        <w:t>ción</w:t>
      </w:r>
      <w:r w:rsidR="00503E92">
        <w:rPr>
          <w:kern w:val="22"/>
          <w:lang w:val="es-ES"/>
        </w:rPr>
        <w:t xml:space="preserve"> con organizaciones pertinentes y </w:t>
      </w:r>
      <w:r>
        <w:rPr>
          <w:kern w:val="22"/>
          <w:lang w:val="es-ES"/>
        </w:rPr>
        <w:t>de</w:t>
      </w:r>
      <w:r w:rsidR="00503E92">
        <w:rPr>
          <w:kern w:val="22"/>
          <w:lang w:val="es-ES"/>
        </w:rPr>
        <w:t xml:space="preserve"> crea</w:t>
      </w:r>
      <w:r>
        <w:rPr>
          <w:kern w:val="22"/>
          <w:lang w:val="es-ES"/>
        </w:rPr>
        <w:t>ción de</w:t>
      </w:r>
      <w:r w:rsidR="00503E92">
        <w:rPr>
          <w:kern w:val="22"/>
          <w:lang w:val="es-ES"/>
        </w:rPr>
        <w:t xml:space="preserve"> capacidad </w:t>
      </w:r>
      <w:r w:rsidR="00494258">
        <w:rPr>
          <w:kern w:val="22"/>
          <w:lang w:val="es-ES"/>
        </w:rPr>
        <w:t>en</w:t>
      </w:r>
      <w:r>
        <w:rPr>
          <w:kern w:val="22"/>
          <w:lang w:val="es-ES"/>
        </w:rPr>
        <w:t xml:space="preserve"> países en desarrollo </w:t>
      </w:r>
      <w:r w:rsidR="00503E92">
        <w:rPr>
          <w:kern w:val="22"/>
          <w:lang w:val="es-ES"/>
        </w:rPr>
        <w:t>en materia de detección e identificación de organismos vivos modificados en el contexto del artículo</w:t>
      </w:r>
      <w:r>
        <w:rPr>
          <w:kern w:val="22"/>
          <w:lang w:val="es-ES"/>
        </w:rPr>
        <w:t xml:space="preserve"> </w:t>
      </w:r>
      <w:r w:rsidR="00503E92">
        <w:rPr>
          <w:kern w:val="22"/>
          <w:lang w:val="es-ES"/>
        </w:rPr>
        <w:t xml:space="preserve">17, centrándose en particular en </w:t>
      </w:r>
      <w:r w:rsidR="00494258">
        <w:rPr>
          <w:kern w:val="22"/>
          <w:lang w:val="es-ES"/>
        </w:rPr>
        <w:t>aquel</w:t>
      </w:r>
      <w:r w:rsidR="00503E92">
        <w:rPr>
          <w:kern w:val="22"/>
          <w:lang w:val="es-ES"/>
        </w:rPr>
        <w:t>las regiones que</w:t>
      </w:r>
      <w:r w:rsidR="00494258">
        <w:rPr>
          <w:kern w:val="22"/>
          <w:lang w:val="es-ES"/>
        </w:rPr>
        <w:t xml:space="preserve"> </w:t>
      </w:r>
      <w:r w:rsidR="00503E92">
        <w:rPr>
          <w:kern w:val="22"/>
          <w:lang w:val="es-ES"/>
        </w:rPr>
        <w:t>no ha</w:t>
      </w:r>
      <w:r w:rsidR="00494258">
        <w:rPr>
          <w:kern w:val="22"/>
          <w:lang w:val="es-ES"/>
        </w:rPr>
        <w:t>ya</w:t>
      </w:r>
      <w:r w:rsidR="00503E92">
        <w:rPr>
          <w:kern w:val="22"/>
          <w:lang w:val="es-ES"/>
        </w:rPr>
        <w:t xml:space="preserve">n participado </w:t>
      </w:r>
      <w:r w:rsidR="00494258">
        <w:rPr>
          <w:kern w:val="22"/>
          <w:lang w:val="es-ES"/>
        </w:rPr>
        <w:t xml:space="preserve">aún </w:t>
      </w:r>
      <w:r w:rsidR="00503E92">
        <w:rPr>
          <w:kern w:val="22"/>
          <w:lang w:val="es-ES"/>
        </w:rPr>
        <w:t xml:space="preserve">en las actividades </w:t>
      </w:r>
      <w:r w:rsidR="00494258">
        <w:rPr>
          <w:kern w:val="22"/>
          <w:lang w:val="es-ES"/>
        </w:rPr>
        <w:t xml:space="preserve">recientes </w:t>
      </w:r>
      <w:r w:rsidR="00503E92">
        <w:rPr>
          <w:kern w:val="22"/>
          <w:lang w:val="es-ES"/>
        </w:rPr>
        <w:t xml:space="preserve">de creación de capacidad </w:t>
      </w:r>
      <w:r w:rsidR="00494258">
        <w:rPr>
          <w:kern w:val="22"/>
          <w:lang w:val="es-ES"/>
        </w:rPr>
        <w:t>sobre</w:t>
      </w:r>
      <w:r w:rsidR="00503E92">
        <w:rPr>
          <w:kern w:val="22"/>
          <w:lang w:val="es-ES"/>
        </w:rPr>
        <w:t xml:space="preserve"> este tema.</w:t>
      </w:r>
    </w:p>
    <w:p w:rsidR="00503E92" w:rsidRDefault="00503E92">
      <w:pPr>
        <w:pStyle w:val="ListParagraph"/>
        <w:rPr>
          <w:kern w:val="22"/>
          <w:lang w:val="es-ES"/>
        </w:rPr>
      </w:pPr>
    </w:p>
    <w:p w:rsidR="00503E92" w:rsidRDefault="00503E92">
      <w:pPr>
        <w:pStyle w:val="ListParagraph"/>
        <w:jc w:val="center"/>
        <w:rPr>
          <w:kern w:val="22"/>
          <w:lang w:val="es-ES"/>
        </w:rPr>
      </w:pPr>
      <w:r>
        <w:rPr>
          <w:kern w:val="22"/>
          <w:lang w:val="es-ES"/>
        </w:rPr>
        <w:t>__________</w:t>
      </w:r>
    </w:p>
    <w:p w:rsidR="00503E92" w:rsidRDefault="00503E92">
      <w:pPr>
        <w:rPr>
          <w:kern w:val="22"/>
          <w:lang w:val="es-ES"/>
        </w:rPr>
      </w:pPr>
    </w:p>
    <w:sectPr w:rsidR="00503E92">
      <w:headerReference w:type="even" r:id="rId10"/>
      <w:headerReference w:type="default" r:id="rId11"/>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740" w:rsidRDefault="00F15740">
      <w:r>
        <w:separator/>
      </w:r>
    </w:p>
  </w:endnote>
  <w:endnote w:type="continuationSeparator" w:id="0">
    <w:p w:rsidR="00F15740" w:rsidRDefault="00F15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20000003" w:usb1="00000000" w:usb2="00000000" w:usb3="00000000" w:csb0="000001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740" w:rsidRDefault="00F15740">
      <w:r>
        <w:separator/>
      </w:r>
    </w:p>
  </w:footnote>
  <w:footnote w:type="continuationSeparator" w:id="0">
    <w:p w:rsidR="00F15740" w:rsidRDefault="00F15740">
      <w:r>
        <w:continuationSeparator/>
      </w:r>
    </w:p>
  </w:footnote>
  <w:footnote w:id="1">
    <w:p w:rsidR="00503E92" w:rsidRPr="000E772A" w:rsidRDefault="00503E92">
      <w:pPr>
        <w:pStyle w:val="FootnoteText"/>
        <w:ind w:firstLine="0"/>
        <w:jc w:val="left"/>
        <w:rPr>
          <w:szCs w:val="18"/>
        </w:rPr>
      </w:pPr>
      <w:r w:rsidRPr="000E772A">
        <w:rPr>
          <w:rStyle w:val="FootnoteReference"/>
          <w:rFonts w:eastAsia="MS Gothic"/>
          <w:kern w:val="18"/>
          <w:sz w:val="18"/>
          <w:szCs w:val="18"/>
          <w:lang w:val="es-ES"/>
        </w:rPr>
        <w:footnoteRef/>
      </w:r>
      <w:r w:rsidRPr="000E772A">
        <w:rPr>
          <w:kern w:val="18"/>
          <w:szCs w:val="18"/>
          <w:lang w:val="es-ES"/>
        </w:rPr>
        <w:t xml:space="preserve"> </w:t>
      </w:r>
      <w:r w:rsidR="00494258">
        <w:rPr>
          <w:kern w:val="18"/>
          <w:szCs w:val="18"/>
          <w:lang w:val="es-ES"/>
        </w:rPr>
        <w:t>El proyecto de manual figura</w:t>
      </w:r>
      <w:r w:rsidRPr="000E772A">
        <w:rPr>
          <w:kern w:val="18"/>
          <w:szCs w:val="18"/>
          <w:lang w:val="es-ES"/>
        </w:rPr>
        <w:t xml:space="preserve"> en el documento </w:t>
      </w:r>
      <w:r w:rsidRPr="000E772A">
        <w:rPr>
          <w:color w:val="000000"/>
          <w:kern w:val="22"/>
          <w:szCs w:val="18"/>
          <w:lang w:val="es-ES"/>
        </w:rPr>
        <w:t>CBD/CP/MOP/9/8/Add.1.</w:t>
      </w:r>
    </w:p>
  </w:footnote>
  <w:footnote w:id="2">
    <w:p w:rsidR="00503E92" w:rsidRPr="000E772A" w:rsidRDefault="00503E92">
      <w:pPr>
        <w:pStyle w:val="FootnoteText"/>
        <w:ind w:firstLine="0"/>
        <w:jc w:val="left"/>
        <w:rPr>
          <w:szCs w:val="18"/>
        </w:rPr>
      </w:pPr>
      <w:r w:rsidRPr="000E772A">
        <w:rPr>
          <w:rStyle w:val="FootnoteReference"/>
          <w:kern w:val="18"/>
          <w:sz w:val="18"/>
          <w:szCs w:val="18"/>
          <w:lang w:val="es-ES"/>
        </w:rPr>
        <w:footnoteRef/>
      </w:r>
      <w:r w:rsidRPr="000E772A">
        <w:rPr>
          <w:kern w:val="18"/>
          <w:szCs w:val="18"/>
          <w:lang w:val="es-ES"/>
        </w:rPr>
        <w:t xml:space="preserve"> Por “operador” se entiende toda persona que tenga control directo o indirecto del organismo vivo modificado, lo que </w:t>
      </w:r>
      <w:r w:rsidR="00965BAF">
        <w:rPr>
          <w:kern w:val="18"/>
          <w:szCs w:val="18"/>
          <w:lang w:val="es-ES"/>
        </w:rPr>
        <w:t xml:space="preserve">podría </w:t>
      </w:r>
      <w:r w:rsidRPr="000E772A">
        <w:rPr>
          <w:kern w:val="18"/>
          <w:szCs w:val="18"/>
          <w:lang w:val="es-ES"/>
        </w:rPr>
        <w:t>incluir, según proceda y conforme a lo establecido en la legislación nacional, entre otros</w:t>
      </w:r>
      <w:r w:rsidR="00965BAF">
        <w:rPr>
          <w:kern w:val="18"/>
          <w:szCs w:val="18"/>
          <w:lang w:val="es-ES"/>
        </w:rPr>
        <w:t>,</w:t>
      </w:r>
      <w:r w:rsidRPr="000E772A">
        <w:rPr>
          <w:kern w:val="18"/>
          <w:szCs w:val="18"/>
          <w:lang w:val="es-ES"/>
        </w:rPr>
        <w:t xml:space="preserve"> al titular del permiso, la persona que introdujo el organismo vivo modificado en el mercado, el que lo desarrolló, el productor, el notificador, el exportador, el importador, el transportista o el proveedor.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92" w:rsidRDefault="00503E92">
    <w:pPr>
      <w:pStyle w:val="Header"/>
      <w:tabs>
        <w:tab w:val="clear" w:pos="4320"/>
        <w:tab w:val="clear" w:pos="8640"/>
      </w:tabs>
      <w:jc w:val="left"/>
      <w:rPr>
        <w:kern w:val="22"/>
        <w:lang w:val="es-ES"/>
      </w:rPr>
    </w:pPr>
    <w:r>
      <w:rPr>
        <w:kern w:val="22"/>
        <w:lang w:val="es-ES"/>
      </w:rPr>
      <w:t>CBD/CP/MOP/DEC/9/11</w:t>
    </w:r>
  </w:p>
  <w:p w:rsidR="00503E92" w:rsidRDefault="00503E92">
    <w:pPr>
      <w:pStyle w:val="Header"/>
      <w:tabs>
        <w:tab w:val="clear" w:pos="4320"/>
        <w:tab w:val="clear" w:pos="8640"/>
      </w:tabs>
      <w:jc w:val="left"/>
      <w:rPr>
        <w:kern w:val="22"/>
        <w:lang w:val="es-ES"/>
      </w:rPr>
    </w:pPr>
    <w:r>
      <w:rPr>
        <w:kern w:val="22"/>
        <w:lang w:val="es-ES"/>
      </w:rPr>
      <w:t xml:space="preserve">Página </w:t>
    </w:r>
    <w:r>
      <w:rPr>
        <w:kern w:val="22"/>
        <w:lang w:val="es-ES"/>
      </w:rPr>
      <w:fldChar w:fldCharType="begin"/>
    </w:r>
    <w:r>
      <w:rPr>
        <w:kern w:val="22"/>
        <w:lang w:val="es-ES"/>
      </w:rPr>
      <w:instrText xml:space="preserve"> PAGE   \* MERGEFORMAT </w:instrText>
    </w:r>
    <w:r>
      <w:rPr>
        <w:kern w:val="22"/>
        <w:lang w:val="es-ES"/>
      </w:rPr>
      <w:fldChar w:fldCharType="separate"/>
    </w:r>
    <w:r w:rsidR="002F6C04" w:rsidRPr="002F6C04">
      <w:rPr>
        <w:noProof/>
        <w:kern w:val="22"/>
      </w:rPr>
      <w:t>2</w:t>
    </w:r>
    <w:r>
      <w:rPr>
        <w:kern w:val="22"/>
        <w:lang w:val="es-ES"/>
      </w:rPr>
      <w:fldChar w:fldCharType="end"/>
    </w:r>
  </w:p>
  <w:p w:rsidR="00503E92" w:rsidRDefault="00503E92">
    <w:pPr>
      <w:pStyle w:val="Header"/>
      <w:tabs>
        <w:tab w:val="clear" w:pos="4320"/>
        <w:tab w:val="clear" w:pos="8640"/>
      </w:tabs>
      <w:jc w:val="left"/>
      <w:rPr>
        <w:kern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92" w:rsidRDefault="00503E92">
    <w:pPr>
      <w:pStyle w:val="Header"/>
      <w:jc w:val="right"/>
      <w:rPr>
        <w:lang w:val="fr-FR"/>
      </w:rPr>
    </w:pPr>
    <w:r>
      <w:rPr>
        <w:lang w:val="fr-FR"/>
      </w:rPr>
      <w:t>CBD/CP/MOP/DEC/9/11</w:t>
    </w:r>
  </w:p>
  <w:p w:rsidR="00503E92" w:rsidRDefault="00503E92">
    <w:pPr>
      <w:pStyle w:val="Header"/>
      <w:jc w:val="right"/>
      <w:rPr>
        <w:lang w:val="fr-FR"/>
      </w:rPr>
    </w:pPr>
    <w:r>
      <w:rPr>
        <w:lang w:val="fr-FR"/>
      </w:rPr>
      <w:t xml:space="preserve">Page </w:t>
    </w:r>
    <w:r>
      <w:rPr>
        <w:lang w:val="fr-FR"/>
      </w:rPr>
      <w:fldChar w:fldCharType="begin"/>
    </w:r>
    <w:r>
      <w:rPr>
        <w:lang w:val="fr-FR"/>
      </w:rPr>
      <w:instrText xml:space="preserve"> PAGE   \* MERGEFORMAT </w:instrText>
    </w:r>
    <w:r>
      <w:rPr>
        <w:lang w:val="fr-FR"/>
      </w:rPr>
      <w:fldChar w:fldCharType="separate"/>
    </w:r>
    <w:r>
      <w:rPr>
        <w:noProof/>
      </w:rPr>
      <w:t>1</w:t>
    </w:r>
    <w:r>
      <w:rPr>
        <w:lang w:val="fr-FR"/>
      </w:rPr>
      <w:fldChar w:fldCharType="end"/>
    </w:r>
  </w:p>
  <w:p w:rsidR="00503E92" w:rsidRDefault="00503E92">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5D9"/>
    <w:multiLevelType w:val="hybridMultilevel"/>
    <w:tmpl w:val="4978CCDE"/>
    <w:lvl w:ilvl="0" w:tplc="B704B318">
      <w:start w:val="1"/>
      <w:numFmt w:val="lowerLetter"/>
      <w:lvlText w:val="%1)"/>
      <w:lvlJc w:val="left"/>
      <w:pPr>
        <w:tabs>
          <w:tab w:val="num" w:pos="-76"/>
        </w:tabs>
        <w:ind w:left="644"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1567868"/>
    <w:multiLevelType w:val="hybridMultilevel"/>
    <w:tmpl w:val="A5AA06B8"/>
    <w:lvl w:ilvl="0" w:tplc="2456457E">
      <w:start w:val="1"/>
      <w:numFmt w:val="decimal"/>
      <w:lvlText w:val="%1."/>
      <w:lvlJc w:val="left"/>
      <w:pPr>
        <w:ind w:left="644" w:hanging="360"/>
      </w:pPr>
      <w:rPr>
        <w:rFonts w:ascii="Times New Roman" w:eastAsia="Times New Roman" w:hAnsi="Times New Roman" w:cs="Times New Roman"/>
        <w:i w:val="0"/>
      </w:rPr>
    </w:lvl>
    <w:lvl w:ilvl="1" w:tplc="10090019">
      <w:start w:val="1"/>
      <w:numFmt w:val="lowerLetter"/>
      <w:lvlText w:val="%2."/>
      <w:lvlJc w:val="left"/>
      <w:pPr>
        <w:ind w:left="1364" w:hanging="360"/>
      </w:pPr>
      <w:rPr>
        <w:rFonts w:cs="Times New Roman"/>
      </w:rPr>
    </w:lvl>
    <w:lvl w:ilvl="2" w:tplc="1009001B">
      <w:start w:val="1"/>
      <w:numFmt w:val="lowerRoman"/>
      <w:lvlText w:val="%3."/>
      <w:lvlJc w:val="right"/>
      <w:pPr>
        <w:ind w:left="2084" w:hanging="180"/>
      </w:pPr>
      <w:rPr>
        <w:rFonts w:cs="Times New Roman"/>
      </w:rPr>
    </w:lvl>
    <w:lvl w:ilvl="3" w:tplc="1009000F">
      <w:start w:val="1"/>
      <w:numFmt w:val="decimal"/>
      <w:lvlText w:val="%4."/>
      <w:lvlJc w:val="left"/>
      <w:pPr>
        <w:ind w:left="2804" w:hanging="360"/>
      </w:pPr>
      <w:rPr>
        <w:rFonts w:cs="Times New Roman"/>
      </w:rPr>
    </w:lvl>
    <w:lvl w:ilvl="4" w:tplc="10090019">
      <w:start w:val="1"/>
      <w:numFmt w:val="lowerLetter"/>
      <w:lvlText w:val="%5."/>
      <w:lvlJc w:val="left"/>
      <w:pPr>
        <w:ind w:left="3524" w:hanging="360"/>
      </w:pPr>
      <w:rPr>
        <w:rFonts w:cs="Times New Roman"/>
      </w:rPr>
    </w:lvl>
    <w:lvl w:ilvl="5" w:tplc="1009001B">
      <w:start w:val="1"/>
      <w:numFmt w:val="lowerRoman"/>
      <w:lvlText w:val="%6."/>
      <w:lvlJc w:val="right"/>
      <w:pPr>
        <w:ind w:left="4244" w:hanging="180"/>
      </w:pPr>
      <w:rPr>
        <w:rFonts w:cs="Times New Roman"/>
      </w:rPr>
    </w:lvl>
    <w:lvl w:ilvl="6" w:tplc="1009000F">
      <w:start w:val="1"/>
      <w:numFmt w:val="decimal"/>
      <w:lvlText w:val="%7."/>
      <w:lvlJc w:val="left"/>
      <w:pPr>
        <w:ind w:left="4964" w:hanging="360"/>
      </w:pPr>
      <w:rPr>
        <w:rFonts w:cs="Times New Roman"/>
      </w:rPr>
    </w:lvl>
    <w:lvl w:ilvl="7" w:tplc="10090019">
      <w:start w:val="1"/>
      <w:numFmt w:val="lowerLetter"/>
      <w:lvlText w:val="%8."/>
      <w:lvlJc w:val="left"/>
      <w:pPr>
        <w:ind w:left="5684" w:hanging="360"/>
      </w:pPr>
      <w:rPr>
        <w:rFonts w:cs="Times New Roman"/>
      </w:rPr>
    </w:lvl>
    <w:lvl w:ilvl="8" w:tplc="1009001B">
      <w:start w:val="1"/>
      <w:numFmt w:val="lowerRoman"/>
      <w:lvlText w:val="%9."/>
      <w:lvlJc w:val="right"/>
      <w:pPr>
        <w:ind w:left="6404" w:hanging="180"/>
      </w:pPr>
      <w:rPr>
        <w:rFonts w:cs="Times New Roman"/>
      </w:rPr>
    </w:lvl>
  </w:abstractNum>
  <w:abstractNum w:abstractNumId="2">
    <w:nsid w:val="03C00EE9"/>
    <w:multiLevelType w:val="hybridMultilevel"/>
    <w:tmpl w:val="5D1C8992"/>
    <w:lvl w:ilvl="0" w:tplc="41327418">
      <w:start w:val="1"/>
      <w:numFmt w:val="lowerLetter"/>
      <w:lvlText w:val="%1)"/>
      <w:lvlJc w:val="left"/>
      <w:pPr>
        <w:tabs>
          <w:tab w:val="num" w:pos="-76"/>
        </w:tabs>
        <w:ind w:left="644" w:hanging="360"/>
      </w:pPr>
      <w:rPr>
        <w:rFonts w:ascii="Courier" w:hAnsi="Courier"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F3E6D84"/>
    <w:multiLevelType w:val="hybridMultilevel"/>
    <w:tmpl w:val="7D2C9D96"/>
    <w:lvl w:ilvl="0" w:tplc="C458EBAA">
      <w:start w:val="1"/>
      <w:numFmt w:val="lowerLetter"/>
      <w:lvlText w:val="(%1)"/>
      <w:lvlJc w:val="left"/>
      <w:pPr>
        <w:ind w:left="450" w:hanging="360"/>
      </w:pPr>
      <w:rPr>
        <w:rFonts w:cs="Times New Roman" w:hint="default"/>
      </w:rPr>
    </w:lvl>
    <w:lvl w:ilvl="1" w:tplc="10090019" w:tentative="1">
      <w:start w:val="1"/>
      <w:numFmt w:val="lowerLetter"/>
      <w:lvlText w:val="%2."/>
      <w:lvlJc w:val="left"/>
      <w:pPr>
        <w:ind w:left="1170" w:hanging="360"/>
      </w:pPr>
      <w:rPr>
        <w:rFonts w:cs="Times New Roman"/>
      </w:rPr>
    </w:lvl>
    <w:lvl w:ilvl="2" w:tplc="1009001B" w:tentative="1">
      <w:start w:val="1"/>
      <w:numFmt w:val="lowerRoman"/>
      <w:lvlText w:val="%3."/>
      <w:lvlJc w:val="right"/>
      <w:pPr>
        <w:ind w:left="1890" w:hanging="180"/>
      </w:pPr>
      <w:rPr>
        <w:rFonts w:cs="Times New Roman"/>
      </w:rPr>
    </w:lvl>
    <w:lvl w:ilvl="3" w:tplc="1009000F" w:tentative="1">
      <w:start w:val="1"/>
      <w:numFmt w:val="decimal"/>
      <w:lvlText w:val="%4."/>
      <w:lvlJc w:val="left"/>
      <w:pPr>
        <w:ind w:left="2610" w:hanging="360"/>
      </w:pPr>
      <w:rPr>
        <w:rFonts w:cs="Times New Roman"/>
      </w:rPr>
    </w:lvl>
    <w:lvl w:ilvl="4" w:tplc="10090019" w:tentative="1">
      <w:start w:val="1"/>
      <w:numFmt w:val="lowerLetter"/>
      <w:lvlText w:val="%5."/>
      <w:lvlJc w:val="left"/>
      <w:pPr>
        <w:ind w:left="3330" w:hanging="360"/>
      </w:pPr>
      <w:rPr>
        <w:rFonts w:cs="Times New Roman"/>
      </w:rPr>
    </w:lvl>
    <w:lvl w:ilvl="5" w:tplc="1009001B" w:tentative="1">
      <w:start w:val="1"/>
      <w:numFmt w:val="lowerRoman"/>
      <w:lvlText w:val="%6."/>
      <w:lvlJc w:val="right"/>
      <w:pPr>
        <w:ind w:left="4050" w:hanging="180"/>
      </w:pPr>
      <w:rPr>
        <w:rFonts w:cs="Times New Roman"/>
      </w:rPr>
    </w:lvl>
    <w:lvl w:ilvl="6" w:tplc="1009000F" w:tentative="1">
      <w:start w:val="1"/>
      <w:numFmt w:val="decimal"/>
      <w:lvlText w:val="%7."/>
      <w:lvlJc w:val="left"/>
      <w:pPr>
        <w:ind w:left="4770" w:hanging="360"/>
      </w:pPr>
      <w:rPr>
        <w:rFonts w:cs="Times New Roman"/>
      </w:rPr>
    </w:lvl>
    <w:lvl w:ilvl="7" w:tplc="10090019" w:tentative="1">
      <w:start w:val="1"/>
      <w:numFmt w:val="lowerLetter"/>
      <w:lvlText w:val="%8."/>
      <w:lvlJc w:val="left"/>
      <w:pPr>
        <w:ind w:left="5490" w:hanging="360"/>
      </w:pPr>
      <w:rPr>
        <w:rFonts w:cs="Times New Roman"/>
      </w:rPr>
    </w:lvl>
    <w:lvl w:ilvl="8" w:tplc="1009001B" w:tentative="1">
      <w:start w:val="1"/>
      <w:numFmt w:val="lowerRoman"/>
      <w:lvlText w:val="%9."/>
      <w:lvlJc w:val="right"/>
      <w:pPr>
        <w:ind w:left="6210" w:hanging="180"/>
      </w:pPr>
      <w:rPr>
        <w:rFonts w:cs="Times New Roman"/>
      </w:rPr>
    </w:lvl>
  </w:abstractNum>
  <w:abstractNum w:abstractNumId="6">
    <w:nsid w:val="135961FA"/>
    <w:multiLevelType w:val="multilevel"/>
    <w:tmpl w:val="5D1C8992"/>
    <w:lvl w:ilvl="0">
      <w:start w:val="1"/>
      <w:numFmt w:val="lowerLetter"/>
      <w:lvlText w:val="%1)"/>
      <w:lvlJc w:val="left"/>
      <w:pPr>
        <w:tabs>
          <w:tab w:val="num" w:pos="-76"/>
        </w:tabs>
        <w:ind w:left="644" w:hanging="360"/>
      </w:pPr>
      <w:rPr>
        <w:rFonts w:ascii="Courier" w:hAnsi="Courier" w:cs="Times New Roman" w:hint="default"/>
        <w:b w:val="0"/>
        <w:bCs w:val="0"/>
        <w:i w:val="0"/>
        <w:iCs w:val="0"/>
        <w:caps w:val="0"/>
        <w:strike w:val="0"/>
        <w:dstrike w:val="0"/>
        <w:outline w:val="0"/>
        <w:shadow w:val="0"/>
        <w:emboss w:val="0"/>
        <w:imprint w:val="0"/>
        <w:vanish w:val="0"/>
        <w:color w:val="auto"/>
        <w:sz w:val="22"/>
        <w:szCs w:val="22"/>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2359531B"/>
    <w:multiLevelType w:val="multilevel"/>
    <w:tmpl w:val="B114E09A"/>
    <w:lvl w:ilvl="0">
      <w:start w:val="1"/>
      <w:numFmt w:val="lowerLetter"/>
      <w:lvlText w:val="%1)"/>
      <w:lvlJc w:val="left"/>
      <w:pPr>
        <w:tabs>
          <w:tab w:val="num" w:pos="1364"/>
        </w:tabs>
        <w:ind w:left="2084" w:hanging="360"/>
      </w:pPr>
      <w:rPr>
        <w:rFonts w:ascii="Courier" w:hAnsi="Courier" w:cs="Courier" w:hint="default"/>
        <w:b w:val="0"/>
        <w:bCs w:val="0"/>
        <w:i w:val="0"/>
        <w:iCs w:val="0"/>
        <w:caps w:val="0"/>
        <w:strike w:val="0"/>
        <w:dstrike w:val="0"/>
        <w:outline w:val="0"/>
        <w:shadow w:val="0"/>
        <w:emboss w:val="0"/>
        <w:imprint w:val="0"/>
        <w:vanish w:val="0"/>
        <w:color w:val="auto"/>
        <w:sz w:val="22"/>
        <w:szCs w:val="22"/>
        <w:vertAlign w:val="baseline"/>
      </w:rPr>
    </w:lvl>
    <w:lvl w:ilvl="1">
      <w:start w:val="1"/>
      <w:numFmt w:val="lowerLetter"/>
      <w:lvlText w:val="%2."/>
      <w:lvlJc w:val="left"/>
      <w:pPr>
        <w:tabs>
          <w:tab w:val="num" w:pos="2084"/>
        </w:tabs>
        <w:ind w:left="2084" w:hanging="360"/>
      </w:pPr>
      <w:rPr>
        <w:rFonts w:cs="Times New Roman"/>
      </w:rPr>
    </w:lvl>
    <w:lvl w:ilvl="2">
      <w:start w:val="1"/>
      <w:numFmt w:val="lowerRoman"/>
      <w:lvlText w:val="%3."/>
      <w:lvlJc w:val="right"/>
      <w:pPr>
        <w:tabs>
          <w:tab w:val="num" w:pos="2804"/>
        </w:tabs>
        <w:ind w:left="2804" w:hanging="180"/>
      </w:pPr>
      <w:rPr>
        <w:rFonts w:cs="Times New Roman"/>
      </w:rPr>
    </w:lvl>
    <w:lvl w:ilvl="3">
      <w:start w:val="1"/>
      <w:numFmt w:val="decimal"/>
      <w:lvlText w:val="%4."/>
      <w:lvlJc w:val="left"/>
      <w:pPr>
        <w:tabs>
          <w:tab w:val="num" w:pos="3524"/>
        </w:tabs>
        <w:ind w:left="3524" w:hanging="360"/>
      </w:pPr>
      <w:rPr>
        <w:rFonts w:cs="Times New Roman"/>
      </w:rPr>
    </w:lvl>
    <w:lvl w:ilvl="4">
      <w:start w:val="1"/>
      <w:numFmt w:val="lowerLetter"/>
      <w:lvlText w:val="%5."/>
      <w:lvlJc w:val="left"/>
      <w:pPr>
        <w:tabs>
          <w:tab w:val="num" w:pos="4244"/>
        </w:tabs>
        <w:ind w:left="4244" w:hanging="360"/>
      </w:pPr>
      <w:rPr>
        <w:rFonts w:cs="Times New Roman"/>
      </w:rPr>
    </w:lvl>
    <w:lvl w:ilvl="5">
      <w:start w:val="1"/>
      <w:numFmt w:val="lowerRoman"/>
      <w:lvlText w:val="%6."/>
      <w:lvlJc w:val="right"/>
      <w:pPr>
        <w:tabs>
          <w:tab w:val="num" w:pos="4964"/>
        </w:tabs>
        <w:ind w:left="4964" w:hanging="180"/>
      </w:pPr>
      <w:rPr>
        <w:rFonts w:cs="Times New Roman"/>
      </w:rPr>
    </w:lvl>
    <w:lvl w:ilvl="6">
      <w:start w:val="1"/>
      <w:numFmt w:val="decimal"/>
      <w:lvlText w:val="%7."/>
      <w:lvlJc w:val="left"/>
      <w:pPr>
        <w:tabs>
          <w:tab w:val="num" w:pos="5684"/>
        </w:tabs>
        <w:ind w:left="5684" w:hanging="360"/>
      </w:pPr>
      <w:rPr>
        <w:rFonts w:cs="Times New Roman"/>
      </w:rPr>
    </w:lvl>
    <w:lvl w:ilvl="7">
      <w:start w:val="1"/>
      <w:numFmt w:val="lowerLetter"/>
      <w:lvlText w:val="%8."/>
      <w:lvlJc w:val="left"/>
      <w:pPr>
        <w:tabs>
          <w:tab w:val="num" w:pos="6404"/>
        </w:tabs>
        <w:ind w:left="6404" w:hanging="360"/>
      </w:pPr>
      <w:rPr>
        <w:rFonts w:cs="Times New Roman"/>
      </w:rPr>
    </w:lvl>
    <w:lvl w:ilvl="8">
      <w:start w:val="1"/>
      <w:numFmt w:val="lowerRoman"/>
      <w:lvlText w:val="%9."/>
      <w:lvlJc w:val="right"/>
      <w:pPr>
        <w:tabs>
          <w:tab w:val="num" w:pos="7124"/>
        </w:tabs>
        <w:ind w:left="7124" w:hanging="180"/>
      </w:pPr>
      <w:rPr>
        <w:rFonts w:cs="Times New Roman"/>
      </w:rPr>
    </w:lvl>
  </w:abstractNum>
  <w:abstractNum w:abstractNumId="9">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3A905C9D"/>
    <w:multiLevelType w:val="hybridMultilevel"/>
    <w:tmpl w:val="5A284210"/>
    <w:lvl w:ilvl="0" w:tplc="6BA2982A">
      <w:start w:val="1"/>
      <w:numFmt w:val="lowerLetter"/>
      <w:lvlText w:val="%1)"/>
      <w:lvlJc w:val="left"/>
      <w:pPr>
        <w:tabs>
          <w:tab w:val="num" w:pos="284"/>
        </w:tabs>
        <w:ind w:left="1004" w:hanging="360"/>
      </w:pPr>
      <w:rPr>
        <w:rFonts w:ascii="Courier" w:hAnsi="Courier" w:cs="Courier" w:hint="default"/>
        <w:b w:val="0"/>
        <w:bCs w:val="0"/>
        <w:i w:val="0"/>
        <w:iCs w:val="0"/>
        <w:caps w:val="0"/>
        <w:strike w:val="0"/>
        <w:dstrike w:val="0"/>
        <w:outline w:val="0"/>
        <w:shadow w:val="0"/>
        <w:emboss w:val="0"/>
        <w:imprint w:val="0"/>
        <w:vanish w:val="0"/>
        <w:color w:val="auto"/>
        <w:sz w:val="22"/>
        <w:szCs w:val="22"/>
        <w:vertAlign w:val="baseline"/>
      </w:rPr>
    </w:lvl>
    <w:lvl w:ilvl="1" w:tplc="10090019">
      <w:start w:val="1"/>
      <w:numFmt w:val="lowerLetter"/>
      <w:lvlText w:val="%2."/>
      <w:lvlJc w:val="left"/>
      <w:pPr>
        <w:ind w:left="1724" w:hanging="360"/>
      </w:pPr>
      <w:rPr>
        <w:rFonts w:cs="Times New Roman"/>
      </w:rPr>
    </w:lvl>
    <w:lvl w:ilvl="2" w:tplc="1009001B">
      <w:start w:val="1"/>
      <w:numFmt w:val="lowerRoman"/>
      <w:lvlText w:val="%3."/>
      <w:lvlJc w:val="right"/>
      <w:pPr>
        <w:ind w:left="2444" w:hanging="180"/>
      </w:pPr>
      <w:rPr>
        <w:rFonts w:cs="Times New Roman"/>
      </w:rPr>
    </w:lvl>
    <w:lvl w:ilvl="3" w:tplc="1009000F">
      <w:start w:val="1"/>
      <w:numFmt w:val="decimal"/>
      <w:lvlText w:val="%4."/>
      <w:lvlJc w:val="left"/>
      <w:pPr>
        <w:ind w:left="3164" w:hanging="360"/>
      </w:pPr>
      <w:rPr>
        <w:rFonts w:cs="Times New Roman"/>
      </w:rPr>
    </w:lvl>
    <w:lvl w:ilvl="4" w:tplc="10090019">
      <w:start w:val="1"/>
      <w:numFmt w:val="lowerLetter"/>
      <w:lvlText w:val="%5."/>
      <w:lvlJc w:val="left"/>
      <w:pPr>
        <w:ind w:left="3884" w:hanging="360"/>
      </w:pPr>
      <w:rPr>
        <w:rFonts w:cs="Times New Roman"/>
      </w:rPr>
    </w:lvl>
    <w:lvl w:ilvl="5" w:tplc="1009001B">
      <w:start w:val="1"/>
      <w:numFmt w:val="lowerRoman"/>
      <w:lvlText w:val="%6."/>
      <w:lvlJc w:val="right"/>
      <w:pPr>
        <w:ind w:left="4604" w:hanging="180"/>
      </w:pPr>
      <w:rPr>
        <w:rFonts w:cs="Times New Roman"/>
      </w:rPr>
    </w:lvl>
    <w:lvl w:ilvl="6" w:tplc="1009000F">
      <w:start w:val="1"/>
      <w:numFmt w:val="decimal"/>
      <w:lvlText w:val="%7."/>
      <w:lvlJc w:val="left"/>
      <w:pPr>
        <w:ind w:left="5324" w:hanging="360"/>
      </w:pPr>
      <w:rPr>
        <w:rFonts w:cs="Times New Roman"/>
      </w:rPr>
    </w:lvl>
    <w:lvl w:ilvl="7" w:tplc="10090019">
      <w:start w:val="1"/>
      <w:numFmt w:val="lowerLetter"/>
      <w:lvlText w:val="%8."/>
      <w:lvlJc w:val="left"/>
      <w:pPr>
        <w:ind w:left="6044" w:hanging="360"/>
      </w:pPr>
      <w:rPr>
        <w:rFonts w:cs="Times New Roman"/>
      </w:rPr>
    </w:lvl>
    <w:lvl w:ilvl="8" w:tplc="1009001B">
      <w:start w:val="1"/>
      <w:numFmt w:val="lowerRoman"/>
      <w:lvlText w:val="%9."/>
      <w:lvlJc w:val="right"/>
      <w:pPr>
        <w:ind w:left="6764" w:hanging="180"/>
      </w:pPr>
      <w:rPr>
        <w:rFonts w:cs="Times New Roman"/>
      </w:rPr>
    </w:lvl>
  </w:abstractNum>
  <w:abstractNum w:abstractNumId="11">
    <w:nsid w:val="3D983EF9"/>
    <w:multiLevelType w:val="hybridMultilevel"/>
    <w:tmpl w:val="50AE7F6E"/>
    <w:lvl w:ilvl="0" w:tplc="10B43714">
      <w:start w:val="1"/>
      <w:numFmt w:val="lowerLetter"/>
      <w:lvlText w:val="%1)"/>
      <w:lvlJc w:val="left"/>
      <w:pPr>
        <w:tabs>
          <w:tab w:val="num" w:pos="633"/>
        </w:tabs>
        <w:ind w:left="1353"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45201B83"/>
    <w:multiLevelType w:val="multilevel"/>
    <w:tmpl w:val="5A284210"/>
    <w:lvl w:ilvl="0">
      <w:start w:val="1"/>
      <w:numFmt w:val="lowerLetter"/>
      <w:lvlText w:val="%1)"/>
      <w:lvlJc w:val="left"/>
      <w:pPr>
        <w:tabs>
          <w:tab w:val="num" w:pos="284"/>
        </w:tabs>
        <w:ind w:left="1004" w:hanging="360"/>
      </w:pPr>
      <w:rPr>
        <w:rFonts w:ascii="Courier" w:hAnsi="Courier" w:cs="Courier" w:hint="default"/>
        <w:b w:val="0"/>
        <w:bCs w:val="0"/>
        <w:i w:val="0"/>
        <w:iCs w:val="0"/>
        <w:caps w:val="0"/>
        <w:strike w:val="0"/>
        <w:dstrike w:val="0"/>
        <w:outline w:val="0"/>
        <w:shadow w:val="0"/>
        <w:emboss w:val="0"/>
        <w:imprint w:val="0"/>
        <w:vanish w:val="0"/>
        <w:color w:val="auto"/>
        <w:sz w:val="22"/>
        <w:szCs w:val="22"/>
        <w:vertAlign w:val="baseline"/>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4">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B4364DE"/>
    <w:multiLevelType w:val="hybridMultilevel"/>
    <w:tmpl w:val="B114E09A"/>
    <w:lvl w:ilvl="0" w:tplc="6BA2982A">
      <w:start w:val="1"/>
      <w:numFmt w:val="lowerLetter"/>
      <w:lvlText w:val="%1)"/>
      <w:lvlJc w:val="left"/>
      <w:pPr>
        <w:tabs>
          <w:tab w:val="num" w:pos="1364"/>
        </w:tabs>
        <w:ind w:left="2084" w:hanging="360"/>
      </w:pPr>
      <w:rPr>
        <w:rFonts w:ascii="Courier" w:hAnsi="Courier" w:cs="Courier"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2084"/>
        </w:tabs>
        <w:ind w:left="2084" w:hanging="360"/>
      </w:pPr>
      <w:rPr>
        <w:rFonts w:cs="Times New Roman"/>
      </w:rPr>
    </w:lvl>
    <w:lvl w:ilvl="2" w:tplc="0C0A001B" w:tentative="1">
      <w:start w:val="1"/>
      <w:numFmt w:val="lowerRoman"/>
      <w:lvlText w:val="%3."/>
      <w:lvlJc w:val="right"/>
      <w:pPr>
        <w:tabs>
          <w:tab w:val="num" w:pos="2804"/>
        </w:tabs>
        <w:ind w:left="2804" w:hanging="180"/>
      </w:pPr>
      <w:rPr>
        <w:rFonts w:cs="Times New Roman"/>
      </w:rPr>
    </w:lvl>
    <w:lvl w:ilvl="3" w:tplc="0C0A000F" w:tentative="1">
      <w:start w:val="1"/>
      <w:numFmt w:val="decimal"/>
      <w:lvlText w:val="%4."/>
      <w:lvlJc w:val="left"/>
      <w:pPr>
        <w:tabs>
          <w:tab w:val="num" w:pos="3524"/>
        </w:tabs>
        <w:ind w:left="3524" w:hanging="360"/>
      </w:pPr>
      <w:rPr>
        <w:rFonts w:cs="Times New Roman"/>
      </w:rPr>
    </w:lvl>
    <w:lvl w:ilvl="4" w:tplc="0C0A0019" w:tentative="1">
      <w:start w:val="1"/>
      <w:numFmt w:val="lowerLetter"/>
      <w:lvlText w:val="%5."/>
      <w:lvlJc w:val="left"/>
      <w:pPr>
        <w:tabs>
          <w:tab w:val="num" w:pos="4244"/>
        </w:tabs>
        <w:ind w:left="4244" w:hanging="360"/>
      </w:pPr>
      <w:rPr>
        <w:rFonts w:cs="Times New Roman"/>
      </w:rPr>
    </w:lvl>
    <w:lvl w:ilvl="5" w:tplc="0C0A001B" w:tentative="1">
      <w:start w:val="1"/>
      <w:numFmt w:val="lowerRoman"/>
      <w:lvlText w:val="%6."/>
      <w:lvlJc w:val="right"/>
      <w:pPr>
        <w:tabs>
          <w:tab w:val="num" w:pos="4964"/>
        </w:tabs>
        <w:ind w:left="4964" w:hanging="180"/>
      </w:pPr>
      <w:rPr>
        <w:rFonts w:cs="Times New Roman"/>
      </w:rPr>
    </w:lvl>
    <w:lvl w:ilvl="6" w:tplc="0C0A000F" w:tentative="1">
      <w:start w:val="1"/>
      <w:numFmt w:val="decimal"/>
      <w:lvlText w:val="%7."/>
      <w:lvlJc w:val="left"/>
      <w:pPr>
        <w:tabs>
          <w:tab w:val="num" w:pos="5684"/>
        </w:tabs>
        <w:ind w:left="5684" w:hanging="360"/>
      </w:pPr>
      <w:rPr>
        <w:rFonts w:cs="Times New Roman"/>
      </w:rPr>
    </w:lvl>
    <w:lvl w:ilvl="7" w:tplc="0C0A0019" w:tentative="1">
      <w:start w:val="1"/>
      <w:numFmt w:val="lowerLetter"/>
      <w:lvlText w:val="%8."/>
      <w:lvlJc w:val="left"/>
      <w:pPr>
        <w:tabs>
          <w:tab w:val="num" w:pos="6404"/>
        </w:tabs>
        <w:ind w:left="6404" w:hanging="360"/>
      </w:pPr>
      <w:rPr>
        <w:rFonts w:cs="Times New Roman"/>
      </w:rPr>
    </w:lvl>
    <w:lvl w:ilvl="8" w:tplc="0C0A001B" w:tentative="1">
      <w:start w:val="1"/>
      <w:numFmt w:val="lowerRoman"/>
      <w:lvlText w:val="%9."/>
      <w:lvlJc w:val="right"/>
      <w:pPr>
        <w:tabs>
          <w:tab w:val="num" w:pos="7124"/>
        </w:tabs>
        <w:ind w:left="7124" w:hanging="180"/>
      </w:pPr>
      <w:rPr>
        <w:rFonts w:cs="Times New Roman"/>
      </w:rPr>
    </w:lvl>
  </w:abstractNum>
  <w:abstractNum w:abstractNumId="18">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B3C3306"/>
    <w:multiLevelType w:val="multilevel"/>
    <w:tmpl w:val="893AF154"/>
    <w:lvl w:ilvl="0">
      <w:start w:val="1"/>
      <w:numFmt w:val="lowerLetter"/>
      <w:lvlText w:val="(%1)"/>
      <w:lvlJc w:val="left"/>
      <w:pPr>
        <w:ind w:left="1004" w:hanging="360"/>
      </w:pPr>
      <w:rPr>
        <w:rFonts w:cs="Times New Roman"/>
        <w:i w:val="0"/>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2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9F92579"/>
    <w:multiLevelType w:val="hybridMultilevel"/>
    <w:tmpl w:val="826CE674"/>
    <w:lvl w:ilvl="0" w:tplc="F508B644">
      <w:start w:val="2"/>
      <w:numFmt w:val="lowerLetter"/>
      <w:lvlText w:val="(%1)"/>
      <w:lvlJc w:val="left"/>
      <w:pPr>
        <w:ind w:left="1004"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5"/>
  </w:num>
  <w:num w:numId="3">
    <w:abstractNumId w:val="12"/>
  </w:num>
  <w:num w:numId="4">
    <w:abstractNumId w:val="15"/>
  </w:num>
  <w:num w:numId="5">
    <w:abstractNumId w:val="14"/>
  </w:num>
  <w:num w:numId="6">
    <w:abstractNumId w:val="3"/>
  </w:num>
  <w:num w:numId="7">
    <w:abstractNumId w:val="7"/>
  </w:num>
  <w:num w:numId="8">
    <w:abstractNumId w:val="12"/>
    <w:lvlOverride w:ilvl="0">
      <w:startOverride w:val="1"/>
    </w:lvlOverride>
  </w:num>
  <w:num w:numId="9">
    <w:abstractNumId w:val="20"/>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8"/>
  </w:num>
  <w:num w:numId="15">
    <w:abstractNumId w:val="16"/>
  </w:num>
  <w:num w:numId="16">
    <w:abstractNumId w:val="4"/>
  </w:num>
  <w:num w:numId="17">
    <w:abstractNumId w:val="21"/>
  </w:num>
  <w:num w:numId="18">
    <w:abstractNumId w:val="2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 w:numId="22">
    <w:abstractNumId w:val="10"/>
  </w:num>
  <w:num w:numId="23">
    <w:abstractNumId w:val="22"/>
  </w:num>
  <w:num w:numId="24">
    <w:abstractNumId w:val="19"/>
  </w:num>
  <w:num w:numId="25">
    <w:abstractNumId w:val="13"/>
  </w:num>
  <w:num w:numId="26">
    <w:abstractNumId w:val="17"/>
  </w:num>
  <w:num w:numId="27">
    <w:abstractNumId w:val="8"/>
  </w:num>
  <w:num w:numId="28">
    <w:abstractNumId w:val="2"/>
  </w:num>
  <w:num w:numId="29">
    <w:abstractNumId w:val="6"/>
  </w:num>
  <w:num w:numId="30">
    <w:abstractNumId w:val="0"/>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evenAndOddHeaders/>
  <w:characterSpacingControl w:val="doNotCompress"/>
  <w:footnotePr>
    <w:footnote w:id="-1"/>
    <w:footnote w:id="0"/>
  </w:footnotePr>
  <w:endnotePr>
    <w:endnote w:id="-1"/>
    <w:endnote w:id="0"/>
  </w:endnotePr>
  <w:compat/>
  <w:rsids>
    <w:rsidRoot w:val="00C9161D"/>
    <w:rsid w:val="00020234"/>
    <w:rsid w:val="00031094"/>
    <w:rsid w:val="000557F9"/>
    <w:rsid w:val="00057D20"/>
    <w:rsid w:val="000D4564"/>
    <w:rsid w:val="000E673A"/>
    <w:rsid w:val="000E772A"/>
    <w:rsid w:val="000F4914"/>
    <w:rsid w:val="000F74F5"/>
    <w:rsid w:val="00105372"/>
    <w:rsid w:val="00131E7A"/>
    <w:rsid w:val="00143F42"/>
    <w:rsid w:val="00172AF6"/>
    <w:rsid w:val="00176CEE"/>
    <w:rsid w:val="00186DD8"/>
    <w:rsid w:val="001B14C0"/>
    <w:rsid w:val="00240D4F"/>
    <w:rsid w:val="0025186F"/>
    <w:rsid w:val="00273079"/>
    <w:rsid w:val="00277F92"/>
    <w:rsid w:val="002870BE"/>
    <w:rsid w:val="0028792C"/>
    <w:rsid w:val="002B3B39"/>
    <w:rsid w:val="002F6C04"/>
    <w:rsid w:val="00301BED"/>
    <w:rsid w:val="003136D1"/>
    <w:rsid w:val="00314C28"/>
    <w:rsid w:val="00347B3F"/>
    <w:rsid w:val="00352A81"/>
    <w:rsid w:val="00372F74"/>
    <w:rsid w:val="0038789C"/>
    <w:rsid w:val="003A0639"/>
    <w:rsid w:val="003A1DED"/>
    <w:rsid w:val="003B4847"/>
    <w:rsid w:val="003D6DF7"/>
    <w:rsid w:val="003F7224"/>
    <w:rsid w:val="004005E2"/>
    <w:rsid w:val="00427D21"/>
    <w:rsid w:val="00461169"/>
    <w:rsid w:val="004644C2"/>
    <w:rsid w:val="00467F9C"/>
    <w:rsid w:val="00470F86"/>
    <w:rsid w:val="00473096"/>
    <w:rsid w:val="00494258"/>
    <w:rsid w:val="004E2895"/>
    <w:rsid w:val="004F49D9"/>
    <w:rsid w:val="00503E92"/>
    <w:rsid w:val="00507350"/>
    <w:rsid w:val="0051051A"/>
    <w:rsid w:val="00534681"/>
    <w:rsid w:val="005806E1"/>
    <w:rsid w:val="005A6BFB"/>
    <w:rsid w:val="005B07AE"/>
    <w:rsid w:val="005F7B3C"/>
    <w:rsid w:val="006122BA"/>
    <w:rsid w:val="006476B7"/>
    <w:rsid w:val="0065209D"/>
    <w:rsid w:val="0066622C"/>
    <w:rsid w:val="0068672C"/>
    <w:rsid w:val="006B2290"/>
    <w:rsid w:val="00717D88"/>
    <w:rsid w:val="00720B93"/>
    <w:rsid w:val="00771405"/>
    <w:rsid w:val="00781E1D"/>
    <w:rsid w:val="007942D3"/>
    <w:rsid w:val="007B078D"/>
    <w:rsid w:val="007B6C09"/>
    <w:rsid w:val="007E09DA"/>
    <w:rsid w:val="007F1ADA"/>
    <w:rsid w:val="008139C6"/>
    <w:rsid w:val="008178B6"/>
    <w:rsid w:val="00865B74"/>
    <w:rsid w:val="00873956"/>
    <w:rsid w:val="008B0880"/>
    <w:rsid w:val="008B11F2"/>
    <w:rsid w:val="008D6775"/>
    <w:rsid w:val="00930BA1"/>
    <w:rsid w:val="0093169E"/>
    <w:rsid w:val="00940FB6"/>
    <w:rsid w:val="009505C9"/>
    <w:rsid w:val="00965BAF"/>
    <w:rsid w:val="009E4EF5"/>
    <w:rsid w:val="00A35239"/>
    <w:rsid w:val="00A36B57"/>
    <w:rsid w:val="00A75F7C"/>
    <w:rsid w:val="00AA01AF"/>
    <w:rsid w:val="00AB4518"/>
    <w:rsid w:val="00AC3393"/>
    <w:rsid w:val="00AD469F"/>
    <w:rsid w:val="00AF7A23"/>
    <w:rsid w:val="00B07F35"/>
    <w:rsid w:val="00B3369F"/>
    <w:rsid w:val="00B33BC7"/>
    <w:rsid w:val="00B668BC"/>
    <w:rsid w:val="00B95D86"/>
    <w:rsid w:val="00BA7AF4"/>
    <w:rsid w:val="00BD64F0"/>
    <w:rsid w:val="00C20C62"/>
    <w:rsid w:val="00C443BD"/>
    <w:rsid w:val="00C80EE6"/>
    <w:rsid w:val="00C81229"/>
    <w:rsid w:val="00C9161D"/>
    <w:rsid w:val="00CE501D"/>
    <w:rsid w:val="00CF1848"/>
    <w:rsid w:val="00D12044"/>
    <w:rsid w:val="00D27BEF"/>
    <w:rsid w:val="00D47694"/>
    <w:rsid w:val="00D66660"/>
    <w:rsid w:val="00D76A18"/>
    <w:rsid w:val="00D92695"/>
    <w:rsid w:val="00DD118C"/>
    <w:rsid w:val="00DD1EEF"/>
    <w:rsid w:val="00E46402"/>
    <w:rsid w:val="00E51D12"/>
    <w:rsid w:val="00E630E0"/>
    <w:rsid w:val="00E66235"/>
    <w:rsid w:val="00E66F50"/>
    <w:rsid w:val="00E83C24"/>
    <w:rsid w:val="00E9318D"/>
    <w:rsid w:val="00ED72FA"/>
    <w:rsid w:val="00F02BA5"/>
    <w:rsid w:val="00F15740"/>
    <w:rsid w:val="00F26261"/>
    <w:rsid w:val="00F56661"/>
    <w:rsid w:val="00F6586C"/>
    <w:rsid w:val="00F866CC"/>
    <w:rsid w:val="00F94774"/>
    <w:rsid w:val="00FA1A4A"/>
    <w:rsid w:val="00FC53DB"/>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2"/>
    <w:qFormat/>
    <w:pPr>
      <w:jc w:val="both"/>
    </w:pPr>
    <w:rPr>
      <w:snapToGrid w:val="0"/>
      <w:sz w:val="22"/>
      <w:szCs w:val="24"/>
      <w:lang w:val="en-GB" w:eastAsia="es-ES"/>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link w:val="PlaceholderText"/>
    <w:qFormat/>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hAnsi="Times New Roman Bold" w:cs="Arial"/>
      <w:b/>
      <w:bCs/>
      <w:i/>
    </w:rPr>
  </w:style>
  <w:style w:type="paragraph" w:styleId="Heading5">
    <w:name w:val="heading 5"/>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b/>
      <w:sz w:val="28"/>
    </w:rPr>
  </w:style>
  <w:style w:type="paragraph" w:styleId="Heading8">
    <w:name w:val="heading 8"/>
    <w:basedOn w:val="Normal"/>
    <w:next w:val="Normal"/>
    <w:qFormat/>
    <w:pPr>
      <w:keepNext/>
      <w:jc w:val="right"/>
      <w:outlineLvl w:val="7"/>
    </w:pPr>
    <w:rPr>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Pr>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sz w:val="18"/>
      <w:szCs w:val="18"/>
    </w:rPr>
  </w:style>
  <w:style w:type="character" w:customStyle="1" w:styleId="CharChar10">
    <w:name w:val="Char Char10"/>
    <w:basedOn w:val="DefaultParagraphFont"/>
    <w:semiHidden/>
    <w:locked/>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semiHidden/>
    <w:rPr>
      <w:rFonts w:cs="Times New Roman"/>
      <w:color w:val="808080"/>
    </w:rPr>
  </w:style>
  <w:style w:type="paragraph" w:styleId="Header">
    <w:name w:val="header"/>
    <w:basedOn w:val="Normal"/>
    <w:pPr>
      <w:tabs>
        <w:tab w:val="center" w:pos="4320"/>
        <w:tab w:val="right" w:pos="8640"/>
      </w:tabs>
    </w:pPr>
  </w:style>
  <w:style w:type="character" w:customStyle="1" w:styleId="CharChar9">
    <w:name w:val="Char Char9"/>
    <w:basedOn w:val="DefaultParagraphFont"/>
    <w:locked/>
    <w:rPr>
      <w:rFonts w:ascii="Times New Roman" w:eastAsia="Times New Roman" w:hAnsi="Times New Roman" w:cs="Times New Roman"/>
      <w:sz w:val="22"/>
      <w:lang w:val="en-GB"/>
    </w:rPr>
  </w:style>
  <w:style w:type="paragraph" w:styleId="Footer">
    <w:name w:val="footer"/>
    <w:basedOn w:val="Normal"/>
    <w:pPr>
      <w:tabs>
        <w:tab w:val="center" w:pos="4320"/>
        <w:tab w:val="right" w:pos="8640"/>
      </w:tabs>
      <w:ind w:firstLine="720"/>
      <w:jc w:val="right"/>
    </w:pPr>
  </w:style>
  <w:style w:type="character" w:customStyle="1" w:styleId="CharChar8">
    <w:name w:val="Char Char8"/>
    <w:basedOn w:val="DefaultParagraphFont"/>
    <w:locked/>
    <w:rPr>
      <w:rFonts w:ascii="Times New Roman" w:eastAsia="Times New Roman" w:hAnsi="Times New Roman" w:cs="Times New Roman"/>
      <w:sz w:val="22"/>
      <w:lang w:val="en-GB"/>
    </w:rPr>
  </w:style>
  <w:style w:type="paragraph" w:customStyle="1" w:styleId="meetingname">
    <w:name w:val="meeting name"/>
    <w:basedOn w:val="Normal"/>
    <w:pPr>
      <w:ind w:left="142" w:right="4218" w:hanging="142"/>
    </w:pPr>
    <w:rPr>
      <w:caps/>
      <w:szCs w:val="22"/>
    </w:rPr>
  </w:style>
  <w:style w:type="paragraph" w:styleId="Title">
    <w:name w:val="Title"/>
    <w:basedOn w:val="Normal"/>
    <w:next w:val="Normal"/>
    <w:qFormat/>
    <w:pPr>
      <w:pBdr>
        <w:bottom w:val="single" w:sz="8" w:space="4" w:color="4F81BD"/>
      </w:pBdr>
      <w:spacing w:after="300"/>
      <w:contextualSpacing/>
    </w:pPr>
    <w:rPr>
      <w:rFonts w:eastAsia="MS Gothic"/>
      <w:color w:val="17365D"/>
      <w:spacing w:val="5"/>
      <w:kern w:val="28"/>
      <w:sz w:val="52"/>
      <w:szCs w:val="52"/>
    </w:rPr>
  </w:style>
  <w:style w:type="character" w:customStyle="1" w:styleId="CharChar7">
    <w:name w:val="Char Char7"/>
    <w:basedOn w:val="DefaultParagraphFont"/>
    <w:locked/>
    <w:rPr>
      <w:rFonts w:ascii="Times New Roman" w:eastAsia="MS Gothic" w:hAnsi="Times New Roman" w:cs="Times New Roman"/>
      <w:color w:val="17365D"/>
      <w:spacing w:val="5"/>
      <w:kern w:val="28"/>
      <w:sz w:val="52"/>
      <w:szCs w:val="52"/>
      <w:lang w:val="en-US"/>
    </w:rPr>
  </w:style>
  <w:style w:type="paragraph" w:styleId="Subtitle">
    <w:name w:val="Subtitle"/>
    <w:basedOn w:val="Normal"/>
    <w:next w:val="Normal"/>
    <w:qFormat/>
    <w:pPr>
      <w:numPr>
        <w:ilvl w:val="1"/>
      </w:numPr>
    </w:pPr>
    <w:rPr>
      <w:rFonts w:eastAsia="MS Gothic"/>
      <w:i/>
      <w:iCs/>
      <w:color w:val="4F81BD"/>
      <w:spacing w:val="15"/>
      <w:sz w:val="24"/>
    </w:rPr>
  </w:style>
  <w:style w:type="character" w:customStyle="1" w:styleId="CharChar6">
    <w:name w:val="Char Char6"/>
    <w:basedOn w:val="DefaultParagraphFont"/>
    <w:locked/>
    <w:rPr>
      <w:rFonts w:ascii="Times New Roman" w:eastAsia="MS Gothic" w:hAnsi="Times New Roman" w:cs="Times New Roman"/>
      <w:i/>
      <w:iCs/>
      <w:color w:val="4F81BD"/>
      <w:spacing w:val="15"/>
      <w:lang w:val="en-US"/>
    </w:rPr>
  </w:style>
  <w:style w:type="character" w:customStyle="1" w:styleId="CharChar19">
    <w:name w:val="Char Char19"/>
    <w:basedOn w:val="DefaultParagraphFont"/>
    <w:locked/>
    <w:rPr>
      <w:rFonts w:ascii="Times New Roman" w:eastAsia="Times New Roman" w:hAnsi="Times New Roman" w:cs="Times New Roman"/>
      <w:b/>
      <w:caps/>
      <w:sz w:val="22"/>
      <w:lang w:val="en-GB"/>
    </w:rPr>
  </w:style>
  <w:style w:type="paragraph" w:styleId="BodyText">
    <w:name w:val="Body Text"/>
    <w:basedOn w:val="Normal"/>
    <w:pPr>
      <w:spacing w:before="120" w:after="120"/>
      <w:ind w:firstLine="720"/>
    </w:pPr>
    <w:rPr>
      <w:iCs/>
    </w:rPr>
  </w:style>
  <w:style w:type="character" w:customStyle="1" w:styleId="CharChar5">
    <w:name w:val="Char Char5"/>
    <w:basedOn w:val="DefaultParagraphFont"/>
    <w:locked/>
    <w:rPr>
      <w:rFonts w:ascii="Times New Roman" w:eastAsia="Times New Roman" w:hAnsi="Times New Roman" w:cs="Times New Roman"/>
      <w:iCs/>
      <w:sz w:val="22"/>
      <w:lang w:val="en-GB"/>
    </w:rPr>
  </w:style>
  <w:style w:type="paragraph" w:styleId="BodyTextIndent">
    <w:name w:val="Body Text Indent"/>
    <w:basedOn w:val="Normal"/>
    <w:pPr>
      <w:spacing w:before="120" w:after="120"/>
      <w:ind w:left="1440" w:hanging="720"/>
      <w:jc w:val="left"/>
    </w:pPr>
  </w:style>
  <w:style w:type="character" w:customStyle="1" w:styleId="CharChar4">
    <w:name w:val="Char Char4"/>
    <w:basedOn w:val="DefaultParagraphFont"/>
    <w:locked/>
    <w:rPr>
      <w:rFonts w:ascii="Times New Roman" w:eastAsia="Times New Roman" w:hAnsi="Times New Roman" w:cs="Times New Roman"/>
      <w:sz w:val="22"/>
      <w:lang w:val="en-G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after="120" w:line="240" w:lineRule="exact"/>
    </w:pPr>
  </w:style>
  <w:style w:type="character" w:customStyle="1" w:styleId="CharChar3">
    <w:name w:val="Char Char3"/>
    <w:basedOn w:val="DefaultParagraphFont"/>
    <w:semiHidden/>
    <w:locked/>
    <w:rPr>
      <w:rFonts w:ascii="Times New Roman" w:eastAsia="Times New Roman" w:hAnsi="Times New Roman" w:cs="Times New Roman"/>
      <w:sz w:val="22"/>
      <w:lang w:val="en-GB"/>
    </w:rPr>
  </w:style>
  <w:style w:type="paragraph" w:customStyle="1" w:styleId="Cornernotation">
    <w:name w:val="Corner notation"/>
    <w:basedOn w:val="Normal"/>
    <w:pPr>
      <w:ind w:left="170" w:right="3119" w:hanging="170"/>
      <w:jc w:val="left"/>
    </w:pPr>
  </w:style>
  <w:style w:type="character" w:styleId="EndnoteReference">
    <w:name w:val="endnote reference"/>
    <w:basedOn w:val="DefaultParagraphFont"/>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character" w:customStyle="1" w:styleId="CharChar2">
    <w:name w:val="Char Char2"/>
    <w:basedOn w:val="DefaultParagraphFont"/>
    <w:semiHidden/>
    <w:locked/>
    <w:rPr>
      <w:rFonts w:ascii="Courier New" w:eastAsia="Times New Roman" w:hAnsi="Courier New" w:cs="Times New Roman"/>
      <w:sz w:val="22"/>
      <w:lang w:val="en-GB"/>
    </w:rPr>
  </w:style>
  <w:style w:type="character" w:styleId="FollowedHyperlink">
    <w:name w:val="FollowedHyperlink"/>
    <w:basedOn w:val="DefaultParagraphFont"/>
    <w:rPr>
      <w:color w:val="800080"/>
      <w:u w:val="single"/>
    </w:rPr>
  </w:style>
  <w:style w:type="character" w:styleId="FootnoteReference">
    <w:name w:val="footnote reference"/>
    <w:aliases w:val="BVI fnr Char Char Char,BVI fnr Car Car Char Char Char,BVI fnr Car Char Char Char,BVI fnr Car Car Car Car Char Char Char Char,BVI fnr Car Car Car Car Char Char1 Char,BVI fnr Car Car Car Char Char Char"/>
    <w:basedOn w:val="DefaultParagraphFont"/>
    <w:locked/>
    <w:rPr>
      <w:sz w:val="22"/>
      <w:u w:val="none"/>
      <w:vertAlign w:val="superscript"/>
    </w:rPr>
  </w:style>
  <w:style w:type="paragraph" w:styleId="FootnoteText">
    <w:name w:val="footnote text"/>
    <w:basedOn w:val="Normal"/>
    <w:semiHidden/>
    <w:pPr>
      <w:keepLines/>
      <w:spacing w:after="60"/>
      <w:ind w:firstLine="720"/>
    </w:pPr>
    <w:rPr>
      <w:sz w:val="18"/>
    </w:rPr>
  </w:style>
  <w:style w:type="character" w:customStyle="1" w:styleId="CharChar1">
    <w:name w:val="Char Char1"/>
    <w:basedOn w:val="DefaultParagraphFont"/>
    <w:semiHidden/>
    <w:locked/>
    <w:rPr>
      <w:rFonts w:ascii="Times New Roman" w:eastAsia="Times New Roman" w:hAnsi="Times New Roman" w:cs="Times New Roman"/>
      <w:sz w:val="18"/>
      <w:lang w:val="en-GB"/>
    </w:rPr>
  </w:style>
  <w:style w:type="paragraph" w:customStyle="1" w:styleId="HEADING">
    <w:name w:val="HEADING"/>
    <w:basedOn w:val="Normal"/>
    <w:pPr>
      <w:keepNext/>
      <w:spacing w:before="240" w:after="120"/>
      <w:jc w:val="center"/>
    </w:pPr>
    <w:rPr>
      <w:b/>
      <w:bCs/>
      <w:caps/>
    </w:rPr>
  </w:style>
  <w:style w:type="character" w:customStyle="1" w:styleId="CharChar18">
    <w:name w:val="Char Char18"/>
    <w:basedOn w:val="DefaultParagraphFont"/>
    <w:locked/>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character" w:customStyle="1" w:styleId="CharChar17">
    <w:name w:val="Char Char17"/>
    <w:basedOn w:val="DefaultParagraphFont"/>
    <w:locked/>
    <w:rPr>
      <w:rFonts w:ascii="Times New Roman" w:eastAsia="Times New Roman" w:hAnsi="Times New Roman" w:cs="Times New Roman"/>
      <w:i/>
      <w:iCs/>
      <w:sz w:val="22"/>
      <w:lang w:val="en-GB"/>
    </w:rPr>
  </w:style>
  <w:style w:type="paragraph" w:customStyle="1" w:styleId="heading2notforTOC">
    <w:name w:val="heading 2 not for TOC"/>
    <w:basedOn w:val="Heading3"/>
  </w:style>
  <w:style w:type="paragraph" w:customStyle="1" w:styleId="Heading3multiline">
    <w:name w:val="Heading 3 (multiline)"/>
    <w:basedOn w:val="Heading3"/>
    <w:next w:val="Normal"/>
    <w:pPr>
      <w:ind w:left="1418" w:hanging="425"/>
      <w:jc w:val="left"/>
    </w:pPr>
  </w:style>
  <w:style w:type="character" w:customStyle="1" w:styleId="CharChar16">
    <w:name w:val="Char Char16"/>
    <w:basedOn w:val="DefaultParagraphFont"/>
    <w:locked/>
    <w:rPr>
      <w:rFonts w:ascii="Times New Roman Bold" w:eastAsia="Times New Roman" w:hAnsi="Times New Roman Bold" w:cs="Arial"/>
      <w:b/>
      <w:bCs/>
      <w:i/>
      <w:sz w:val="22"/>
      <w:lang w:val="en-GB"/>
    </w:rPr>
  </w:style>
  <w:style w:type="paragraph" w:customStyle="1" w:styleId="Heading4indent">
    <w:name w:val="Heading 4 indent"/>
    <w:basedOn w:val="Heading4"/>
    <w:pPr>
      <w:ind w:left="720"/>
      <w:outlineLvl w:val="9"/>
    </w:pPr>
    <w:rPr>
      <w:rFonts w:ascii="Times New Roman" w:hAnsi="Times New Roman"/>
    </w:rPr>
  </w:style>
  <w:style w:type="character" w:customStyle="1" w:styleId="CharChar15">
    <w:name w:val="Char Char15"/>
    <w:basedOn w:val="DefaultParagraphFont"/>
    <w:locked/>
    <w:rPr>
      <w:rFonts w:ascii="Times New Roman" w:eastAsia="Times New Roman" w:hAnsi="Times New Roman" w:cs="Times New Roman"/>
      <w:bCs/>
      <w:i/>
      <w:sz w:val="26"/>
      <w:szCs w:val="26"/>
      <w:lang w:val="en-CA"/>
    </w:rPr>
  </w:style>
  <w:style w:type="character" w:customStyle="1" w:styleId="CharChar14">
    <w:name w:val="Char Char14"/>
    <w:basedOn w:val="DefaultParagraphFont"/>
    <w:locked/>
    <w:rPr>
      <w:rFonts w:ascii="Times New Roman" w:eastAsia="Times New Roman" w:hAnsi="Times New Roman" w:cs="Times New Roman"/>
      <w:sz w:val="22"/>
      <w:u w:val="single"/>
      <w:lang w:val="en-GB"/>
    </w:rPr>
  </w:style>
  <w:style w:type="character" w:customStyle="1" w:styleId="CharChar13">
    <w:name w:val="Char Char13"/>
    <w:basedOn w:val="DefaultParagraphFont"/>
    <w:locked/>
    <w:rPr>
      <w:rFonts w:ascii="Times New Roman" w:eastAsia="Times New Roman" w:hAnsi="Times New Roman" w:cs="Times New Roman"/>
      <w:b/>
      <w:sz w:val="28"/>
      <w:lang w:val="en-GB"/>
    </w:rPr>
  </w:style>
  <w:style w:type="character" w:customStyle="1" w:styleId="CharChar12">
    <w:name w:val="Char Char12"/>
    <w:basedOn w:val="DefaultParagraphFont"/>
    <w:locked/>
    <w:rPr>
      <w:rFonts w:ascii="Times New Roman" w:eastAsia="Times New Roman" w:hAnsi="Times New Roman" w:cs="Times New Roman"/>
      <w:b/>
      <w:sz w:val="32"/>
      <w:lang w:val="en-GB"/>
    </w:rPr>
  </w:style>
  <w:style w:type="character" w:customStyle="1" w:styleId="CharChar11">
    <w:name w:val="Char Char11"/>
    <w:basedOn w:val="DefaultParagraphFont"/>
    <w:locked/>
    <w:rPr>
      <w:rFonts w:ascii="Times New Roman" w:eastAsia="Times New Roman" w:hAnsi="Times New Roman" w:cs="Times New Roman"/>
      <w:i/>
      <w:iCs/>
      <w:sz w:val="22"/>
      <w:lang w:val="en-GB"/>
    </w:rPr>
  </w:style>
  <w:style w:type="character" w:styleId="PageNumber">
    <w:name w:val="page number"/>
    <w:basedOn w:val="DefaultParagraphFont"/>
    <w:rPr>
      <w:rFonts w:ascii="Times New Roman" w:hAnsi="Times New Roman"/>
      <w:sz w:val="22"/>
    </w:rPr>
  </w:style>
  <w:style w:type="paragraph" w:customStyle="1" w:styleId="Para1">
    <w:name w:val="Para1"/>
    <w:basedOn w:val="Normal"/>
    <w:pPr>
      <w:numPr>
        <w:numId w:val="4"/>
      </w:numPr>
      <w:tabs>
        <w:tab w:val="clear" w:pos="360"/>
      </w:tabs>
      <w:spacing w:before="120" w:after="120"/>
    </w:pPr>
    <w:rPr>
      <w:snapToGrid/>
      <w:szCs w:val="18"/>
    </w:r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5"/>
      </w:numPr>
      <w:tabs>
        <w:tab w:val="left" w:pos="1980"/>
      </w:tabs>
      <w:spacing w:before="80" w:after="80"/>
    </w:pPr>
    <w:rPr>
      <w:szCs w:val="20"/>
    </w:rPr>
  </w:style>
  <w:style w:type="paragraph" w:customStyle="1" w:styleId="para4">
    <w:name w:val="para4"/>
    <w:basedOn w:val="Normal"/>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pPr>
      <w:spacing w:before="120" w:after="120"/>
      <w:ind w:left="720" w:right="720"/>
    </w:pPr>
    <w:rPr>
      <w:bCs/>
    </w:rPr>
  </w:style>
  <w:style w:type="paragraph" w:customStyle="1" w:styleId="recommendationheader">
    <w:name w:val="recommendation header"/>
    <w:basedOn w:val="Heading2"/>
  </w:style>
  <w:style w:type="paragraph" w:customStyle="1" w:styleId="recommendationheaderlong">
    <w:name w:val="recommendation header long"/>
    <w:basedOn w:val="Heading2longmultiline"/>
  </w:style>
  <w:style w:type="paragraph" w:customStyle="1" w:styleId="reference">
    <w:name w:val="reference"/>
    <w:basedOn w:val="Heading9"/>
    <w:rPr>
      <w:i w:val="0"/>
      <w:sz w:val="18"/>
    </w:rPr>
  </w:style>
  <w:style w:type="character" w:customStyle="1" w:styleId="StyleFootnoteReferenceNounderline">
    <w:name w:val="Style Footnote Reference + No underline"/>
    <w:rPr>
      <w:sz w:val="18"/>
      <w:u w:val="none"/>
      <w:vertAlign w:val="baseline"/>
    </w:rPr>
  </w:style>
  <w:style w:type="paragraph" w:customStyle="1" w:styleId="tabletitle">
    <w:name w:val="table title"/>
    <w:basedOn w:val="Heading2"/>
    <w:pPr>
      <w:jc w:val="left"/>
      <w:outlineLvl w:val="9"/>
    </w:pPr>
    <w:rPr>
      <w:i/>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lang w:val="es-ES"/>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TOC9">
    <w:name w:val="toc 9"/>
    <w:basedOn w:val="Normal"/>
    <w:next w:val="Normal"/>
    <w:autoRedefine/>
    <w:semiHidden/>
    <w:pPr>
      <w:spacing w:before="120" w:after="120"/>
      <w:ind w:left="1760"/>
      <w:jc w:val="left"/>
    </w:pPr>
  </w:style>
  <w:style w:type="character" w:styleId="Hyperlink">
    <w:name w:val="Hyperlink"/>
    <w:basedOn w:val="DefaultParagraphFont"/>
    <w:rPr>
      <w:color w:val="0000FF"/>
      <w:sz w:val="18"/>
      <w:u w:val="single"/>
    </w:rPr>
  </w:style>
  <w:style w:type="character" w:customStyle="1" w:styleId="Para1Char">
    <w:name w:val="Para1 Char"/>
    <w:locked/>
    <w:rPr>
      <w:rFonts w:ascii="Times New Roman" w:eastAsia="Times New Roman" w:hAnsi="Times New Roman"/>
      <w:snapToGrid w:val="0"/>
      <w:sz w:val="18"/>
      <w:lang w:val="en-GB"/>
    </w:rPr>
  </w:style>
  <w:style w:type="paragraph" w:customStyle="1" w:styleId="CBD-Doc-Type">
    <w:name w:val="CBD-Doc-Type"/>
    <w:basedOn w:val="Normal"/>
    <w:pPr>
      <w:keepLines/>
      <w:spacing w:before="240" w:after="120"/>
    </w:pPr>
    <w:rPr>
      <w:b/>
      <w:i/>
      <w:sz w:val="24"/>
    </w:rPr>
  </w:style>
  <w:style w:type="paragraph" w:customStyle="1" w:styleId="CBD-Doc">
    <w:name w:val="CBD-Doc"/>
    <w:basedOn w:val="Normal"/>
    <w:pPr>
      <w:keepLines/>
      <w:numPr>
        <w:numId w:val="9"/>
      </w:numPr>
      <w:spacing w:after="120"/>
    </w:pPr>
  </w:style>
  <w:style w:type="paragraph" w:styleId="ListParagraph">
    <w:name w:val="List Paragraph"/>
    <w:basedOn w:val="Normal"/>
    <w:qFormat/>
    <w:pPr>
      <w:ind w:left="720"/>
      <w:contextualSpacing/>
    </w:pPr>
  </w:style>
  <w:style w:type="paragraph" w:styleId="Caption">
    <w:name w:val="caption"/>
    <w:basedOn w:val="Normal"/>
    <w:next w:val="Normal"/>
    <w:qFormat/>
    <w:pPr>
      <w:keepNext/>
      <w:keepLines/>
      <w:spacing w:after="200"/>
    </w:pPr>
    <w:rPr>
      <w:b/>
      <w:iCs/>
      <w:szCs w:val="18"/>
    </w:rPr>
  </w:style>
  <w:style w:type="paragraph" w:customStyle="1" w:styleId="Style1">
    <w:name w:val="Style1"/>
    <w:basedOn w:val="Heading2"/>
    <w:rPr>
      <w:i/>
    </w:rPr>
  </w:style>
  <w:style w:type="paragraph" w:styleId="NoSpacing">
    <w:name w:val="No Spacing"/>
    <w:qFormat/>
    <w:rPr>
      <w:snapToGrid w:val="0"/>
      <w:sz w:val="22"/>
      <w:szCs w:val="22"/>
      <w:lang w:val="en-US" w:eastAsia="es-ES"/>
    </w:rPr>
  </w:style>
  <w:style w:type="character" w:customStyle="1" w:styleId="NoSpacingChar">
    <w:name w:val="No Spacing Char"/>
    <w:basedOn w:val="DefaultParagraphFont"/>
    <w:locked/>
    <w:rPr>
      <w:rFonts w:ascii="Times New Roman" w:eastAsia="Times New Roman" w:hAnsi="Times New Roman" w:cs="Times New Roman"/>
      <w:sz w:val="22"/>
      <w:szCs w:val="22"/>
      <w:lang w:val="en-US" w:bidi="ar-SA"/>
    </w:rPr>
  </w:style>
  <w:style w:type="paragraph" w:customStyle="1" w:styleId="BVIfnrCharChar">
    <w:name w:val="BVI fnr Char Char"/>
    <w:aliases w:val="BVI fnr Car Car Char Char,BVI fnr Car Char Char,BVI fnr Car Car Car Car Char Char Char,BVI fnr Car Car Car Car Char Char1,BVI fnr Car Car Car Char Char,BVI fnr Car Car Car Car Car Char Char"/>
    <w:basedOn w:val="Normal"/>
    <w:pPr>
      <w:spacing w:after="160" w:line="240" w:lineRule="exact"/>
      <w:jc w:val="left"/>
    </w:pPr>
    <w:rPr>
      <w:szCs w:val="20"/>
      <w:vertAlign w:val="superscript"/>
      <w:lang w:val="es-ES"/>
    </w:rPr>
  </w:style>
  <w:style w:type="paragraph" w:styleId="CommentSubject">
    <w:name w:val="annotation subject"/>
    <w:basedOn w:val="CommentText"/>
    <w:next w:val="CommentText"/>
    <w:semiHidden/>
    <w:pPr>
      <w:spacing w:after="0" w:line="240" w:lineRule="auto"/>
    </w:pPr>
    <w:rPr>
      <w:b/>
      <w:bCs/>
      <w:sz w:val="20"/>
      <w:szCs w:val="20"/>
    </w:rPr>
  </w:style>
  <w:style w:type="character" w:customStyle="1" w:styleId="CharChar">
    <w:name w:val="Char Char"/>
    <w:basedOn w:val="CharChar3"/>
    <w:semiHidden/>
    <w:locked/>
    <w:rPr>
      <w:b/>
      <w:bCs/>
      <w:sz w:val="20"/>
      <w:szCs w:val="20"/>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3345</Characters>
  <Application>Microsoft Office Word</Application>
  <DocSecurity>0</DocSecurity>
  <Lines>68</Lines>
  <Paragraphs>32</Paragraphs>
  <ScaleCrop>false</ScaleCrop>
  <HeadingPairs>
    <vt:vector size="2" baseType="variant">
      <vt:variant>
        <vt:lpstr>Title</vt:lpstr>
      </vt:variant>
      <vt:variant>
        <vt:i4>1</vt:i4>
      </vt:variant>
    </vt:vector>
  </HeadingPairs>
  <TitlesOfParts>
    <vt:vector size="1" baseType="lpstr">
      <vt:lpstr>9/11.	Unintentional transboundary movements and emergency measures (Article 17)</vt:lpstr>
    </vt:vector>
  </TitlesOfParts>
  <Company>SCBD</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9/11.	Unintentional transboundary movements and emergency measures (Article 17)</dc:title>
  <dc:subject>CBD/CP/MOP/DEC/9/11</dc:subject>
  <dc:creator>CP MOP 9</dc:creator>
  <cp:keywords>Unintentional transboundary movements and emergency measures (Article 17), Cartagena Protocol on Biosafety, Convention on Biological Diversity</cp:keywords>
  <cp:lastModifiedBy>Laura Perez</cp:lastModifiedBy>
  <cp:revision>2</cp:revision>
  <dcterms:created xsi:type="dcterms:W3CDTF">2019-02-14T13:42:00Z</dcterms:created>
  <dcterms:modified xsi:type="dcterms:W3CDTF">2019-02-14T13:42:00Z</dcterms:modified>
</cp:coreProperties>
</file>