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ayout w:type="fixed"/>
        <w:tblLook w:val="00A0"/>
      </w:tblPr>
      <w:tblGrid>
        <w:gridCol w:w="976"/>
        <w:gridCol w:w="5141"/>
        <w:gridCol w:w="4090"/>
      </w:tblGrid>
      <w:tr w:rsidR="00BA5E3C">
        <w:trPr>
          <w:trHeight w:val="709"/>
        </w:trPr>
        <w:tc>
          <w:tcPr>
            <w:tcW w:w="976" w:type="dxa"/>
            <w:tcBorders>
              <w:bottom w:val="single" w:sz="12" w:space="0" w:color="auto"/>
            </w:tcBorders>
          </w:tcPr>
          <w:p w:rsidR="00BA5E3C" w:rsidRDefault="008B07AA">
            <w:pPr>
              <w:rPr>
                <w:color w:val="000000"/>
                <w:kern w:val="22"/>
                <w:lang w:val="es-ES"/>
              </w:rPr>
            </w:pPr>
            <w:r>
              <w:rPr>
                <w:noProof/>
                <w:snapToGrid/>
                <w:color w:val="000000"/>
                <w:kern w:val="22"/>
                <w:lang w:val="es-UY" w:eastAsia="es-UY"/>
              </w:rPr>
              <w:drawing>
                <wp:inline distT="0" distB="0" distL="0" distR="0">
                  <wp:extent cx="427355" cy="361950"/>
                  <wp:effectExtent l="1905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srcRect/>
                          <a:stretch>
                            <a:fillRect/>
                          </a:stretch>
                        </pic:blipFill>
                        <pic:spPr bwMode="auto">
                          <a:xfrm>
                            <a:off x="0" y="0"/>
                            <a:ext cx="427355" cy="361950"/>
                          </a:xfrm>
                          <a:prstGeom prst="rect">
                            <a:avLst/>
                          </a:prstGeom>
                          <a:noFill/>
                          <a:ln w="9525">
                            <a:noFill/>
                            <a:miter lim="800000"/>
                            <a:headEnd/>
                            <a:tailEnd/>
                          </a:ln>
                        </pic:spPr>
                      </pic:pic>
                    </a:graphicData>
                  </a:graphic>
                </wp:inline>
              </w:drawing>
            </w:r>
          </w:p>
        </w:tc>
        <w:tc>
          <w:tcPr>
            <w:tcW w:w="5141" w:type="dxa"/>
            <w:tcBorders>
              <w:bottom w:val="single" w:sz="12" w:space="0" w:color="auto"/>
            </w:tcBorders>
          </w:tcPr>
          <w:p w:rsidR="00BA5E3C" w:rsidRDefault="008B07AA">
            <w:pPr>
              <w:rPr>
                <w:color w:val="000000"/>
                <w:kern w:val="22"/>
                <w:lang w:val="es-ES"/>
              </w:rPr>
            </w:pPr>
            <w:r>
              <w:rPr>
                <w:noProof/>
                <w:snapToGrid/>
                <w:color w:val="000000"/>
                <w:kern w:val="22"/>
                <w:lang w:val="es-UY" w:eastAsia="es-UY"/>
              </w:rPr>
              <w:drawing>
                <wp:inline distT="0" distB="0" distL="0" distR="0">
                  <wp:extent cx="336550" cy="396875"/>
                  <wp:effectExtent l="19050" t="0" r="6350" b="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9" cstate="print"/>
                          <a:srcRect/>
                          <a:stretch>
                            <a:fillRect/>
                          </a:stretch>
                        </pic:blipFill>
                        <pic:spPr bwMode="auto">
                          <a:xfrm>
                            <a:off x="0" y="0"/>
                            <a:ext cx="336550" cy="396875"/>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BA5E3C" w:rsidRDefault="00BA5E3C">
            <w:pPr>
              <w:jc w:val="right"/>
              <w:rPr>
                <w:rFonts w:ascii="Arial" w:hAnsi="Arial"/>
                <w:b/>
                <w:color w:val="000000"/>
                <w:kern w:val="22"/>
                <w:sz w:val="32"/>
                <w:lang w:val="es-ES"/>
              </w:rPr>
            </w:pPr>
            <w:r>
              <w:rPr>
                <w:rFonts w:ascii="Arial" w:hAnsi="Arial"/>
                <w:b/>
                <w:noProof/>
                <w:color w:val="000000"/>
                <w:kern w:val="22"/>
                <w:sz w:val="32"/>
                <w:lang w:val="es-ES"/>
              </w:rPr>
              <w:t>CBD</w:t>
            </w:r>
          </w:p>
        </w:tc>
      </w:tr>
      <w:tr w:rsidR="00BA5E3C">
        <w:tc>
          <w:tcPr>
            <w:tcW w:w="6117" w:type="dxa"/>
            <w:gridSpan w:val="2"/>
            <w:tcBorders>
              <w:top w:val="single" w:sz="12" w:space="0" w:color="auto"/>
              <w:bottom w:val="single" w:sz="36" w:space="0" w:color="auto"/>
            </w:tcBorders>
            <w:vAlign w:val="center"/>
          </w:tcPr>
          <w:p w:rsidR="00BA5E3C" w:rsidRDefault="008B07AA">
            <w:pPr>
              <w:rPr>
                <w:color w:val="000000"/>
                <w:kern w:val="22"/>
                <w:lang w:val="es-ES"/>
              </w:rPr>
            </w:pPr>
            <w:r>
              <w:rPr>
                <w:noProof/>
                <w:snapToGrid/>
                <w:color w:val="000000"/>
                <w:kern w:val="22"/>
                <w:lang w:val="es-UY" w:eastAsia="es-UY"/>
              </w:rPr>
              <w:drawing>
                <wp:inline distT="0" distB="0" distL="0" distR="0">
                  <wp:extent cx="2903855" cy="1080135"/>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srcRect/>
                          <a:stretch>
                            <a:fillRect/>
                          </a:stretch>
                        </pic:blipFill>
                        <pic:spPr bwMode="auto">
                          <a:xfrm>
                            <a:off x="0" y="0"/>
                            <a:ext cx="2903855" cy="108013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BA5E3C" w:rsidRDefault="00BA5E3C">
            <w:pPr>
              <w:ind w:left="1215"/>
              <w:rPr>
                <w:color w:val="000000"/>
                <w:kern w:val="22"/>
                <w:lang w:val="es-ES"/>
              </w:rPr>
            </w:pPr>
            <w:r>
              <w:rPr>
                <w:noProof/>
                <w:color w:val="000000"/>
                <w:kern w:val="22"/>
                <w:lang w:val="es-ES"/>
              </w:rPr>
              <w:t>Distr.</w:t>
            </w:r>
          </w:p>
          <w:p w:rsidR="00BA5E3C" w:rsidRDefault="00BA5E3C">
            <w:pPr>
              <w:ind w:left="1215"/>
              <w:rPr>
                <w:color w:val="000000"/>
                <w:kern w:val="22"/>
                <w:lang w:val="es-ES"/>
              </w:rPr>
            </w:pPr>
            <w:r>
              <w:rPr>
                <w:noProof/>
                <w:color w:val="000000"/>
                <w:kern w:val="22"/>
                <w:lang w:val="es-ES"/>
              </w:rPr>
              <w:t>GENERAL</w:t>
            </w:r>
          </w:p>
          <w:p w:rsidR="00BA5E3C" w:rsidRDefault="00BA5E3C">
            <w:pPr>
              <w:ind w:left="1215"/>
              <w:rPr>
                <w:color w:val="000000"/>
                <w:kern w:val="22"/>
                <w:lang w:val="es-ES"/>
              </w:rPr>
            </w:pPr>
          </w:p>
          <w:p w:rsidR="00BA5E3C" w:rsidRDefault="00BA5E3C">
            <w:pPr>
              <w:ind w:left="1215"/>
              <w:rPr>
                <w:color w:val="000000"/>
                <w:kern w:val="22"/>
                <w:lang w:val="es-ES"/>
              </w:rPr>
            </w:pPr>
            <w:r>
              <w:rPr>
                <w:noProof/>
                <w:color w:val="000000"/>
                <w:kern w:val="22"/>
                <w:lang w:val="es-ES"/>
              </w:rPr>
              <w:t>CBD/CP/MOP/DEC/9/10</w:t>
            </w:r>
          </w:p>
          <w:p w:rsidR="00BA5E3C" w:rsidRDefault="00BA5E3C">
            <w:pPr>
              <w:ind w:left="1215"/>
              <w:rPr>
                <w:color w:val="000000"/>
                <w:kern w:val="22"/>
                <w:lang w:val="es-ES"/>
              </w:rPr>
            </w:pPr>
            <w:r>
              <w:rPr>
                <w:noProof/>
                <w:color w:val="000000"/>
                <w:kern w:val="22"/>
                <w:lang w:val="es-ES"/>
              </w:rPr>
              <w:t>30 de noviembre de 2018</w:t>
            </w:r>
          </w:p>
          <w:p w:rsidR="00BA5E3C" w:rsidRDefault="00BA5E3C">
            <w:pPr>
              <w:ind w:left="1215"/>
              <w:rPr>
                <w:color w:val="000000"/>
                <w:kern w:val="22"/>
                <w:lang w:val="es-ES"/>
              </w:rPr>
            </w:pPr>
          </w:p>
          <w:p w:rsidR="00BA5E3C" w:rsidRDefault="00BA5E3C">
            <w:pPr>
              <w:ind w:left="1215"/>
              <w:rPr>
                <w:color w:val="000000"/>
                <w:kern w:val="22"/>
                <w:lang w:val="es-ES"/>
              </w:rPr>
            </w:pPr>
            <w:r>
              <w:rPr>
                <w:noProof/>
                <w:color w:val="000000"/>
                <w:kern w:val="22"/>
                <w:lang w:val="es-ES"/>
              </w:rPr>
              <w:t>ESPAÑOL</w:t>
            </w:r>
          </w:p>
          <w:p w:rsidR="00BA5E3C" w:rsidRDefault="00BA5E3C">
            <w:pPr>
              <w:ind w:left="1215"/>
              <w:rPr>
                <w:color w:val="000000"/>
                <w:kern w:val="22"/>
                <w:lang w:val="es-ES"/>
              </w:rPr>
            </w:pPr>
            <w:r>
              <w:rPr>
                <w:noProof/>
                <w:color w:val="000000"/>
                <w:kern w:val="22"/>
                <w:lang w:val="es-ES"/>
              </w:rPr>
              <w:t>ORIGINAL:</w:t>
            </w:r>
            <w:r>
              <w:rPr>
                <w:color w:val="000000"/>
                <w:kern w:val="22"/>
                <w:lang w:val="es-ES"/>
              </w:rPr>
              <w:t xml:space="preserve"> </w:t>
            </w:r>
            <w:r>
              <w:rPr>
                <w:noProof/>
                <w:color w:val="000000"/>
                <w:kern w:val="22"/>
                <w:lang w:val="es-ES"/>
              </w:rPr>
              <w:t>INGLÉS</w:t>
            </w:r>
          </w:p>
          <w:p w:rsidR="00BA5E3C" w:rsidRDefault="00BA5E3C">
            <w:pPr>
              <w:rPr>
                <w:color w:val="000000"/>
                <w:kern w:val="22"/>
                <w:lang w:val="es-ES"/>
              </w:rPr>
            </w:pPr>
          </w:p>
        </w:tc>
      </w:tr>
    </w:tbl>
    <w:p w:rsidR="00BA5E3C" w:rsidRDefault="00BA5E3C">
      <w:pPr>
        <w:pStyle w:val="Cornernotation"/>
        <w:suppressLineNumbers/>
        <w:suppressAutoHyphens/>
        <w:kinsoku w:val="0"/>
        <w:overflowPunct w:val="0"/>
        <w:autoSpaceDE w:val="0"/>
        <w:autoSpaceDN w:val="0"/>
        <w:spacing w:before="120"/>
        <w:ind w:left="187" w:right="4423" w:hanging="187"/>
        <w:rPr>
          <w:kern w:val="22"/>
          <w:lang/>
        </w:rPr>
      </w:pPr>
      <w:r>
        <w:rPr>
          <w:noProof/>
          <w:lang/>
        </w:rPr>
        <w:t>CONFERENCIA DE LAS PARTES EN EL CONVENIO SOBRE LA DIVERSIDAD BIOLÓGICA QUE ACTÚA COMO REUNIÓN DE LAS PARTES EN EL PROTOCOLO DE CARTAGENA SOBRE SEGURIDAD DE LA BIOTECNOLOGÍA</w:t>
      </w:r>
    </w:p>
    <w:p w:rsidR="00BA5E3C" w:rsidRDefault="00BA5E3C">
      <w:pPr>
        <w:pStyle w:val="Cornernotation"/>
        <w:suppressLineNumbers/>
        <w:suppressAutoHyphens/>
        <w:kinsoku w:val="0"/>
        <w:overflowPunct w:val="0"/>
        <w:autoSpaceDE w:val="0"/>
        <w:autoSpaceDN w:val="0"/>
        <w:ind w:left="187" w:right="4421" w:hanging="187"/>
        <w:rPr>
          <w:kern w:val="22"/>
          <w:lang/>
        </w:rPr>
      </w:pPr>
      <w:r>
        <w:rPr>
          <w:noProof/>
          <w:lang/>
        </w:rPr>
        <w:t>Novena reunión</w:t>
      </w:r>
    </w:p>
    <w:p w:rsidR="00BA5E3C" w:rsidRDefault="00BA5E3C">
      <w:pPr>
        <w:pStyle w:val="Cornernotation"/>
        <w:suppressLineNumbers/>
        <w:suppressAutoHyphens/>
        <w:kinsoku w:val="0"/>
        <w:overflowPunct w:val="0"/>
        <w:autoSpaceDE w:val="0"/>
        <w:autoSpaceDN w:val="0"/>
        <w:ind w:left="187" w:right="4423" w:hanging="187"/>
        <w:rPr>
          <w:lang w:val="es-AR"/>
        </w:rPr>
      </w:pPr>
      <w:r>
        <w:rPr>
          <w:noProof/>
          <w:lang w:val="es-AR"/>
        </w:rPr>
        <w:t>Sharm el-Sheikh (Egipto), 17 a 29 de noviembre de 2018</w:t>
      </w:r>
    </w:p>
    <w:p w:rsidR="00BA5E3C" w:rsidRDefault="00BA5E3C">
      <w:pPr>
        <w:rPr>
          <w:color w:val="000000"/>
          <w:kern w:val="22"/>
          <w:lang w:val="es-ES"/>
        </w:rPr>
      </w:pPr>
      <w:r>
        <w:rPr>
          <w:lang w:val="es-AR"/>
        </w:rPr>
        <w:t xml:space="preserve">Tema </w:t>
      </w:r>
      <w:r>
        <w:rPr>
          <w:color w:val="000000"/>
          <w:kern w:val="22"/>
          <w:lang w:val="es-ES"/>
        </w:rPr>
        <w:t>13 del programa</w:t>
      </w:r>
    </w:p>
    <w:p w:rsidR="00BA5E3C" w:rsidRDefault="00BA5E3C">
      <w:pPr>
        <w:pStyle w:val="Heading1"/>
        <w:keepNext w:val="0"/>
        <w:tabs>
          <w:tab w:val="clear" w:pos="720"/>
        </w:tabs>
        <w:rPr>
          <w:rFonts w:ascii="Times New Roman Bold" w:hAnsi="Times New Roman Bold"/>
          <w:color w:val="000000"/>
          <w:kern w:val="22"/>
          <w:lang w:val="es-ES"/>
        </w:rPr>
      </w:pPr>
      <w:r>
        <w:rPr>
          <w:rFonts w:ascii="Times New Roman Bold" w:hAnsi="Times New Roman Bold"/>
          <w:noProof/>
          <w:color w:val="000000"/>
          <w:kern w:val="22"/>
          <w:lang w:val="es-ES"/>
        </w:rPr>
        <w:t>DecisiÓn adoptAdA POR LAS Partes eN EL Protocolo DE Cartagena SOBRE SEGURIDAD DE LA BiotECNOLOGÍA</w:t>
      </w:r>
    </w:p>
    <w:p w:rsidR="00BA5E3C" w:rsidRPr="008414CB" w:rsidRDefault="00BA5E3C">
      <w:pPr>
        <w:pStyle w:val="recommendationheader"/>
        <w:rPr>
          <w:bCs w:val="0"/>
          <w:iCs w:val="0"/>
          <w:color w:val="000000"/>
          <w:kern w:val="22"/>
          <w:lang w:val="es-ES"/>
        </w:rPr>
      </w:pPr>
      <w:r w:rsidRPr="008414CB">
        <w:rPr>
          <w:bCs w:val="0"/>
          <w:iCs w:val="0"/>
          <w:color w:val="000000"/>
          <w:kern w:val="22"/>
          <w:lang w:val="es-ES"/>
        </w:rPr>
        <w:t>9/10.</w:t>
      </w:r>
      <w:r w:rsidRPr="008414CB">
        <w:rPr>
          <w:bCs w:val="0"/>
          <w:iCs w:val="0"/>
          <w:color w:val="000000"/>
          <w:kern w:val="22"/>
          <w:lang w:val="es-ES"/>
        </w:rPr>
        <w:tab/>
        <w:t>Procedimiento para evitar o tratar conflictos de intereses en los grupos de expertos</w:t>
      </w:r>
    </w:p>
    <w:p w:rsidR="00BA5E3C" w:rsidRPr="008414CB" w:rsidRDefault="00BA5E3C">
      <w:pPr>
        <w:suppressLineNumbers/>
        <w:suppressAutoHyphens/>
        <w:kinsoku w:val="0"/>
        <w:overflowPunct w:val="0"/>
        <w:autoSpaceDE w:val="0"/>
        <w:autoSpaceDN w:val="0"/>
        <w:adjustRightInd w:val="0"/>
        <w:snapToGrid w:val="0"/>
        <w:spacing w:before="120" w:after="120"/>
        <w:ind w:firstLine="720"/>
        <w:rPr>
          <w:rFonts w:ascii="MS Mincho" w:eastAsia="MS Mincho"/>
          <w:color w:val="000000"/>
          <w:kern w:val="22"/>
          <w:lang w:val="es-ES"/>
        </w:rPr>
      </w:pPr>
      <w:r w:rsidRPr="008414CB">
        <w:rPr>
          <w:i/>
          <w:color w:val="000000"/>
          <w:kern w:val="22"/>
          <w:lang w:val="es-ES"/>
        </w:rPr>
        <w:t>La Conferencia de las Partes que actúa como reunión de las Partes en el Protocolo de Cartagena sobre Seguridad de la Biotecnología,</w:t>
      </w:r>
    </w:p>
    <w:p w:rsidR="00BA5E3C" w:rsidRPr="008414CB" w:rsidRDefault="00BA5E3C">
      <w:pPr>
        <w:suppressLineNumbers/>
        <w:shd w:val="clear" w:color="auto" w:fill="FFFFFF"/>
        <w:suppressAutoHyphens/>
        <w:kinsoku w:val="0"/>
        <w:overflowPunct w:val="0"/>
        <w:autoSpaceDE w:val="0"/>
        <w:autoSpaceDN w:val="0"/>
        <w:adjustRightInd w:val="0"/>
        <w:snapToGrid w:val="0"/>
        <w:spacing w:before="120" w:after="120"/>
        <w:ind w:firstLine="720"/>
        <w:rPr>
          <w:color w:val="000000"/>
          <w:kern w:val="22"/>
          <w:lang w:val="es-ES"/>
        </w:rPr>
      </w:pPr>
      <w:r w:rsidRPr="008414CB">
        <w:rPr>
          <w:i/>
          <w:color w:val="000000"/>
          <w:kern w:val="22"/>
          <w:lang w:val="es-ES"/>
        </w:rPr>
        <w:t>Reconociendo</w:t>
      </w:r>
      <w:r w:rsidRPr="008414CB">
        <w:rPr>
          <w:color w:val="000000"/>
          <w:kern w:val="22"/>
          <w:lang w:val="es-ES"/>
        </w:rPr>
        <w:t xml:space="preserve"> la importancia fundamental de adoptar decisiones basadas en el mejor asesoramiento especializado disponible,</w:t>
      </w:r>
    </w:p>
    <w:p w:rsidR="00BA5E3C" w:rsidRPr="008414CB" w:rsidRDefault="00BA5E3C">
      <w:pPr>
        <w:suppressLineNumbers/>
        <w:shd w:val="clear" w:color="auto" w:fill="FFFFFF"/>
        <w:suppressAutoHyphens/>
        <w:kinsoku w:val="0"/>
        <w:overflowPunct w:val="0"/>
        <w:autoSpaceDE w:val="0"/>
        <w:autoSpaceDN w:val="0"/>
        <w:adjustRightInd w:val="0"/>
        <w:snapToGrid w:val="0"/>
        <w:spacing w:before="120" w:after="120"/>
        <w:ind w:firstLine="720"/>
        <w:rPr>
          <w:color w:val="000000"/>
          <w:kern w:val="22"/>
          <w:lang w:val="es-ES"/>
        </w:rPr>
      </w:pPr>
      <w:r w:rsidRPr="008414CB">
        <w:rPr>
          <w:i/>
          <w:color w:val="000000"/>
          <w:kern w:val="22"/>
          <w:lang w:val="es-ES"/>
        </w:rPr>
        <w:t>Reconociendo también</w:t>
      </w:r>
      <w:r w:rsidRPr="008414CB">
        <w:rPr>
          <w:color w:val="000000"/>
          <w:kern w:val="22"/>
          <w:lang w:val="es-ES"/>
        </w:rPr>
        <w:t xml:space="preserve"> la necesidad de evitar o tratar con transparencia los conflictos de intereses de los miembros de los grupos de expertos que se establecen cada tanto para formular recomendaciones,</w:t>
      </w:r>
    </w:p>
    <w:p w:rsidR="00BA5E3C" w:rsidRPr="008414CB" w:rsidRDefault="00BA5E3C">
      <w:pPr>
        <w:suppressLineNumbers/>
        <w:shd w:val="clear" w:color="auto" w:fill="FFFFFF"/>
        <w:suppressAutoHyphens/>
        <w:kinsoku w:val="0"/>
        <w:overflowPunct w:val="0"/>
        <w:autoSpaceDE w:val="0"/>
        <w:autoSpaceDN w:val="0"/>
        <w:adjustRightInd w:val="0"/>
        <w:snapToGrid w:val="0"/>
        <w:ind w:firstLine="720"/>
        <w:rPr>
          <w:color w:val="000000"/>
          <w:kern w:val="22"/>
          <w:lang w:val="es-ES"/>
        </w:rPr>
      </w:pPr>
      <w:r w:rsidRPr="008414CB">
        <w:rPr>
          <w:color w:val="000000"/>
          <w:kern w:val="22"/>
          <w:lang w:val="es-ES"/>
        </w:rPr>
        <w:t>1.</w:t>
      </w:r>
      <w:r w:rsidRPr="008414CB">
        <w:rPr>
          <w:color w:val="000000"/>
          <w:kern w:val="22"/>
          <w:lang w:val="es-ES"/>
        </w:rPr>
        <w:tab/>
      </w:r>
      <w:r w:rsidRPr="008414CB">
        <w:rPr>
          <w:i/>
          <w:color w:val="000000"/>
          <w:kern w:val="22"/>
          <w:lang w:val="es-ES"/>
        </w:rPr>
        <w:t>Aprueba</w:t>
      </w:r>
      <w:r w:rsidRPr="008414CB">
        <w:rPr>
          <w:color w:val="000000"/>
          <w:kern w:val="22"/>
          <w:lang w:val="es-ES"/>
        </w:rPr>
        <w:t xml:space="preserve"> el Procedimiento para Evitar o Tratar Conflictos de Intereses en los Grupos de Expertos que figura en el anexo de la decisión 14/33;</w:t>
      </w:r>
    </w:p>
    <w:p w:rsidR="00BA5E3C" w:rsidRPr="008414CB" w:rsidRDefault="00BA5E3C">
      <w:pPr>
        <w:suppressLineNumbers/>
        <w:shd w:val="clear" w:color="auto" w:fill="FFFFFF"/>
        <w:suppressAutoHyphens/>
        <w:kinsoku w:val="0"/>
        <w:overflowPunct w:val="0"/>
        <w:autoSpaceDE w:val="0"/>
        <w:autoSpaceDN w:val="0"/>
        <w:adjustRightInd w:val="0"/>
        <w:snapToGrid w:val="0"/>
        <w:spacing w:before="120" w:after="120"/>
        <w:ind w:firstLine="720"/>
        <w:rPr>
          <w:color w:val="000000"/>
          <w:kern w:val="22"/>
          <w:lang w:val="es-ES"/>
        </w:rPr>
      </w:pPr>
      <w:r w:rsidRPr="008414CB">
        <w:rPr>
          <w:color w:val="000000"/>
          <w:kern w:val="22"/>
          <w:lang w:val="es-ES"/>
        </w:rPr>
        <w:t>2.</w:t>
      </w:r>
      <w:r w:rsidRPr="008414CB">
        <w:rPr>
          <w:color w:val="000000"/>
          <w:kern w:val="22"/>
          <w:lang w:val="es-ES"/>
        </w:rPr>
        <w:tab/>
      </w:r>
      <w:r w:rsidRPr="008414CB">
        <w:rPr>
          <w:i/>
          <w:color w:val="000000"/>
          <w:kern w:val="22"/>
          <w:lang w:val="es-ES"/>
        </w:rPr>
        <w:t>Pide</w:t>
      </w:r>
      <w:r w:rsidRPr="008414CB">
        <w:rPr>
          <w:color w:val="000000"/>
          <w:kern w:val="22"/>
          <w:lang w:val="es-ES"/>
        </w:rPr>
        <w:t xml:space="preserve"> a la Secretaria Ejecutiva que vele por la puesta en práctica, </w:t>
      </w:r>
      <w:r w:rsidRPr="008414CB">
        <w:rPr>
          <w:i/>
          <w:color w:val="000000"/>
          <w:kern w:val="22"/>
          <w:lang w:val="es-ES"/>
        </w:rPr>
        <w:t>mutatis mutandis</w:t>
      </w:r>
      <w:r w:rsidRPr="008414CB">
        <w:rPr>
          <w:color w:val="000000"/>
          <w:kern w:val="22"/>
          <w:lang w:val="es-ES"/>
        </w:rPr>
        <w:t xml:space="preserve">, del Procedimiento para Evitar o Tratar Conflictos de Intereses en los Grupos de Expertos en lo que respecta a la labor de los grupos de expertos técnicos establecidos en el marco del Protocolo de Cartagena sobre Seguridad de la Biotecnología, en consulta con la Mesa del Órgano Subsidiario de Asesoramiento Científico, Técnico y Tecnológico o la Mesa de la Conferencia de las Partes, cuando esta cumpla funciones como Mesa de la Conferencia de las Partes que actúa como reunión de las Partes en el Protocolo de </w:t>
      </w:r>
      <w:r w:rsidR="008414CB" w:rsidRPr="008414CB">
        <w:rPr>
          <w:color w:val="000000"/>
          <w:kern w:val="22"/>
          <w:lang w:val="es-ES"/>
        </w:rPr>
        <w:t>Cartagena sobre Seguridad de la Biotecnología</w:t>
      </w:r>
      <w:r w:rsidRPr="008414CB">
        <w:rPr>
          <w:color w:val="000000"/>
          <w:kern w:val="22"/>
          <w:lang w:val="es-ES"/>
        </w:rPr>
        <w:t>, según proceda;</w:t>
      </w:r>
    </w:p>
    <w:p w:rsidR="00BA5E3C" w:rsidRPr="008414CB" w:rsidRDefault="00BA5E3C">
      <w:pPr>
        <w:suppressLineNumbers/>
        <w:shd w:val="clear" w:color="auto" w:fill="FFFFFF"/>
        <w:suppressAutoHyphens/>
        <w:kinsoku w:val="0"/>
        <w:overflowPunct w:val="0"/>
        <w:autoSpaceDE w:val="0"/>
        <w:autoSpaceDN w:val="0"/>
        <w:adjustRightInd w:val="0"/>
        <w:snapToGrid w:val="0"/>
        <w:spacing w:before="120" w:after="120"/>
        <w:ind w:firstLine="720"/>
        <w:rPr>
          <w:color w:val="000000"/>
          <w:kern w:val="22"/>
          <w:lang w:val="es-ES"/>
        </w:rPr>
      </w:pPr>
      <w:r w:rsidRPr="008414CB">
        <w:rPr>
          <w:color w:val="000000"/>
          <w:kern w:val="22"/>
          <w:lang w:val="es-ES"/>
        </w:rPr>
        <w:t>3.</w:t>
      </w:r>
      <w:r w:rsidRPr="008414CB">
        <w:rPr>
          <w:color w:val="000000"/>
          <w:kern w:val="22"/>
          <w:lang w:val="es-ES"/>
        </w:rPr>
        <w:tab/>
      </w:r>
      <w:r w:rsidRPr="008414CB">
        <w:rPr>
          <w:i/>
          <w:color w:val="000000"/>
          <w:kern w:val="22"/>
          <w:lang w:val="es-ES"/>
        </w:rPr>
        <w:t>Pide también</w:t>
      </w:r>
      <w:r w:rsidRPr="008414CB">
        <w:rPr>
          <w:color w:val="000000"/>
          <w:kern w:val="22"/>
          <w:lang w:val="es-ES"/>
        </w:rPr>
        <w:t xml:space="preserve"> a la Secretaria Ejecutiva que prepare un informe sobre: a) la puesta en práctica del Procedimiento; y b) novedades pertinentes en materia de evitar o tratar conflictos de intereses en otros acuerdos ambientales multilaterales, organizaciones o iniciativas intergubernamentales, y que, si procede, proponga actualizaciones o enmiendas al Procedimiento vigente para someterlas a consideración del Órgano Subsidiario sobre la Aplicación en una reunión anterior a la 11ª reunión de la Conferencia de las Partes que actúa como reunión de las Partes en el Protocolo de Cartagena;</w:t>
      </w:r>
    </w:p>
    <w:p w:rsidR="00BA5E3C" w:rsidRPr="008414CB" w:rsidRDefault="00BA5E3C" w:rsidP="008414CB">
      <w:pPr>
        <w:pStyle w:val="ListBullet"/>
        <w:keepNext/>
        <w:keepLines/>
        <w:suppressLineNumbers/>
        <w:tabs>
          <w:tab w:val="clear" w:pos="360"/>
        </w:tabs>
        <w:suppressAutoHyphens/>
        <w:spacing w:before="120" w:after="120" w:line="240" w:lineRule="auto"/>
        <w:ind w:firstLine="720"/>
        <w:contextualSpacing w:val="0"/>
        <w:rPr>
          <w:rFonts w:ascii="MS Mincho" w:eastAsia="MS Mincho"/>
          <w:color w:val="000000"/>
          <w:kern w:val="22"/>
          <w:lang w:val="es-ES"/>
        </w:rPr>
      </w:pPr>
      <w:bookmarkStart w:id="0" w:name="_GoBack"/>
      <w:r w:rsidRPr="008414CB">
        <w:rPr>
          <w:rFonts w:ascii="Times New Roman" w:hAnsi="Times New Roman"/>
          <w:color w:val="000000"/>
          <w:kern w:val="22"/>
          <w:lang w:val="es-ES"/>
        </w:rPr>
        <w:lastRenderedPageBreak/>
        <w:t>4.</w:t>
      </w:r>
      <w:r w:rsidRPr="008414CB">
        <w:rPr>
          <w:rFonts w:ascii="Times New Roman" w:hAnsi="Times New Roman"/>
          <w:color w:val="000000"/>
          <w:kern w:val="22"/>
          <w:lang w:val="es-ES"/>
        </w:rPr>
        <w:tab/>
      </w:r>
      <w:r w:rsidRPr="008414CB">
        <w:rPr>
          <w:rFonts w:ascii="Times New Roman" w:hAnsi="Times New Roman"/>
          <w:i/>
          <w:color w:val="000000"/>
          <w:kern w:val="22"/>
          <w:lang w:val="es-ES"/>
        </w:rPr>
        <w:t>Pide</w:t>
      </w:r>
      <w:r w:rsidRPr="008414CB">
        <w:rPr>
          <w:rFonts w:ascii="Times New Roman" w:hAnsi="Times New Roman"/>
          <w:color w:val="000000"/>
          <w:kern w:val="22"/>
          <w:lang w:val="es-ES"/>
        </w:rPr>
        <w:t xml:space="preserve"> al Órgano Subsidiario sobre la Aplicación que examine el informe al que se hace referencia en el párrafo</w:t>
      </w:r>
      <w:r w:rsidR="008414CB" w:rsidRPr="008414CB">
        <w:rPr>
          <w:rFonts w:ascii="Times New Roman" w:hAnsi="Times New Roman"/>
          <w:color w:val="000000"/>
          <w:kern w:val="22"/>
          <w:lang w:val="es-ES"/>
        </w:rPr>
        <w:t> </w:t>
      </w:r>
      <w:r w:rsidRPr="008414CB">
        <w:rPr>
          <w:rFonts w:ascii="Times New Roman" w:hAnsi="Times New Roman"/>
          <w:color w:val="000000"/>
          <w:kern w:val="22"/>
          <w:lang w:val="es-ES"/>
        </w:rPr>
        <w:t>3 anterior y que</w:t>
      </w:r>
      <w:r w:rsidR="008414CB" w:rsidRPr="008414CB">
        <w:rPr>
          <w:rFonts w:ascii="Times New Roman" w:hAnsi="Times New Roman"/>
          <w:color w:val="000000"/>
          <w:kern w:val="22"/>
          <w:lang w:val="es-ES"/>
        </w:rPr>
        <w:t xml:space="preserve">, según proceda, </w:t>
      </w:r>
      <w:r w:rsidRPr="008414CB">
        <w:rPr>
          <w:rFonts w:ascii="Times New Roman" w:hAnsi="Times New Roman"/>
          <w:color w:val="000000"/>
          <w:kern w:val="22"/>
          <w:lang w:val="es-ES"/>
        </w:rPr>
        <w:t xml:space="preserve"> formule recomendaciones</w:t>
      </w:r>
      <w:r w:rsidR="008414CB">
        <w:rPr>
          <w:rFonts w:ascii="Times New Roman" w:hAnsi="Times New Roman"/>
          <w:color w:val="000000"/>
          <w:kern w:val="22"/>
          <w:lang w:val="es-ES"/>
        </w:rPr>
        <w:t xml:space="preserve"> </w:t>
      </w:r>
      <w:r w:rsidR="008414CB" w:rsidRPr="008414CB">
        <w:rPr>
          <w:rFonts w:ascii="Times New Roman" w:hAnsi="Times New Roman"/>
          <w:color w:val="000000"/>
          <w:kern w:val="22"/>
          <w:lang w:val="es-ES"/>
        </w:rPr>
        <w:t>a</w:t>
      </w:r>
      <w:r w:rsidRPr="008414CB">
        <w:rPr>
          <w:rFonts w:ascii="Times New Roman" w:hAnsi="Times New Roman"/>
          <w:color w:val="000000"/>
          <w:kern w:val="22"/>
          <w:lang w:val="es-ES"/>
        </w:rPr>
        <w:t xml:space="preserve"> la Conferencia de las Partes en el Convenio que actúa como reunión de las Partes en el Protocolo de Cartagena</w:t>
      </w:r>
      <w:r w:rsidR="008414CB" w:rsidRPr="008414CB">
        <w:rPr>
          <w:rFonts w:ascii="Times New Roman" w:hAnsi="Times New Roman"/>
          <w:color w:val="000000"/>
          <w:kern w:val="22"/>
          <w:lang w:val="es-ES"/>
        </w:rPr>
        <w:t xml:space="preserve"> para que las considere en su 11ª reunión</w:t>
      </w:r>
      <w:r w:rsidRPr="008414CB">
        <w:rPr>
          <w:rFonts w:ascii="Times New Roman" w:hAnsi="Times New Roman"/>
          <w:color w:val="000000"/>
          <w:kern w:val="22"/>
          <w:lang w:val="es-ES"/>
        </w:rPr>
        <w:t>.</w:t>
      </w:r>
    </w:p>
    <w:bookmarkEnd w:id="0"/>
    <w:p w:rsidR="00BA5E3C" w:rsidRDefault="00BA5E3C" w:rsidP="008414CB">
      <w:pPr>
        <w:keepNext/>
        <w:keepLines/>
        <w:jc w:val="center"/>
        <w:rPr>
          <w:color w:val="000000"/>
          <w:kern w:val="22"/>
          <w:lang w:val="es-ES"/>
        </w:rPr>
      </w:pPr>
      <w:r>
        <w:rPr>
          <w:color w:val="000000"/>
          <w:kern w:val="22"/>
          <w:lang w:val="es-ES"/>
        </w:rPr>
        <w:t>__________</w:t>
      </w:r>
    </w:p>
    <w:sectPr w:rsidR="00BA5E3C">
      <w:headerReference w:type="even" r:id="rId11"/>
      <w:headerReference w:type="default" r:id="rId12"/>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348" w:rsidRDefault="00DC7348">
      <w:r>
        <w:separator/>
      </w:r>
    </w:p>
  </w:endnote>
  <w:endnote w:type="continuationSeparator" w:id="0">
    <w:p w:rsidR="00DC7348" w:rsidRDefault="00DC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348" w:rsidRDefault="00DC7348">
      <w:r>
        <w:separator/>
      </w:r>
    </w:p>
  </w:footnote>
  <w:footnote w:type="continuationSeparator" w:id="0">
    <w:p w:rsidR="00DC7348" w:rsidRDefault="00DC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E3C" w:rsidRPr="008414CB" w:rsidRDefault="00BA5E3C">
    <w:pPr>
      <w:pStyle w:val="Header"/>
      <w:rPr>
        <w:lang w:val="es-ES"/>
      </w:rPr>
    </w:pPr>
    <w:r w:rsidRPr="008414CB">
      <w:rPr>
        <w:lang w:val="es-ES"/>
      </w:rPr>
      <w:t>CBD/CP/MOP/DEC/9/10</w:t>
    </w:r>
  </w:p>
  <w:p w:rsidR="00BA5E3C" w:rsidRPr="008414CB" w:rsidRDefault="00BA5E3C">
    <w:pPr>
      <w:pStyle w:val="Header"/>
      <w:rPr>
        <w:lang w:val="es-ES"/>
      </w:rPr>
    </w:pPr>
    <w:r w:rsidRPr="008414CB">
      <w:rPr>
        <w:lang w:val="es-ES"/>
      </w:rPr>
      <w:t>P</w:t>
    </w:r>
    <w:r w:rsidR="008414CB">
      <w:rPr>
        <w:lang w:val="es-ES"/>
      </w:rPr>
      <w:t>á</w:t>
    </w:r>
    <w:r w:rsidRPr="008414CB">
      <w:rPr>
        <w:lang w:val="es-ES"/>
      </w:rPr>
      <w:t>g</w:t>
    </w:r>
    <w:r w:rsidR="008414CB">
      <w:rPr>
        <w:lang w:val="es-ES"/>
      </w:rPr>
      <w:t>ina</w:t>
    </w:r>
    <w:r w:rsidRPr="008414CB">
      <w:rPr>
        <w:lang w:val="es-ES"/>
      </w:rPr>
      <w:t xml:space="preserve"> </w:t>
    </w:r>
    <w:r w:rsidRPr="008414CB">
      <w:rPr>
        <w:lang w:val="es-ES"/>
      </w:rPr>
      <w:fldChar w:fldCharType="begin"/>
    </w:r>
    <w:r w:rsidRPr="008414CB">
      <w:rPr>
        <w:lang w:val="es-ES"/>
      </w:rPr>
      <w:instrText xml:space="preserve"> PAGE   \* MERGEFORMAT </w:instrText>
    </w:r>
    <w:r w:rsidRPr="008414CB">
      <w:rPr>
        <w:lang w:val="es-ES"/>
      </w:rPr>
      <w:fldChar w:fldCharType="separate"/>
    </w:r>
    <w:r w:rsidR="008414CB">
      <w:rPr>
        <w:noProof/>
        <w:lang w:val="es-ES"/>
      </w:rPr>
      <w:t>2</w:t>
    </w:r>
    <w:r w:rsidRPr="008414CB">
      <w:rPr>
        <w:lang w:val="es-ES"/>
      </w:rPr>
      <w:fldChar w:fldCharType="end"/>
    </w:r>
  </w:p>
  <w:p w:rsidR="00BA5E3C" w:rsidRPr="008414CB" w:rsidRDefault="00BA5E3C">
    <w:pPr>
      <w:pStyle w:val="Header"/>
      <w:rPr>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E3C" w:rsidRDefault="00BA5E3C">
    <w:pPr>
      <w:pStyle w:val="Header"/>
      <w:jc w:val="right"/>
      <w:rPr>
        <w:lang w:val="fr-FR"/>
      </w:rPr>
    </w:pPr>
    <w:r>
      <w:rPr>
        <w:lang w:val="fr-FR"/>
      </w:rPr>
      <w:t>CBD/CP/MOP/DEC/9/10</w:t>
    </w:r>
  </w:p>
  <w:p w:rsidR="00BA5E3C" w:rsidRDefault="00BA5E3C">
    <w:pPr>
      <w:pStyle w:val="Header"/>
      <w:jc w:val="right"/>
      <w:rPr>
        <w:lang w:val="fr-FR"/>
      </w:rPr>
    </w:pPr>
    <w:r>
      <w:rPr>
        <w:lang w:val="fr-FR"/>
      </w:rPr>
      <w:t xml:space="preserve">Page </w:t>
    </w:r>
    <w:r>
      <w:rPr>
        <w:lang w:val="fr-FR"/>
      </w:rPr>
      <w:fldChar w:fldCharType="begin"/>
    </w:r>
    <w:r>
      <w:rPr>
        <w:lang w:val="fr-FR"/>
      </w:rPr>
      <w:instrText xml:space="preserve"> PAGE   \* MERGEFORMAT </w:instrText>
    </w:r>
    <w:r>
      <w:rPr>
        <w:lang w:val="fr-FR"/>
      </w:rPr>
      <w:fldChar w:fldCharType="separate"/>
    </w:r>
    <w:r>
      <w:rPr>
        <w:noProof/>
      </w:rPr>
      <w:t>1</w:t>
    </w:r>
    <w:r>
      <w:rPr>
        <w:lang w:val="fr-FR"/>
      </w:rPr>
      <w:fldChar w:fldCharType="end"/>
    </w:r>
  </w:p>
  <w:p w:rsidR="00BA5E3C" w:rsidRDefault="00BA5E3C">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A25F38"/>
    <w:lvl w:ilvl="0">
      <w:start w:val="1"/>
      <w:numFmt w:val="bullet"/>
      <w:lvlText w:val=""/>
      <w:lvlJc w:val="left"/>
      <w:pPr>
        <w:tabs>
          <w:tab w:val="num" w:pos="360"/>
        </w:tabs>
        <w:ind w:left="360" w:hanging="360"/>
      </w:pPr>
      <w:rPr>
        <w:rFonts w:ascii="Symbol" w:hAnsi="Symbol" w:hint="default"/>
      </w:rPr>
    </w:lvl>
  </w:abstractNum>
  <w:abstractNum w:abstractNumId="1">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4E0442B4"/>
    <w:multiLevelType w:val="multilevel"/>
    <w:tmpl w:val="4FF01174"/>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7"/>
  </w:num>
  <w:num w:numId="4">
    <w:abstractNumId w:val="5"/>
  </w:num>
  <w:num w:numId="5">
    <w:abstractNumId w:val="7"/>
  </w:num>
  <w:num w:numId="6">
    <w:abstractNumId w:val="6"/>
  </w:num>
  <w:num w:numId="7">
    <w:abstractNumId w:val="1"/>
  </w:num>
  <w:num w:numId="8">
    <w:abstractNumId w:val="3"/>
  </w:num>
  <w:num w:numId="9">
    <w:abstractNumId w:val="5"/>
    <w:lvlOverride w:ilvl="0">
      <w:startOverride w:val="1"/>
    </w:lvlOverride>
  </w:num>
  <w:num w:numId="10">
    <w:abstractNumId w:val="10"/>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9"/>
  </w:num>
  <w:num w:numId="16">
    <w:abstractNumId w:val="8"/>
  </w:num>
  <w:num w:numId="17">
    <w:abstractNumId w:val="2"/>
  </w:num>
  <w:num w:numId="18">
    <w:abstractNumId w:val="11"/>
  </w:num>
  <w:num w:numId="19">
    <w:abstractNumId w:val="1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hyphenationZone w:val="425"/>
  <w:evenAndOddHeaders/>
  <w:characterSpacingControl w:val="doNotCompress"/>
  <w:footnotePr>
    <w:footnote w:id="-1"/>
    <w:footnote w:id="0"/>
  </w:footnotePr>
  <w:endnotePr>
    <w:endnote w:id="-1"/>
    <w:endnote w:id="0"/>
  </w:endnotePr>
  <w:compat/>
  <w:rsids>
    <w:rsidRoot w:val="00C9161D"/>
    <w:rsid w:val="00000614"/>
    <w:rsid w:val="00065B86"/>
    <w:rsid w:val="000A1587"/>
    <w:rsid w:val="000E3A64"/>
    <w:rsid w:val="000E673A"/>
    <w:rsid w:val="000F74F5"/>
    <w:rsid w:val="00105372"/>
    <w:rsid w:val="00131E7A"/>
    <w:rsid w:val="001372FB"/>
    <w:rsid w:val="00172AF6"/>
    <w:rsid w:val="00176CEE"/>
    <w:rsid w:val="001D70F1"/>
    <w:rsid w:val="001E70AD"/>
    <w:rsid w:val="00220368"/>
    <w:rsid w:val="00224B0F"/>
    <w:rsid w:val="00240916"/>
    <w:rsid w:val="002F39D0"/>
    <w:rsid w:val="00337CA3"/>
    <w:rsid w:val="00341310"/>
    <w:rsid w:val="003542B6"/>
    <w:rsid w:val="00372F74"/>
    <w:rsid w:val="003B5BEB"/>
    <w:rsid w:val="003F7224"/>
    <w:rsid w:val="00405146"/>
    <w:rsid w:val="00420B78"/>
    <w:rsid w:val="0042412C"/>
    <w:rsid w:val="00427D21"/>
    <w:rsid w:val="004644C2"/>
    <w:rsid w:val="00467F9C"/>
    <w:rsid w:val="00487D57"/>
    <w:rsid w:val="004F4F8D"/>
    <w:rsid w:val="00534681"/>
    <w:rsid w:val="00556419"/>
    <w:rsid w:val="00597D71"/>
    <w:rsid w:val="006122BA"/>
    <w:rsid w:val="0061445E"/>
    <w:rsid w:val="006168BB"/>
    <w:rsid w:val="006341E7"/>
    <w:rsid w:val="00652CC6"/>
    <w:rsid w:val="00685132"/>
    <w:rsid w:val="00685543"/>
    <w:rsid w:val="00693012"/>
    <w:rsid w:val="006A67D4"/>
    <w:rsid w:val="006B2290"/>
    <w:rsid w:val="006F1189"/>
    <w:rsid w:val="00717D88"/>
    <w:rsid w:val="00743CA4"/>
    <w:rsid w:val="00756FB9"/>
    <w:rsid w:val="007942D3"/>
    <w:rsid w:val="007B6C09"/>
    <w:rsid w:val="007E09DA"/>
    <w:rsid w:val="008178B6"/>
    <w:rsid w:val="008414CB"/>
    <w:rsid w:val="008473E9"/>
    <w:rsid w:val="008479A2"/>
    <w:rsid w:val="00865B74"/>
    <w:rsid w:val="00877772"/>
    <w:rsid w:val="008B07AA"/>
    <w:rsid w:val="008D1CA7"/>
    <w:rsid w:val="008D43A5"/>
    <w:rsid w:val="00923F2D"/>
    <w:rsid w:val="00930BA1"/>
    <w:rsid w:val="0093169E"/>
    <w:rsid w:val="009457F3"/>
    <w:rsid w:val="009505C9"/>
    <w:rsid w:val="009747AA"/>
    <w:rsid w:val="009927E4"/>
    <w:rsid w:val="009B6134"/>
    <w:rsid w:val="009C200D"/>
    <w:rsid w:val="009E0A00"/>
    <w:rsid w:val="009F28E0"/>
    <w:rsid w:val="00A56D9A"/>
    <w:rsid w:val="00B23455"/>
    <w:rsid w:val="00B3369F"/>
    <w:rsid w:val="00BA5E3C"/>
    <w:rsid w:val="00BB5FAC"/>
    <w:rsid w:val="00BC6EAE"/>
    <w:rsid w:val="00C0240A"/>
    <w:rsid w:val="00C13117"/>
    <w:rsid w:val="00C9161D"/>
    <w:rsid w:val="00CB1100"/>
    <w:rsid w:val="00CE2696"/>
    <w:rsid w:val="00CF1848"/>
    <w:rsid w:val="00D12044"/>
    <w:rsid w:val="00D76A18"/>
    <w:rsid w:val="00D977A0"/>
    <w:rsid w:val="00DC7348"/>
    <w:rsid w:val="00DD118C"/>
    <w:rsid w:val="00DF1A11"/>
    <w:rsid w:val="00E14D8A"/>
    <w:rsid w:val="00E152D7"/>
    <w:rsid w:val="00E50240"/>
    <w:rsid w:val="00E66235"/>
    <w:rsid w:val="00E83C24"/>
    <w:rsid w:val="00E9318D"/>
    <w:rsid w:val="00F9056D"/>
    <w:rsid w:val="00F94774"/>
    <w:rsid w:val="00FC53DB"/>
    <w:rsid w:val="00FD741D"/>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12"/>
    <w:qFormat/>
    <w:pPr>
      <w:jc w:val="both"/>
    </w:pPr>
    <w:rPr>
      <w:snapToGrid w:val="0"/>
      <w:sz w:val="22"/>
      <w:szCs w:val="24"/>
      <w:lang w:val="en-GB" w:eastAsia="es-ES"/>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link w:val="PlaceholderText"/>
    <w:qFormat/>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hAnsi="Times New Roman Bold" w:cs="Arial"/>
      <w:b/>
      <w:bCs/>
      <w:i/>
    </w:rPr>
  </w:style>
  <w:style w:type="paragraph" w:styleId="Heading5">
    <w:name w:val="heading 5"/>
    <w:basedOn w:val="Normal"/>
    <w:next w:val="Normal"/>
    <w:qFormat/>
    <w:pPr>
      <w:keepNext/>
      <w:numPr>
        <w:ilvl w:val="4"/>
        <w:numId w:val="2"/>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b/>
      <w:sz w:val="28"/>
    </w:rPr>
  </w:style>
  <w:style w:type="paragraph" w:styleId="Heading8">
    <w:name w:val="heading 8"/>
    <w:basedOn w:val="Normal"/>
    <w:next w:val="Normal"/>
    <w:qFormat/>
    <w:pPr>
      <w:keepNext/>
      <w:jc w:val="right"/>
      <w:outlineLvl w:val="7"/>
    </w:pPr>
    <w:rPr>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Pr>
      <w:rFonts w:eastAsia="MS Mincho"/>
      <w:snapToGrid w:val="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sz w:val="18"/>
      <w:szCs w:val="18"/>
    </w:rPr>
  </w:style>
  <w:style w:type="character" w:customStyle="1" w:styleId="CharChar10">
    <w:name w:val="Char Char10"/>
    <w:basedOn w:val="DefaultParagraphFont"/>
    <w:semiHidden/>
    <w:locked/>
    <w:rPr>
      <w:rFonts w:ascii="Times New Roman" w:hAnsi="Times New Roman" w:cs="Times New Roman"/>
      <w:sz w:val="18"/>
      <w:szCs w:val="18"/>
      <w:lang w:val="en-US"/>
    </w:rPr>
  </w:style>
  <w:style w:type="character" w:styleId="PlaceholderText">
    <w:name w:val="Placeholder Text"/>
    <w:aliases w:val="Heading 2 Char"/>
    <w:basedOn w:val="DefaultParagraphFont"/>
    <w:link w:val="Heading2"/>
    <w:semiHidden/>
    <w:rPr>
      <w:rFonts w:cs="Times New Roman"/>
      <w:color w:val="808080"/>
    </w:rPr>
  </w:style>
  <w:style w:type="paragraph" w:styleId="Header">
    <w:name w:val="header"/>
    <w:basedOn w:val="Normal"/>
    <w:pPr>
      <w:tabs>
        <w:tab w:val="center" w:pos="4320"/>
        <w:tab w:val="right" w:pos="8640"/>
      </w:tabs>
    </w:pPr>
  </w:style>
  <w:style w:type="character" w:customStyle="1" w:styleId="CharChar9">
    <w:name w:val="Char Char9"/>
    <w:basedOn w:val="DefaultParagraphFont"/>
    <w:locked/>
    <w:rPr>
      <w:rFonts w:ascii="Times New Roman" w:eastAsia="Times New Roman" w:hAnsi="Times New Roman" w:cs="Times New Roman"/>
      <w:sz w:val="22"/>
      <w:lang w:val="en-GB"/>
    </w:rPr>
  </w:style>
  <w:style w:type="paragraph" w:styleId="Footer">
    <w:name w:val="footer"/>
    <w:basedOn w:val="Normal"/>
    <w:pPr>
      <w:tabs>
        <w:tab w:val="center" w:pos="4320"/>
        <w:tab w:val="right" w:pos="8640"/>
      </w:tabs>
      <w:ind w:firstLine="720"/>
      <w:jc w:val="right"/>
    </w:pPr>
  </w:style>
  <w:style w:type="character" w:customStyle="1" w:styleId="CharChar8">
    <w:name w:val="Char Char8"/>
    <w:basedOn w:val="DefaultParagraphFont"/>
    <w:locked/>
    <w:rPr>
      <w:rFonts w:ascii="Times New Roman" w:eastAsia="Times New Roman" w:hAnsi="Times New Roman" w:cs="Times New Roman"/>
      <w:sz w:val="22"/>
      <w:lang w:val="en-GB"/>
    </w:rPr>
  </w:style>
  <w:style w:type="paragraph" w:customStyle="1" w:styleId="meetingname">
    <w:name w:val="meeting name"/>
    <w:basedOn w:val="Normal"/>
    <w:pPr>
      <w:ind w:left="142" w:right="4218" w:hanging="142"/>
    </w:pPr>
    <w:rPr>
      <w:caps/>
      <w:szCs w:val="22"/>
    </w:rPr>
  </w:style>
  <w:style w:type="paragraph" w:styleId="Title">
    <w:name w:val="Title"/>
    <w:basedOn w:val="Normal"/>
    <w:next w:val="Normal"/>
    <w:qFormat/>
    <w:pPr>
      <w:pBdr>
        <w:bottom w:val="single" w:sz="8" w:space="4" w:color="4F81BD"/>
      </w:pBdr>
      <w:spacing w:after="300"/>
      <w:contextualSpacing/>
    </w:pPr>
    <w:rPr>
      <w:color w:val="17365D"/>
      <w:spacing w:val="5"/>
      <w:kern w:val="28"/>
      <w:sz w:val="52"/>
      <w:szCs w:val="52"/>
    </w:rPr>
  </w:style>
  <w:style w:type="character" w:customStyle="1" w:styleId="CharChar7">
    <w:name w:val="Char Char7"/>
    <w:basedOn w:val="DefaultParagraphFont"/>
    <w:locked/>
    <w:rPr>
      <w:rFonts w:ascii="Times New Roman" w:eastAsia="Times New Roman" w:hAnsi="Times New Roman" w:cs="Times New Roman"/>
      <w:color w:val="17365D"/>
      <w:spacing w:val="5"/>
      <w:kern w:val="28"/>
      <w:sz w:val="52"/>
      <w:szCs w:val="52"/>
      <w:lang w:val="en-US"/>
    </w:rPr>
  </w:style>
  <w:style w:type="paragraph" w:styleId="Subtitle">
    <w:name w:val="Subtitle"/>
    <w:basedOn w:val="Normal"/>
    <w:next w:val="Normal"/>
    <w:qFormat/>
    <w:pPr>
      <w:numPr>
        <w:ilvl w:val="1"/>
      </w:numPr>
    </w:pPr>
    <w:rPr>
      <w:i/>
      <w:iCs/>
      <w:color w:val="4F81BD"/>
      <w:spacing w:val="15"/>
      <w:sz w:val="24"/>
    </w:rPr>
  </w:style>
  <w:style w:type="character" w:customStyle="1" w:styleId="CharChar6">
    <w:name w:val="Char Char6"/>
    <w:basedOn w:val="DefaultParagraphFont"/>
    <w:locked/>
    <w:rPr>
      <w:rFonts w:ascii="Times New Roman" w:eastAsia="Times New Roman" w:hAnsi="Times New Roman" w:cs="Times New Roman"/>
      <w:i/>
      <w:iCs/>
      <w:color w:val="4F81BD"/>
      <w:spacing w:val="15"/>
      <w:lang w:val="en-US"/>
    </w:rPr>
  </w:style>
  <w:style w:type="character" w:customStyle="1" w:styleId="CharChar19">
    <w:name w:val="Char Char19"/>
    <w:basedOn w:val="DefaultParagraphFont"/>
    <w:locked/>
    <w:rPr>
      <w:rFonts w:ascii="Times New Roman" w:eastAsia="Times New Roman" w:hAnsi="Times New Roman" w:cs="Times New Roman"/>
      <w:b/>
      <w:caps/>
      <w:sz w:val="22"/>
      <w:lang w:val="en-GB"/>
    </w:rPr>
  </w:style>
  <w:style w:type="paragraph" w:styleId="BodyText">
    <w:name w:val="Body Text"/>
    <w:basedOn w:val="Normal"/>
    <w:pPr>
      <w:spacing w:before="120" w:after="120"/>
      <w:ind w:firstLine="720"/>
    </w:pPr>
    <w:rPr>
      <w:iCs/>
    </w:rPr>
  </w:style>
  <w:style w:type="character" w:customStyle="1" w:styleId="CharChar5">
    <w:name w:val="Char Char5"/>
    <w:basedOn w:val="DefaultParagraphFont"/>
    <w:locked/>
    <w:rPr>
      <w:rFonts w:ascii="Times New Roman" w:eastAsia="Times New Roman" w:hAnsi="Times New Roman" w:cs="Times New Roman"/>
      <w:iCs/>
      <w:sz w:val="22"/>
      <w:lang w:val="en-GB"/>
    </w:rPr>
  </w:style>
  <w:style w:type="paragraph" w:styleId="BodyTextIndent">
    <w:name w:val="Body Text Indent"/>
    <w:basedOn w:val="Normal"/>
    <w:pPr>
      <w:spacing w:before="120" w:after="120"/>
      <w:ind w:left="1440" w:hanging="720"/>
      <w:jc w:val="left"/>
    </w:pPr>
  </w:style>
  <w:style w:type="character" w:customStyle="1" w:styleId="CharChar4">
    <w:name w:val="Char Char4"/>
    <w:basedOn w:val="DefaultParagraphFont"/>
    <w:locked/>
    <w:rPr>
      <w:rFonts w:ascii="Times New Roman" w:eastAsia="Times New Roman" w:hAnsi="Times New Roman" w:cs="Times New Roman"/>
      <w:sz w:val="22"/>
      <w:lang w:val="en-G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after="120" w:line="240" w:lineRule="exact"/>
    </w:pPr>
  </w:style>
  <w:style w:type="character" w:customStyle="1" w:styleId="CharChar3">
    <w:name w:val="Char Char3"/>
    <w:basedOn w:val="DefaultParagraphFont"/>
    <w:semiHidden/>
    <w:locked/>
    <w:rPr>
      <w:rFonts w:ascii="Times New Roman" w:eastAsia="Times New Roman" w:hAnsi="Times New Roman" w:cs="Times New Roman"/>
      <w:sz w:val="22"/>
      <w:lang w:val="en-GB"/>
    </w:rPr>
  </w:style>
  <w:style w:type="paragraph" w:customStyle="1" w:styleId="Cornernotation">
    <w:name w:val="Corner notation"/>
    <w:basedOn w:val="Normal"/>
    <w:pPr>
      <w:ind w:left="170" w:right="3119" w:hanging="170"/>
      <w:jc w:val="left"/>
    </w:pPr>
  </w:style>
  <w:style w:type="character" w:styleId="EndnoteReference">
    <w:name w:val="endnote reference"/>
    <w:basedOn w:val="DefaultParagraphFont"/>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character" w:customStyle="1" w:styleId="CharChar2">
    <w:name w:val="Char Char2"/>
    <w:basedOn w:val="DefaultParagraphFont"/>
    <w:semiHidden/>
    <w:locked/>
    <w:rPr>
      <w:rFonts w:ascii="Courier New" w:eastAsia="Times New Roman" w:hAnsi="Courier New" w:cs="Times New Roman"/>
      <w:sz w:val="22"/>
      <w:lang w:val="en-GB"/>
    </w:rPr>
  </w:style>
  <w:style w:type="character" w:styleId="FollowedHyperlink">
    <w:name w:val="FollowedHyperlink"/>
    <w:basedOn w:val="DefaultParagraphFont"/>
    <w:rPr>
      <w:color w:val="800080"/>
      <w:u w:val="single"/>
    </w:rPr>
  </w:style>
  <w:style w:type="character" w:styleId="FootnoteReference">
    <w:name w:val="footnote reference"/>
    <w:aliases w:val="BVI fnr Char Char Char,BVI fnr Car Car Char Char Char,BVI fnr Car Char Char Char,BVI fnr Car Car Car Car Char Char Char Char,BVI fnr Car Car Car Car Char Char1 Char,BVI fnr Car Car Car Char Char Char"/>
    <w:basedOn w:val="DefaultParagraphFont"/>
    <w:locked/>
    <w:rPr>
      <w:sz w:val="22"/>
      <w:u w:val="none"/>
      <w:vertAlign w:val="superscript"/>
    </w:rPr>
  </w:style>
  <w:style w:type="paragraph" w:styleId="FootnoteText">
    <w:name w:val="footnote text"/>
    <w:basedOn w:val="Normal"/>
    <w:semiHidden/>
    <w:pPr>
      <w:keepLines/>
      <w:spacing w:after="60"/>
      <w:ind w:firstLine="720"/>
    </w:pPr>
    <w:rPr>
      <w:sz w:val="18"/>
    </w:rPr>
  </w:style>
  <w:style w:type="character" w:customStyle="1" w:styleId="CharChar1">
    <w:name w:val="Char Char1"/>
    <w:basedOn w:val="DefaultParagraphFont"/>
    <w:semiHidden/>
    <w:locked/>
    <w:rPr>
      <w:rFonts w:ascii="Times New Roman" w:eastAsia="Times New Roman" w:hAnsi="Times New Roman" w:cs="Times New Roman"/>
      <w:sz w:val="18"/>
      <w:lang w:val="en-GB"/>
    </w:rPr>
  </w:style>
  <w:style w:type="paragraph" w:customStyle="1" w:styleId="HEADING">
    <w:name w:val="HEADING"/>
    <w:basedOn w:val="Normal"/>
    <w:pPr>
      <w:keepNext/>
      <w:spacing w:before="240" w:after="120"/>
      <w:jc w:val="center"/>
    </w:pPr>
    <w:rPr>
      <w:b/>
      <w:bCs/>
      <w:caps/>
    </w:rPr>
  </w:style>
  <w:style w:type="character" w:customStyle="1" w:styleId="CharChar18">
    <w:name w:val="Char Char18"/>
    <w:basedOn w:val="DefaultParagraphFont"/>
    <w:locked/>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character" w:customStyle="1" w:styleId="CharChar17">
    <w:name w:val="Char Char17"/>
    <w:basedOn w:val="DefaultParagraphFont"/>
    <w:locked/>
    <w:rPr>
      <w:rFonts w:ascii="Times New Roman" w:eastAsia="Times New Roman" w:hAnsi="Times New Roman" w:cs="Times New Roman"/>
      <w:i/>
      <w:iCs/>
      <w:sz w:val="22"/>
      <w:lang w:val="en-GB"/>
    </w:rPr>
  </w:style>
  <w:style w:type="paragraph" w:customStyle="1" w:styleId="heading2notforTOC">
    <w:name w:val="heading 2 not for TOC"/>
    <w:basedOn w:val="Heading3"/>
  </w:style>
  <w:style w:type="paragraph" w:customStyle="1" w:styleId="Heading3multiline">
    <w:name w:val="Heading 3 (multiline)"/>
    <w:basedOn w:val="Heading3"/>
    <w:next w:val="Normal"/>
    <w:pPr>
      <w:ind w:left="1418" w:hanging="425"/>
      <w:jc w:val="left"/>
    </w:pPr>
  </w:style>
  <w:style w:type="character" w:customStyle="1" w:styleId="CharChar16">
    <w:name w:val="Char Char16"/>
    <w:basedOn w:val="DefaultParagraphFont"/>
    <w:locked/>
    <w:rPr>
      <w:rFonts w:ascii="Times New Roman Bold" w:eastAsia="Times New Roman" w:hAnsi="Times New Roman Bold" w:cs="Arial"/>
      <w:b/>
      <w:bCs/>
      <w:i/>
      <w:sz w:val="22"/>
      <w:lang w:val="en-GB"/>
    </w:rPr>
  </w:style>
  <w:style w:type="paragraph" w:customStyle="1" w:styleId="Heading4indent">
    <w:name w:val="Heading 4 indent"/>
    <w:basedOn w:val="Heading4"/>
    <w:pPr>
      <w:ind w:left="720"/>
      <w:outlineLvl w:val="9"/>
    </w:pPr>
    <w:rPr>
      <w:rFonts w:ascii="Times New Roman" w:hAnsi="Times New Roman"/>
    </w:rPr>
  </w:style>
  <w:style w:type="character" w:customStyle="1" w:styleId="CharChar15">
    <w:name w:val="Char Char15"/>
    <w:basedOn w:val="DefaultParagraphFont"/>
    <w:locked/>
    <w:rPr>
      <w:rFonts w:ascii="Times New Roman" w:eastAsia="Times New Roman" w:hAnsi="Times New Roman" w:cs="Times New Roman"/>
      <w:bCs/>
      <w:i/>
      <w:sz w:val="26"/>
      <w:szCs w:val="26"/>
      <w:lang w:val="en-CA"/>
    </w:rPr>
  </w:style>
  <w:style w:type="character" w:customStyle="1" w:styleId="CharChar14">
    <w:name w:val="Char Char14"/>
    <w:basedOn w:val="DefaultParagraphFont"/>
    <w:locked/>
    <w:rPr>
      <w:rFonts w:ascii="Times New Roman" w:eastAsia="Times New Roman" w:hAnsi="Times New Roman" w:cs="Times New Roman"/>
      <w:sz w:val="22"/>
      <w:u w:val="single"/>
      <w:lang w:val="en-GB"/>
    </w:rPr>
  </w:style>
  <w:style w:type="character" w:customStyle="1" w:styleId="CharChar13">
    <w:name w:val="Char Char13"/>
    <w:basedOn w:val="DefaultParagraphFont"/>
    <w:locked/>
    <w:rPr>
      <w:rFonts w:ascii="Times New Roman" w:eastAsia="Times New Roman" w:hAnsi="Times New Roman" w:cs="Times New Roman"/>
      <w:b/>
      <w:sz w:val="28"/>
      <w:lang w:val="en-GB"/>
    </w:rPr>
  </w:style>
  <w:style w:type="character" w:customStyle="1" w:styleId="CharChar12">
    <w:name w:val="Char Char12"/>
    <w:basedOn w:val="DefaultParagraphFont"/>
    <w:locked/>
    <w:rPr>
      <w:rFonts w:ascii="Times New Roman" w:eastAsia="Times New Roman" w:hAnsi="Times New Roman" w:cs="Times New Roman"/>
      <w:b/>
      <w:sz w:val="32"/>
      <w:lang w:val="en-GB"/>
    </w:rPr>
  </w:style>
  <w:style w:type="character" w:customStyle="1" w:styleId="CharChar11">
    <w:name w:val="Char Char11"/>
    <w:basedOn w:val="DefaultParagraphFont"/>
    <w:locked/>
    <w:rPr>
      <w:rFonts w:ascii="Times New Roman" w:eastAsia="Times New Roman" w:hAnsi="Times New Roman" w:cs="Times New Roman"/>
      <w:i/>
      <w:iCs/>
      <w:sz w:val="22"/>
      <w:lang w:val="en-GB"/>
    </w:rPr>
  </w:style>
  <w:style w:type="character" w:styleId="PageNumber">
    <w:name w:val="page number"/>
    <w:basedOn w:val="DefaultParagraphFont"/>
    <w:rPr>
      <w:rFonts w:ascii="Times New Roman" w:hAnsi="Times New Roman"/>
      <w:sz w:val="22"/>
    </w:rPr>
  </w:style>
  <w:style w:type="paragraph" w:customStyle="1" w:styleId="Para1">
    <w:name w:val="Para1"/>
    <w:basedOn w:val="Normal"/>
    <w:pPr>
      <w:numPr>
        <w:numId w:val="4"/>
      </w:numPr>
      <w:spacing w:before="120" w:after="120"/>
    </w:pPr>
    <w:rPr>
      <w:snapToGrid/>
      <w:szCs w:val="18"/>
    </w:rPr>
  </w:style>
  <w:style w:type="paragraph" w:customStyle="1" w:styleId="Para2">
    <w:name w:val="Para2"/>
    <w:basedOn w:val="Para1"/>
    <w:pPr>
      <w:numPr>
        <w:numId w:val="0"/>
      </w:numPr>
      <w:autoSpaceDE w:val="0"/>
      <w:autoSpaceDN w:val="0"/>
    </w:pPr>
  </w:style>
  <w:style w:type="paragraph" w:customStyle="1" w:styleId="Para3">
    <w:name w:val="Para3"/>
    <w:basedOn w:val="Normal"/>
    <w:pPr>
      <w:numPr>
        <w:ilvl w:val="3"/>
        <w:numId w:val="6"/>
      </w:numPr>
      <w:tabs>
        <w:tab w:val="left" w:pos="1980"/>
      </w:tabs>
      <w:spacing w:before="80" w:after="80"/>
    </w:pPr>
    <w:rPr>
      <w:szCs w:val="20"/>
    </w:rPr>
  </w:style>
  <w:style w:type="paragraph" w:customStyle="1" w:styleId="para4">
    <w:name w:val="para4"/>
    <w:basedOn w:val="Normal"/>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pPr>
      <w:spacing w:before="120" w:after="120"/>
      <w:ind w:left="720" w:right="720"/>
    </w:pPr>
    <w:rPr>
      <w:bCs/>
    </w:rPr>
  </w:style>
  <w:style w:type="paragraph" w:customStyle="1" w:styleId="recommendationheader">
    <w:name w:val="recommendation header"/>
    <w:basedOn w:val="Heading2"/>
  </w:style>
  <w:style w:type="paragraph" w:customStyle="1" w:styleId="recommendationheaderlong">
    <w:name w:val="recommendation header long"/>
    <w:basedOn w:val="Heading2longmultiline"/>
  </w:style>
  <w:style w:type="paragraph" w:customStyle="1" w:styleId="reference">
    <w:name w:val="reference"/>
    <w:basedOn w:val="Heading9"/>
    <w:rPr>
      <w:i w:val="0"/>
      <w:sz w:val="18"/>
    </w:rPr>
  </w:style>
  <w:style w:type="character" w:customStyle="1" w:styleId="StyleFootnoteReferenceNounderline">
    <w:name w:val="Style Footnote Reference + No underline"/>
    <w:rPr>
      <w:sz w:val="18"/>
      <w:u w:val="none"/>
      <w:vertAlign w:val="baseline"/>
    </w:rPr>
  </w:style>
  <w:style w:type="paragraph" w:customStyle="1" w:styleId="tabletitle">
    <w:name w:val="table title"/>
    <w:basedOn w:val="Heading2"/>
    <w:pPr>
      <w:jc w:val="left"/>
      <w:outlineLvl w:val="9"/>
    </w:pPr>
    <w:rPr>
      <w:i/>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lang w:val="es-ES"/>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styleId="TOC9">
    <w:name w:val="toc 9"/>
    <w:basedOn w:val="Normal"/>
    <w:next w:val="Normal"/>
    <w:autoRedefine/>
    <w:semiHidden/>
    <w:pPr>
      <w:spacing w:before="120" w:after="120"/>
      <w:ind w:left="1760"/>
      <w:jc w:val="left"/>
    </w:pPr>
  </w:style>
  <w:style w:type="character" w:styleId="Hyperlink">
    <w:name w:val="Hyperlink"/>
    <w:basedOn w:val="DefaultParagraphFont"/>
    <w:rPr>
      <w:color w:val="0000FF"/>
      <w:sz w:val="18"/>
      <w:u w:val="single"/>
    </w:rPr>
  </w:style>
  <w:style w:type="character" w:customStyle="1" w:styleId="Para1Char">
    <w:name w:val="Para1 Char"/>
    <w:locked/>
    <w:rPr>
      <w:rFonts w:ascii="Times New Roman" w:eastAsia="Times New Roman" w:hAnsi="Times New Roman"/>
      <w:snapToGrid w:val="0"/>
      <w:sz w:val="18"/>
      <w:lang w:val="en-GB"/>
    </w:rPr>
  </w:style>
  <w:style w:type="paragraph" w:customStyle="1" w:styleId="CBD-Doc-Type">
    <w:name w:val="CBD-Doc-Type"/>
    <w:basedOn w:val="Normal"/>
    <w:pPr>
      <w:keepLines/>
      <w:spacing w:before="240" w:after="120"/>
    </w:pPr>
    <w:rPr>
      <w:b/>
      <w:i/>
      <w:sz w:val="24"/>
    </w:rPr>
  </w:style>
  <w:style w:type="paragraph" w:customStyle="1" w:styleId="CBD-Doc">
    <w:name w:val="CBD-Doc"/>
    <w:basedOn w:val="Normal"/>
    <w:pPr>
      <w:keepLines/>
      <w:numPr>
        <w:numId w:val="10"/>
      </w:numPr>
      <w:spacing w:after="120"/>
    </w:pPr>
  </w:style>
  <w:style w:type="paragraph" w:styleId="ListParagraph">
    <w:name w:val="List Paragraph"/>
    <w:basedOn w:val="Normal"/>
    <w:qFormat/>
    <w:pPr>
      <w:ind w:left="720"/>
      <w:contextualSpacing/>
    </w:pPr>
  </w:style>
  <w:style w:type="paragraph" w:styleId="Caption">
    <w:name w:val="caption"/>
    <w:basedOn w:val="Normal"/>
    <w:next w:val="Normal"/>
    <w:qFormat/>
    <w:pPr>
      <w:keepNext/>
      <w:keepLines/>
      <w:spacing w:after="200"/>
    </w:pPr>
    <w:rPr>
      <w:b/>
      <w:iCs/>
      <w:szCs w:val="18"/>
    </w:rPr>
  </w:style>
  <w:style w:type="paragraph" w:styleId="NoSpacing">
    <w:name w:val="No Spacing"/>
    <w:qFormat/>
    <w:rPr>
      <w:snapToGrid w:val="0"/>
      <w:sz w:val="22"/>
      <w:szCs w:val="22"/>
      <w:lang w:val="en-US" w:eastAsia="es-ES"/>
    </w:rPr>
  </w:style>
  <w:style w:type="character" w:customStyle="1" w:styleId="NoSpacingChar">
    <w:name w:val="No Spacing Char"/>
    <w:basedOn w:val="DefaultParagraphFont"/>
    <w:locked/>
    <w:rPr>
      <w:rFonts w:ascii="Times New Roman" w:eastAsia="Times New Roman" w:hAnsi="Times New Roman" w:cs="Times New Roman"/>
      <w:sz w:val="22"/>
      <w:szCs w:val="22"/>
      <w:lang w:val="en-US" w:bidi="ar-SA"/>
    </w:rPr>
  </w:style>
  <w:style w:type="paragraph" w:customStyle="1" w:styleId="BVIfnrCharChar">
    <w:name w:val="BVI fnr Char Char"/>
    <w:aliases w:val="BVI fnr Car Car Char Char,BVI fnr Car Char Char,BVI fnr Car Car Car Car Char Char Char,BVI fnr Car Car Car Car Char Char1,BVI fnr Car Car Car Char Char,BVI fnr Car Car Car Car Car Char Char"/>
    <w:basedOn w:val="Normal"/>
    <w:pPr>
      <w:spacing w:after="160" w:line="240" w:lineRule="exact"/>
      <w:jc w:val="left"/>
    </w:pPr>
    <w:rPr>
      <w:rFonts w:eastAsia="MS Mincho"/>
      <w:szCs w:val="20"/>
      <w:vertAlign w:val="superscript"/>
      <w:lang w:val="es-ES"/>
    </w:rPr>
  </w:style>
  <w:style w:type="paragraph" w:styleId="ListBullet">
    <w:name w:val="List Bullet"/>
    <w:aliases w:val="UL 1"/>
    <w:basedOn w:val="Normal"/>
    <w:pPr>
      <w:tabs>
        <w:tab w:val="num" w:pos="360"/>
      </w:tabs>
      <w:spacing w:line="276" w:lineRule="auto"/>
      <w:contextualSpacing/>
    </w:pPr>
    <w:rPr>
      <w:rFonts w:ascii="Arial" w:hAnsi="Arial"/>
      <w:lang w:val="de-AT"/>
    </w:rPr>
  </w:style>
  <w:style w:type="paragraph" w:styleId="CommentSubject">
    <w:name w:val="annotation subject"/>
    <w:basedOn w:val="CommentText"/>
    <w:next w:val="CommentText"/>
    <w:semiHidden/>
    <w:pPr>
      <w:spacing w:after="0" w:line="240" w:lineRule="auto"/>
    </w:pPr>
    <w:rPr>
      <w:b/>
      <w:bCs/>
      <w:sz w:val="20"/>
      <w:szCs w:val="20"/>
    </w:rPr>
  </w:style>
  <w:style w:type="character" w:customStyle="1" w:styleId="CharChar">
    <w:name w:val="Char Char"/>
    <w:basedOn w:val="CharChar3"/>
    <w:semiHidden/>
    <w:locked/>
    <w:rPr>
      <w:b/>
      <w:bCs/>
      <w:sz w:val="20"/>
      <w:szCs w:val="20"/>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CFE44-6227-4F26-B967-382A6368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430</Words>
  <Characters>2308</Characters>
  <Application>Microsoft Office Word</Application>
  <DocSecurity>0</DocSecurity>
  <Lines>79</Lines>
  <Paragraphs>45</Paragraphs>
  <ScaleCrop>false</ScaleCrop>
  <HeadingPairs>
    <vt:vector size="2" baseType="variant">
      <vt:variant>
        <vt:lpstr>Title</vt:lpstr>
      </vt:variant>
      <vt:variant>
        <vt:i4>1</vt:i4>
      </vt:variant>
    </vt:vector>
  </HeadingPairs>
  <TitlesOfParts>
    <vt:vector size="1" baseType="lpstr">
      <vt:lpstr>9/10.	Procedure for avoiding or managing conflicts of interest in expert groups</vt:lpstr>
    </vt:vector>
  </TitlesOfParts>
  <Company>SCBD</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9/10.	Procedure for avoiding or managing conflicts of interest in expert groups</dc:title>
  <dc:subject>CBD/CP/MOP/DEC/9/10</dc:subject>
  <dc:creator>CP-MOP 9</dc:creator>
  <cp:keywords>Review of effectiveness of structures and processes under the Convention and its Protocols, Cartagena Protocol on Biosafety, Convention on Biological Diversity</cp:keywords>
  <cp:lastModifiedBy>Laura Perez</cp:lastModifiedBy>
  <cp:revision>3</cp:revision>
  <cp:lastPrinted>2018-11-26T20:07:00Z</cp:lastPrinted>
  <dcterms:created xsi:type="dcterms:W3CDTF">2019-02-06T02:14:00Z</dcterms:created>
  <dcterms:modified xsi:type="dcterms:W3CDTF">2019-02-06T02:23:00Z</dcterms:modified>
</cp:coreProperties>
</file>