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9161D" w14:paraId="2FD00814" w14:textId="77777777" w:rsidTr="00CF1848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2FD00811" w14:textId="77777777" w:rsidR="00C9161D" w:rsidRDefault="00C9161D">
            <w:r>
              <w:rPr>
                <w:noProof/>
                <w:lang w:val="fr-FR" w:eastAsia="fr-FR"/>
              </w:rPr>
              <w:drawing>
                <wp:inline distT="0" distB="0" distL="0" distR="0" wp14:anchorId="2FD00828" wp14:editId="2FD00829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2FD00812" w14:textId="77777777" w:rsidR="00C9161D" w:rsidRDefault="00C9161D">
            <w:r>
              <w:rPr>
                <w:noProof/>
                <w:lang w:val="fr-FR" w:eastAsia="fr-FR"/>
              </w:rPr>
              <w:drawing>
                <wp:inline distT="0" distB="0" distL="0" distR="0" wp14:anchorId="2FD0082A" wp14:editId="2FD0082B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2FD00813" w14:textId="77777777" w:rsidR="00C9161D" w:rsidRPr="00C9161D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14:paraId="2FD0081E" w14:textId="77777777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2FD00815" w14:textId="2D44872E" w:rsidR="00C9161D" w:rsidRDefault="00843969" w:rsidP="00C9161D">
            <w:r>
              <w:rPr>
                <w:bCs/>
                <w:noProof/>
                <w:szCs w:val="22"/>
                <w:lang w:val="fr-FR" w:eastAsia="fr-FR"/>
              </w:rPr>
              <w:drawing>
                <wp:inline distT="0" distB="0" distL="0" distR="0" wp14:anchorId="3902C13C" wp14:editId="39BBE640">
                  <wp:extent cx="2857500" cy="1076325"/>
                  <wp:effectExtent l="0" t="0" r="0" b="9525"/>
                  <wp:docPr id="2" name="Picture 2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2FD00816" w14:textId="77777777" w:rsidR="00C9161D" w:rsidRPr="00841DA0" w:rsidRDefault="00C9161D" w:rsidP="00176CEE">
            <w:pPr>
              <w:ind w:left="1215"/>
              <w:rPr>
                <w:szCs w:val="22"/>
                <w:lang w:val="en-AU"/>
              </w:rPr>
            </w:pPr>
            <w:r w:rsidRPr="00841DA0">
              <w:rPr>
                <w:szCs w:val="22"/>
                <w:lang w:val="en-AU"/>
              </w:rPr>
              <w:t>Distr.</w:t>
            </w:r>
          </w:p>
          <w:p w14:paraId="2FD00817" w14:textId="59D4791F" w:rsidR="00C9161D" w:rsidRPr="001F664E" w:rsidRDefault="009D557C" w:rsidP="00176CEE">
            <w:pPr>
              <w:ind w:left="1215"/>
              <w:rPr>
                <w:szCs w:val="22"/>
                <w:lang w:val="en-AU"/>
              </w:rPr>
            </w:pPr>
            <w:sdt>
              <w:sdtPr>
                <w:rPr>
                  <w:caps/>
                  <w:szCs w:val="22"/>
                  <w:lang w:val="en-AU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F664E" w:rsidRPr="001F664E">
                  <w:rPr>
                    <w:caps/>
                    <w:szCs w:val="22"/>
                    <w:lang w:val="en-AU"/>
                  </w:rPr>
                  <w:t>general</w:t>
                </w:r>
                <w:r w:rsidR="00843969" w:rsidRPr="001F664E">
                  <w:rPr>
                    <w:caps/>
                    <w:szCs w:val="22"/>
                    <w:lang w:val="en-AU"/>
                  </w:rPr>
                  <w:t>E</w:t>
                </w:r>
              </w:sdtContent>
            </w:sdt>
          </w:p>
          <w:p w14:paraId="2FD00818" w14:textId="77777777" w:rsidR="00C9161D" w:rsidRPr="001F664E" w:rsidRDefault="00C9161D" w:rsidP="00176CEE">
            <w:pPr>
              <w:ind w:left="1215"/>
              <w:rPr>
                <w:szCs w:val="22"/>
                <w:lang w:val="en-AU"/>
              </w:rPr>
            </w:pPr>
          </w:p>
          <w:p w14:paraId="2FD00819" w14:textId="2DDE04F3" w:rsidR="00C9161D" w:rsidRPr="001F664E" w:rsidRDefault="009D557C" w:rsidP="00176CEE">
            <w:pPr>
              <w:ind w:left="1215"/>
              <w:rPr>
                <w:szCs w:val="22"/>
                <w:lang w:val="en-AU"/>
              </w:rPr>
            </w:pPr>
            <w:sdt>
              <w:sdtPr>
                <w:rPr>
                  <w:lang w:val="en-AU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06037" w:rsidRPr="001F664E">
                  <w:rPr>
                    <w:lang w:val="en-AU"/>
                  </w:rPr>
                  <w:t>CBD/CP/</w:t>
                </w:r>
                <w:r w:rsidR="00EC5212" w:rsidRPr="001F664E">
                  <w:rPr>
                    <w:lang w:val="en-AU"/>
                  </w:rPr>
                  <w:t>MOP/</w:t>
                </w:r>
                <w:r w:rsidR="001F664E">
                  <w:rPr>
                    <w:lang w:val="en-AU"/>
                  </w:rPr>
                  <w:t>DEC/9/</w:t>
                </w:r>
                <w:r w:rsidR="001F664E" w:rsidRPr="001F664E">
                  <w:rPr>
                    <w:lang w:val="en-AU"/>
                  </w:rPr>
                  <w:t>9</w:t>
                </w:r>
              </w:sdtContent>
            </w:sdt>
          </w:p>
          <w:p w14:paraId="2FD0081A" w14:textId="588BB35E" w:rsidR="00C9161D" w:rsidRPr="00C9161D" w:rsidRDefault="001F664E" w:rsidP="00176CEE">
            <w:pPr>
              <w:ind w:left="1215"/>
              <w:rPr>
                <w:szCs w:val="22"/>
              </w:rPr>
            </w:pPr>
            <w:r>
              <w:rPr>
                <w:szCs w:val="22"/>
                <w:lang w:val="en-US"/>
              </w:rPr>
              <w:t>30</w:t>
            </w:r>
            <w:r w:rsidR="00F6586C" w:rsidRPr="008C2410">
              <w:rPr>
                <w:szCs w:val="22"/>
                <w:lang w:val="en-US"/>
              </w:rPr>
              <w:t xml:space="preserve"> </w:t>
            </w:r>
            <w:r w:rsidR="00843969">
              <w:rPr>
                <w:szCs w:val="22"/>
                <w:lang w:val="en-US"/>
              </w:rPr>
              <w:t>novembre</w:t>
            </w:r>
            <w:r w:rsidR="00F6586C" w:rsidRPr="008C2410">
              <w:rPr>
                <w:szCs w:val="22"/>
                <w:lang w:val="en-US"/>
              </w:rPr>
              <w:t xml:space="preserve"> 2018</w:t>
            </w:r>
          </w:p>
          <w:p w14:paraId="2FD0081B" w14:textId="77777777" w:rsidR="00C9161D" w:rsidRPr="00C9161D" w:rsidRDefault="00C9161D" w:rsidP="00176CEE">
            <w:pPr>
              <w:ind w:left="1215"/>
              <w:rPr>
                <w:szCs w:val="22"/>
              </w:rPr>
            </w:pPr>
          </w:p>
          <w:p w14:paraId="1F08380D" w14:textId="77777777" w:rsidR="00843969" w:rsidRDefault="00843969" w:rsidP="00176CEE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>FRANÇAIS</w:t>
            </w:r>
          </w:p>
          <w:p w14:paraId="2FD0081C" w14:textId="7E2294A9" w:rsidR="00C9161D" w:rsidRPr="00C9161D" w:rsidRDefault="006B2290" w:rsidP="00176CEE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>ORIGINAL</w:t>
            </w:r>
            <w:r w:rsidR="0084396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: </w:t>
            </w:r>
            <w:r w:rsidR="00843969">
              <w:rPr>
                <w:szCs w:val="22"/>
              </w:rPr>
              <w:t>ANGLAIS</w:t>
            </w:r>
          </w:p>
          <w:p w14:paraId="2FD0081D" w14:textId="77777777" w:rsidR="00C9161D" w:rsidRDefault="00C9161D"/>
        </w:tc>
      </w:tr>
    </w:tbl>
    <w:p w14:paraId="788664E0" w14:textId="195B0698" w:rsidR="00843969" w:rsidRPr="00843969" w:rsidRDefault="00843969" w:rsidP="00843969">
      <w:pPr>
        <w:pStyle w:val="Cornernotation"/>
        <w:suppressLineNumbers/>
        <w:suppressAutoHyphens/>
        <w:kinsoku w:val="0"/>
        <w:overflowPunct w:val="0"/>
        <w:autoSpaceDE w:val="0"/>
        <w:autoSpaceDN w:val="0"/>
        <w:spacing w:before="60"/>
        <w:ind w:left="227" w:right="3780" w:hanging="227"/>
        <w:rPr>
          <w:snapToGrid w:val="0"/>
          <w:kern w:val="22"/>
          <w:szCs w:val="22"/>
          <w:lang w:val="fr-CA"/>
        </w:rPr>
      </w:pPr>
      <w:r w:rsidRPr="00843969">
        <w:rPr>
          <w:snapToGrid w:val="0"/>
          <w:kern w:val="22"/>
          <w:lang w:val="fr-CA"/>
        </w:rPr>
        <w:t>CONFÉRENCE DES PARTIES À LA CONVENTION SUR LA DIVERSITÉ BIOLOGIQUE SIÉGEANT EN TANT QUE RÉUNION DES PARTIES AU PROTOCOLE DE CARTAGENA SUR LA PRÉVENTION DES RISQUES BIOTECHNOLOGIQUES</w:t>
      </w:r>
    </w:p>
    <w:p w14:paraId="56D8EA86" w14:textId="77777777" w:rsidR="00843969" w:rsidRPr="00843969" w:rsidRDefault="00843969" w:rsidP="00843969">
      <w:pPr>
        <w:pStyle w:val="Cornernotation"/>
        <w:suppressLineNumbers/>
        <w:suppressAutoHyphens/>
        <w:kinsoku w:val="0"/>
        <w:overflowPunct w:val="0"/>
        <w:autoSpaceDE w:val="0"/>
        <w:autoSpaceDN w:val="0"/>
        <w:ind w:left="0" w:right="4512" w:firstLine="0"/>
        <w:rPr>
          <w:snapToGrid w:val="0"/>
          <w:kern w:val="22"/>
          <w:lang w:val="fr-CA"/>
        </w:rPr>
      </w:pPr>
      <w:r w:rsidRPr="00843969">
        <w:rPr>
          <w:snapToGrid w:val="0"/>
          <w:kern w:val="22"/>
          <w:lang w:val="fr-CA"/>
        </w:rPr>
        <w:t>Neuvième réunion</w:t>
      </w:r>
    </w:p>
    <w:p w14:paraId="5AA9E7FA" w14:textId="77777777" w:rsidR="00843969" w:rsidRPr="00843969" w:rsidRDefault="00843969" w:rsidP="00843969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fr-CA" w:eastAsia="nb-NO"/>
        </w:rPr>
      </w:pPr>
      <w:bookmarkStart w:id="0" w:name="_Hlk505863673"/>
      <w:r w:rsidRPr="00843969">
        <w:rPr>
          <w:noProof/>
          <w:snapToGrid w:val="0"/>
          <w:kern w:val="22"/>
          <w:szCs w:val="22"/>
          <w:lang w:val="fr-CA" w:eastAsia="nb-NO"/>
        </w:rPr>
        <w:t>Sharm El</w:t>
      </w:r>
      <w:r w:rsidRPr="00843969">
        <w:rPr>
          <w:noProof/>
          <w:snapToGrid w:val="0"/>
          <w:kern w:val="22"/>
          <w:szCs w:val="22"/>
          <w:lang w:val="fr-CA" w:eastAsia="nb-NO"/>
        </w:rPr>
        <w:noBreakHyphen/>
        <w:t>Sheikh, Égypt</w:t>
      </w:r>
      <w:bookmarkEnd w:id="0"/>
      <w:r w:rsidRPr="00843969">
        <w:rPr>
          <w:noProof/>
          <w:snapToGrid w:val="0"/>
          <w:kern w:val="22"/>
          <w:szCs w:val="22"/>
          <w:lang w:val="fr-CA" w:eastAsia="nb-NO"/>
        </w:rPr>
        <w:t>e</w:t>
      </w:r>
      <w:r w:rsidRPr="00843969">
        <w:rPr>
          <w:snapToGrid w:val="0"/>
          <w:kern w:val="22"/>
          <w:szCs w:val="22"/>
          <w:lang w:val="fr-CA" w:eastAsia="nb-NO"/>
        </w:rPr>
        <w:t>, 17</w:t>
      </w:r>
      <w:r w:rsidRPr="00843969">
        <w:rPr>
          <w:snapToGrid w:val="0"/>
          <w:kern w:val="22"/>
          <w:szCs w:val="22"/>
          <w:lang w:val="fr-CA" w:eastAsia="nb-NO"/>
        </w:rPr>
        <w:noBreakHyphen/>
        <w:t>29 novembre 2018</w:t>
      </w:r>
    </w:p>
    <w:p w14:paraId="2FD00823" w14:textId="30DECE6F" w:rsidR="00C9161D" w:rsidRDefault="00843969" w:rsidP="001F664E">
      <w:pPr>
        <w:pStyle w:val="Cornernotation"/>
        <w:ind w:right="3973"/>
        <w:rPr>
          <w:lang w:val="fr-FR"/>
        </w:rPr>
      </w:pPr>
      <w:r w:rsidRPr="001F664E">
        <w:rPr>
          <w:snapToGrid w:val="0"/>
          <w:kern w:val="22"/>
          <w:szCs w:val="22"/>
          <w:lang w:val="fr-FR"/>
        </w:rPr>
        <w:t>Point 11 de l’ordre du jour</w:t>
      </w:r>
    </w:p>
    <w:p w14:paraId="6A22F59E" w14:textId="0A0547DF" w:rsidR="001F664E" w:rsidRPr="001F664E" w:rsidRDefault="001F664E" w:rsidP="001F664E">
      <w:pPr>
        <w:spacing w:before="360" w:after="360"/>
        <w:jc w:val="center"/>
        <w:rPr>
          <w:b/>
          <w:caps/>
          <w:kern w:val="22"/>
          <w:szCs w:val="22"/>
          <w:lang w:val="fr-FR"/>
        </w:rPr>
      </w:pPr>
      <w:r>
        <w:rPr>
          <w:b/>
          <w:caps/>
          <w:kern w:val="22"/>
          <w:szCs w:val="22"/>
          <w:lang w:val="fr-FR"/>
        </w:rPr>
        <w:t xml:space="preserve">DÉCISION ADOPTÉE PAR LES PARTIES AU PROTOCOLE DE CARTAGENA SUR LA </w:t>
      </w:r>
      <w:r>
        <w:rPr>
          <w:b/>
          <w:kern w:val="22"/>
          <w:szCs w:val="22"/>
          <w:lang w:val="fr-FR"/>
        </w:rPr>
        <w:t>PRÉVENTION DES RISQUES BIOTECHNOLOGIQUES</w:t>
      </w:r>
    </w:p>
    <w:p w14:paraId="2FD00824" w14:textId="3DC6BE07" w:rsidR="00C9161D" w:rsidRPr="00843969" w:rsidRDefault="009D557C" w:rsidP="001F664E">
      <w:pPr>
        <w:spacing w:before="120" w:after="240"/>
        <w:ind w:left="993" w:hanging="709"/>
        <w:jc w:val="left"/>
        <w:rPr>
          <w:b/>
          <w:caps/>
          <w:lang w:val="fr-CA"/>
        </w:rPr>
      </w:pPr>
      <w:sdt>
        <w:sdtPr>
          <w:rPr>
            <w:b/>
            <w:caps/>
            <w:snapToGrid w:val="0"/>
            <w:lang w:val="fr-CA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F664E">
            <w:rPr>
              <w:b/>
              <w:caps/>
              <w:snapToGrid w:val="0"/>
              <w:lang w:val="fr-CA"/>
            </w:rPr>
            <w:t xml:space="preserve">9/9.       </w:t>
          </w:r>
          <w:r w:rsidR="001F664E">
            <w:rPr>
              <w:b/>
              <w:snapToGrid w:val="0"/>
              <w:lang w:val="fr-CA"/>
            </w:rPr>
            <w:t>R</w:t>
          </w:r>
          <w:r w:rsidR="001F664E" w:rsidRPr="00843969">
            <w:rPr>
              <w:b/>
              <w:snapToGrid w:val="0"/>
              <w:lang w:val="fr-CA"/>
            </w:rPr>
            <w:t>enforce</w:t>
          </w:r>
          <w:r w:rsidR="001F664E">
            <w:rPr>
              <w:b/>
              <w:snapToGrid w:val="0"/>
              <w:lang w:val="fr-CA"/>
            </w:rPr>
            <w:t>r l’intégration au titre de la Convention et de ses P</w:t>
          </w:r>
          <w:r w:rsidR="001F664E" w:rsidRPr="00843969">
            <w:rPr>
              <w:b/>
              <w:snapToGrid w:val="0"/>
              <w:lang w:val="fr-CA"/>
            </w:rPr>
            <w:t>rotocoles pour ce qui est des dispositions relatives à la prévention des risques biotechnologiques</w:t>
          </w:r>
        </w:sdtContent>
      </w:sdt>
      <w:r w:rsidR="00105372" w:rsidRPr="00843969">
        <w:rPr>
          <w:b/>
          <w:caps/>
          <w:lang w:val="fr-CA"/>
        </w:rPr>
        <w:t xml:space="preserve"> </w:t>
      </w:r>
    </w:p>
    <w:p w14:paraId="11AAAF6A" w14:textId="77777777" w:rsidR="00843969" w:rsidRPr="00843969" w:rsidRDefault="00843969" w:rsidP="00843969">
      <w:pPr>
        <w:spacing w:after="120"/>
        <w:ind w:firstLine="709"/>
        <w:rPr>
          <w:i/>
          <w:szCs w:val="22"/>
          <w:lang w:val="fr-CA"/>
        </w:rPr>
      </w:pPr>
      <w:r w:rsidRPr="00843969">
        <w:rPr>
          <w:i/>
          <w:szCs w:val="22"/>
          <w:lang w:val="fr-CA"/>
        </w:rPr>
        <w:t xml:space="preserve">La Conférence des Parties siégeant en tant que réunion des Parties au Protocole de Cartagena sur la prévention des risques biotechnologiques, </w:t>
      </w:r>
    </w:p>
    <w:p w14:paraId="72BC87D5" w14:textId="6808990D" w:rsidR="00843969" w:rsidRPr="00843969" w:rsidRDefault="00843969" w:rsidP="00EC3F0B">
      <w:pPr>
        <w:spacing w:after="120"/>
        <w:ind w:firstLine="709"/>
        <w:rPr>
          <w:szCs w:val="22"/>
          <w:lang w:val="fr-CA" w:eastAsia="zh-CN"/>
        </w:rPr>
      </w:pPr>
      <w:r w:rsidRPr="00843969">
        <w:rPr>
          <w:i/>
          <w:kern w:val="22"/>
          <w:szCs w:val="22"/>
          <w:lang w:val="fr-CA"/>
        </w:rPr>
        <w:t>Rapp</w:t>
      </w:r>
      <w:bookmarkStart w:id="1" w:name="_GoBack"/>
      <w:bookmarkEnd w:id="1"/>
      <w:r w:rsidRPr="00843969">
        <w:rPr>
          <w:i/>
          <w:kern w:val="22"/>
          <w:szCs w:val="22"/>
          <w:lang w:val="fr-CA"/>
        </w:rPr>
        <w:t xml:space="preserve">elant </w:t>
      </w:r>
      <w:r w:rsidRPr="00843969">
        <w:rPr>
          <w:kern w:val="22"/>
          <w:szCs w:val="22"/>
          <w:lang w:val="fr-CA"/>
        </w:rPr>
        <w:t>la décision XIII/26 de la C</w:t>
      </w:r>
      <w:r w:rsidR="00841DA0">
        <w:rPr>
          <w:kern w:val="22"/>
          <w:szCs w:val="22"/>
          <w:lang w:val="fr-CA"/>
        </w:rPr>
        <w:t>onférence des Parties sur</w:t>
      </w:r>
      <w:r w:rsidRPr="00843969">
        <w:rPr>
          <w:kern w:val="22"/>
          <w:szCs w:val="22"/>
          <w:lang w:val="fr-CA"/>
        </w:rPr>
        <w:t xml:space="preserve"> des moyens </w:t>
      </w:r>
      <w:r w:rsidRPr="00843969">
        <w:rPr>
          <w:szCs w:val="22"/>
          <w:lang w:val="fr-CA" w:eastAsia="zh-CN"/>
        </w:rPr>
        <w:t>éventuels de promouvoir des approches int</w:t>
      </w:r>
      <w:r w:rsidR="00841DA0">
        <w:rPr>
          <w:szCs w:val="22"/>
          <w:lang w:val="fr-CA" w:eastAsia="zh-CN"/>
        </w:rPr>
        <w:t xml:space="preserve">égrées pour les questions qui concernent </w:t>
      </w:r>
      <w:r w:rsidRPr="00843969">
        <w:rPr>
          <w:szCs w:val="22"/>
          <w:lang w:val="fr-CA" w:eastAsia="zh-CN"/>
        </w:rPr>
        <w:t>à la fois les dispositi</w:t>
      </w:r>
      <w:r w:rsidR="00841DA0">
        <w:rPr>
          <w:szCs w:val="22"/>
          <w:lang w:val="fr-CA" w:eastAsia="zh-CN"/>
        </w:rPr>
        <w:t>ons de la Convention ayant trait à</w:t>
      </w:r>
      <w:r w:rsidR="00041CA5">
        <w:rPr>
          <w:szCs w:val="22"/>
          <w:lang w:val="fr-CA" w:eastAsia="zh-CN"/>
        </w:rPr>
        <w:t xml:space="preserve"> la prévention des</w:t>
      </w:r>
      <w:r w:rsidRPr="00843969">
        <w:rPr>
          <w:szCs w:val="22"/>
          <w:lang w:val="fr-CA" w:eastAsia="zh-CN"/>
        </w:rPr>
        <w:t xml:space="preserve"> risques biotechnologiques et les disposi</w:t>
      </w:r>
      <w:r>
        <w:rPr>
          <w:szCs w:val="22"/>
          <w:lang w:val="fr-CA" w:eastAsia="zh-CN"/>
        </w:rPr>
        <w:t>t</w:t>
      </w:r>
      <w:r w:rsidR="001F664E">
        <w:rPr>
          <w:szCs w:val="22"/>
          <w:lang w:val="fr-CA" w:eastAsia="zh-CN"/>
        </w:rPr>
        <w:t>ions du Protocole de Cartagena,</w:t>
      </w:r>
    </w:p>
    <w:p w14:paraId="7F3D82BC" w14:textId="6F01C305" w:rsidR="00843969" w:rsidRDefault="00843969" w:rsidP="00843969">
      <w:pPr>
        <w:ind w:firstLine="720"/>
        <w:rPr>
          <w:szCs w:val="22"/>
          <w:lang w:val="fr-CA"/>
        </w:rPr>
      </w:pPr>
      <w:r w:rsidRPr="00843969">
        <w:rPr>
          <w:i/>
          <w:szCs w:val="22"/>
          <w:lang w:val="fr-CA"/>
        </w:rPr>
        <w:t xml:space="preserve">Prend note </w:t>
      </w:r>
      <w:r w:rsidR="00041CA5">
        <w:rPr>
          <w:szCs w:val="22"/>
          <w:lang w:val="fr-CA"/>
        </w:rPr>
        <w:t xml:space="preserve">des </w:t>
      </w:r>
      <w:r w:rsidRPr="00843969">
        <w:rPr>
          <w:szCs w:val="22"/>
          <w:lang w:val="fr-CA"/>
        </w:rPr>
        <w:t xml:space="preserve">moyens proposés pour renforcer l'intégration et </w:t>
      </w:r>
      <w:r w:rsidRPr="00843969">
        <w:rPr>
          <w:i/>
          <w:szCs w:val="22"/>
          <w:lang w:val="fr-CA"/>
        </w:rPr>
        <w:t>accueille avec satisfaction</w:t>
      </w:r>
      <w:r w:rsidRPr="00843969">
        <w:rPr>
          <w:szCs w:val="22"/>
          <w:lang w:val="fr-CA"/>
        </w:rPr>
        <w:t xml:space="preserve"> la décision </w:t>
      </w:r>
      <w:r>
        <w:rPr>
          <w:szCs w:val="22"/>
          <w:lang w:val="fr-CA"/>
        </w:rPr>
        <w:t>14</w:t>
      </w:r>
      <w:r w:rsidR="001F664E">
        <w:rPr>
          <w:szCs w:val="22"/>
          <w:lang w:val="fr-CA"/>
        </w:rPr>
        <w:t>/31</w:t>
      </w:r>
      <w:r w:rsidRPr="00843969">
        <w:rPr>
          <w:szCs w:val="22"/>
          <w:lang w:val="fr-CA"/>
        </w:rPr>
        <w:t xml:space="preserve"> de la Conférence des Parties</w:t>
      </w:r>
      <w:r>
        <w:rPr>
          <w:szCs w:val="22"/>
          <w:lang w:val="fr-CA"/>
        </w:rPr>
        <w:t>.</w:t>
      </w:r>
    </w:p>
    <w:p w14:paraId="625B1FD5" w14:textId="77777777" w:rsidR="00843969" w:rsidRDefault="00843969" w:rsidP="00843969">
      <w:pPr>
        <w:ind w:firstLine="720"/>
        <w:rPr>
          <w:szCs w:val="22"/>
          <w:lang w:val="fr-CA"/>
        </w:rPr>
      </w:pPr>
    </w:p>
    <w:p w14:paraId="70BE8ACA" w14:textId="75CD5C4E" w:rsidR="008D74B8" w:rsidRPr="00843969" w:rsidRDefault="008D74B8" w:rsidP="00843969">
      <w:pPr>
        <w:jc w:val="center"/>
        <w:rPr>
          <w:kern w:val="22"/>
          <w:lang w:val="fr-CA"/>
        </w:rPr>
      </w:pPr>
      <w:r w:rsidRPr="00843969">
        <w:rPr>
          <w:kern w:val="22"/>
          <w:lang w:val="fr-CA"/>
        </w:rPr>
        <w:t>__________</w:t>
      </w:r>
    </w:p>
    <w:p w14:paraId="58DF6BDB" w14:textId="77777777" w:rsidR="008D74B8" w:rsidRPr="00843969" w:rsidRDefault="008D74B8" w:rsidP="00843969">
      <w:pPr>
        <w:rPr>
          <w:kern w:val="22"/>
          <w:lang w:val="fr-CA"/>
        </w:rPr>
      </w:pPr>
    </w:p>
    <w:p w14:paraId="2FD00826" w14:textId="77777777" w:rsidR="00176CEE" w:rsidRPr="00843969" w:rsidRDefault="00176CEE" w:rsidP="00172AF6">
      <w:pPr>
        <w:spacing w:before="120" w:after="240"/>
        <w:jc w:val="center"/>
        <w:rPr>
          <w:b/>
          <w:caps/>
          <w:lang w:val="fr-CA"/>
        </w:rPr>
      </w:pPr>
    </w:p>
    <w:p w14:paraId="2FD00827" w14:textId="77777777" w:rsidR="00B3369F" w:rsidRPr="00843969" w:rsidRDefault="00B3369F" w:rsidP="00C9161D">
      <w:pPr>
        <w:rPr>
          <w:lang w:val="fr-CA"/>
        </w:rPr>
      </w:pPr>
    </w:p>
    <w:sectPr w:rsidR="00B3369F" w:rsidRPr="00843969" w:rsidSect="007B078D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A672" w14:textId="77777777" w:rsidR="009D557C" w:rsidRDefault="009D557C" w:rsidP="00CF1848">
      <w:r>
        <w:separator/>
      </w:r>
    </w:p>
  </w:endnote>
  <w:endnote w:type="continuationSeparator" w:id="0">
    <w:p w14:paraId="1DFA6B72" w14:textId="77777777" w:rsidR="009D557C" w:rsidRDefault="009D557C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742EE" w14:textId="77777777" w:rsidR="009D557C" w:rsidRDefault="009D557C" w:rsidP="00CF1848">
      <w:r>
        <w:separator/>
      </w:r>
    </w:p>
  </w:footnote>
  <w:footnote w:type="continuationSeparator" w:id="0">
    <w:p w14:paraId="3C8B049F" w14:textId="77777777" w:rsidR="009D557C" w:rsidRDefault="009D557C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FD00832" w14:textId="301E5012" w:rsidR="00534681" w:rsidRPr="007B078D" w:rsidRDefault="001F664E" w:rsidP="00534681">
        <w:pPr>
          <w:pStyle w:val="Header"/>
          <w:rPr>
            <w:lang w:val="fr-FR"/>
          </w:rPr>
        </w:pPr>
        <w:r>
          <w:rPr>
            <w:lang w:val="fr-FR"/>
          </w:rPr>
          <w:t>CBD/CP/MOP/DEC/9/9</w:t>
        </w:r>
      </w:p>
    </w:sdtContent>
  </w:sdt>
  <w:p w14:paraId="2FD00833" w14:textId="77777777" w:rsidR="00534681" w:rsidRPr="007B078D" w:rsidRDefault="00534681" w:rsidP="00534681">
    <w:pPr>
      <w:pStyle w:val="Header"/>
      <w:rPr>
        <w:lang w:val="fr-FR"/>
      </w:rPr>
    </w:pPr>
    <w:r w:rsidRPr="007B078D">
      <w:rPr>
        <w:lang w:val="fr-FR"/>
      </w:rPr>
      <w:t xml:space="preserve">Page </w:t>
    </w:r>
    <w:r>
      <w:fldChar w:fldCharType="begin"/>
    </w:r>
    <w:r w:rsidRPr="007B078D">
      <w:rPr>
        <w:lang w:val="fr-FR"/>
      </w:rPr>
      <w:instrText xml:space="preserve"> PAGE   \* MERGEFORMAT </w:instrText>
    </w:r>
    <w:r>
      <w:fldChar w:fldCharType="separate"/>
    </w:r>
    <w:r w:rsidR="00F4051A">
      <w:rPr>
        <w:noProof/>
        <w:lang w:val="fr-FR"/>
      </w:rPr>
      <w:t>2</w:t>
    </w:r>
    <w:r>
      <w:rPr>
        <w:noProof/>
      </w:rPr>
      <w:fldChar w:fldCharType="end"/>
    </w:r>
  </w:p>
  <w:p w14:paraId="2FD00834" w14:textId="77777777" w:rsidR="00534681" w:rsidRPr="007B078D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FD00835" w14:textId="7966B524" w:rsidR="009505C9" w:rsidRPr="007B078D" w:rsidRDefault="001F664E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CBD/CP/MOP/DEC/9/9</w:t>
        </w:r>
      </w:p>
    </w:sdtContent>
  </w:sdt>
  <w:p w14:paraId="2FD00836" w14:textId="77777777" w:rsidR="009505C9" w:rsidRPr="007B078D" w:rsidRDefault="009505C9" w:rsidP="009505C9">
    <w:pPr>
      <w:pStyle w:val="Header"/>
      <w:jc w:val="right"/>
      <w:rPr>
        <w:lang w:val="fr-FR"/>
      </w:rPr>
    </w:pPr>
    <w:r w:rsidRPr="007B078D">
      <w:rPr>
        <w:lang w:val="fr-FR"/>
      </w:rPr>
      <w:t xml:space="preserve">Page </w:t>
    </w:r>
    <w:r>
      <w:fldChar w:fldCharType="begin"/>
    </w:r>
    <w:r w:rsidRPr="007B078D">
      <w:rPr>
        <w:lang w:val="fr-FR"/>
      </w:rPr>
      <w:instrText xml:space="preserve"> PAGE   \* MERGEFORMAT </w:instrText>
    </w:r>
    <w:r>
      <w:fldChar w:fldCharType="separate"/>
    </w:r>
    <w:r w:rsidR="007B078D">
      <w:rPr>
        <w:noProof/>
        <w:lang w:val="fr-FR"/>
      </w:rPr>
      <w:t>1</w:t>
    </w:r>
    <w:r>
      <w:rPr>
        <w:noProof/>
      </w:rPr>
      <w:fldChar w:fldCharType="end"/>
    </w:r>
  </w:p>
  <w:p w14:paraId="2FD00837" w14:textId="77777777" w:rsidR="009505C9" w:rsidRPr="007B078D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E5D154C"/>
    <w:multiLevelType w:val="multilevel"/>
    <w:tmpl w:val="8982DC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1D"/>
    <w:rsid w:val="00041CA5"/>
    <w:rsid w:val="000E673A"/>
    <w:rsid w:val="000F4914"/>
    <w:rsid w:val="000F74F5"/>
    <w:rsid w:val="00105372"/>
    <w:rsid w:val="00131E7A"/>
    <w:rsid w:val="00147D72"/>
    <w:rsid w:val="0016171D"/>
    <w:rsid w:val="00172AF6"/>
    <w:rsid w:val="00176CEE"/>
    <w:rsid w:val="00186DD8"/>
    <w:rsid w:val="001F664E"/>
    <w:rsid w:val="00273079"/>
    <w:rsid w:val="00372F74"/>
    <w:rsid w:val="003D6DF7"/>
    <w:rsid w:val="003F7224"/>
    <w:rsid w:val="004018AD"/>
    <w:rsid w:val="00427D21"/>
    <w:rsid w:val="004644C2"/>
    <w:rsid w:val="00467F9C"/>
    <w:rsid w:val="004C2701"/>
    <w:rsid w:val="00534681"/>
    <w:rsid w:val="00541ABC"/>
    <w:rsid w:val="006122BA"/>
    <w:rsid w:val="0068672C"/>
    <w:rsid w:val="006A2E4B"/>
    <w:rsid w:val="006B2290"/>
    <w:rsid w:val="00717D88"/>
    <w:rsid w:val="00723FC0"/>
    <w:rsid w:val="007942D3"/>
    <w:rsid w:val="007B078D"/>
    <w:rsid w:val="007B6C09"/>
    <w:rsid w:val="007E09DA"/>
    <w:rsid w:val="00806037"/>
    <w:rsid w:val="008178B6"/>
    <w:rsid w:val="008228AB"/>
    <w:rsid w:val="00841DA0"/>
    <w:rsid w:val="00843969"/>
    <w:rsid w:val="00865B74"/>
    <w:rsid w:val="008A449F"/>
    <w:rsid w:val="008B7D32"/>
    <w:rsid w:val="008C2410"/>
    <w:rsid w:val="008D74B8"/>
    <w:rsid w:val="00930BA1"/>
    <w:rsid w:val="0093169E"/>
    <w:rsid w:val="009505C9"/>
    <w:rsid w:val="009D557C"/>
    <w:rsid w:val="00A20FD1"/>
    <w:rsid w:val="00AC3393"/>
    <w:rsid w:val="00B3369F"/>
    <w:rsid w:val="00BA302A"/>
    <w:rsid w:val="00C443BD"/>
    <w:rsid w:val="00C9161D"/>
    <w:rsid w:val="00C93D57"/>
    <w:rsid w:val="00CF1848"/>
    <w:rsid w:val="00D12044"/>
    <w:rsid w:val="00D76A18"/>
    <w:rsid w:val="00DD118C"/>
    <w:rsid w:val="00E66235"/>
    <w:rsid w:val="00E83C24"/>
    <w:rsid w:val="00E9318D"/>
    <w:rsid w:val="00EC3F0B"/>
    <w:rsid w:val="00EC5212"/>
    <w:rsid w:val="00ED72FA"/>
    <w:rsid w:val="00F4051A"/>
    <w:rsid w:val="00F6586C"/>
    <w:rsid w:val="00F94774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00811"/>
  <w15:docId w15:val="{0F1C5702-D8D6-4005-9695-DD0E17D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NoSpacing">
    <w:name w:val="No Spacing"/>
    <w:link w:val="NoSpacingChar"/>
    <w:uiPriority w:val="1"/>
    <w:qFormat/>
    <w:rsid w:val="00273079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3079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0A01F3"/>
    <w:rsid w:val="00220259"/>
    <w:rsid w:val="00500A2B"/>
    <w:rsid w:val="0058288D"/>
    <w:rsid w:val="0065085F"/>
    <w:rsid w:val="006801B3"/>
    <w:rsid w:val="006F4D99"/>
    <w:rsid w:val="007420DB"/>
    <w:rsid w:val="00810A55"/>
    <w:rsid w:val="008C6619"/>
    <w:rsid w:val="008D420E"/>
    <w:rsid w:val="0098642F"/>
    <w:rsid w:val="009A0CAE"/>
    <w:rsid w:val="009B0255"/>
    <w:rsid w:val="00F62678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255"/>
  </w:style>
  <w:style w:type="paragraph" w:customStyle="1" w:styleId="3347A196BEA743CBA826CB5B667EA688">
    <w:name w:val="3347A196BEA743CBA826CB5B667EA688"/>
    <w:rsid w:val="006F4D99"/>
    <w:rPr>
      <w:lang w:val="en-CA" w:eastAsia="en-CA"/>
    </w:rPr>
  </w:style>
  <w:style w:type="paragraph" w:customStyle="1" w:styleId="5620078ADA2A4BB0B05A456729E3F911">
    <w:name w:val="5620078ADA2A4BB0B05A456729E3F911"/>
    <w:rsid w:val="009B0255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BF305D-7BF7-4C1D-9F0F-5CB5F260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ENHANCING INTEGRATION UNDER THE CONVENTION AND ITS PROTOCOLS WITH RESPECT TO BIOSAFETY-RELATED PROVISIONS</vt:lpstr>
      <vt:lpstr>ENHANCING INTEGRATION UNDER THE CONVENTION AND ITS PROTOCOLS WITH RESPECT TO BIOSAFETY-RELATED PROVISIONS</vt:lpstr>
    </vt:vector>
  </TitlesOfParts>
  <Company>SCBD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9/9.       Renforcer l’intégration au titre de la Convention et de ses Protocoles pour ce qui est des dispositions relatives à la prévention des risques biotechnologiques</dc:title>
  <dc:subject>CBD/CP/MOP/DEC/9/9</dc:subject>
  <dc:creator>SCBD</dc:creator>
  <cp:lastModifiedBy>Finn Kinley</cp:lastModifiedBy>
  <cp:revision>7</cp:revision>
  <dcterms:created xsi:type="dcterms:W3CDTF">2018-11-28T11:28:00Z</dcterms:created>
  <dcterms:modified xsi:type="dcterms:W3CDTF">2019-02-06T00:13:00Z</dcterms:modified>
  <cp:contentStatus>generalE</cp:contentStatus>
</cp:coreProperties>
</file>