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14:paraId="2FD00814" w14:textId="77777777" w:rsidTr="00CF1848">
        <w:trPr>
          <w:trHeight w:val="709"/>
        </w:trPr>
        <w:tc>
          <w:tcPr>
            <w:tcW w:w="976" w:type="dxa"/>
            <w:tcBorders>
              <w:bottom w:val="single" w:sz="12" w:space="0" w:color="auto"/>
            </w:tcBorders>
          </w:tcPr>
          <w:p w14:paraId="2FD00811" w14:textId="77777777" w:rsidR="00C9161D" w:rsidRDefault="00C9161D">
            <w:bookmarkStart w:id="0" w:name="_Hlk530914254"/>
            <w:r>
              <w:rPr>
                <w:noProof/>
              </w:rPr>
              <w:drawing>
                <wp:inline distT="0" distB="0" distL="0" distR="0" wp14:anchorId="2FD00828" wp14:editId="2FD00829">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2FD00812" w14:textId="77777777" w:rsidR="00C9161D" w:rsidRDefault="00C9161D">
            <w:r>
              <w:rPr>
                <w:noProof/>
              </w:rPr>
              <w:drawing>
                <wp:inline distT="0" distB="0" distL="0" distR="0" wp14:anchorId="2FD0082A" wp14:editId="2FD0082B">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2FD00813" w14:textId="77777777" w:rsidR="00C9161D" w:rsidRPr="00C9161D" w:rsidRDefault="00C9161D" w:rsidP="00C9161D">
            <w:pPr>
              <w:jc w:val="right"/>
              <w:rPr>
                <w:rFonts w:ascii="Arial" w:hAnsi="Arial" w:cs="Arial"/>
                <w:b/>
                <w:sz w:val="32"/>
                <w:szCs w:val="32"/>
              </w:rPr>
            </w:pPr>
            <w:r>
              <w:rPr>
                <w:rFonts w:ascii="Arial" w:hAnsi="Arial" w:cs="Arial"/>
                <w:b/>
                <w:sz w:val="32"/>
                <w:szCs w:val="32"/>
              </w:rPr>
              <w:t>CBD</w:t>
            </w:r>
          </w:p>
        </w:tc>
      </w:tr>
      <w:tr w:rsidR="00C9161D" w14:paraId="2FD0081E" w14:textId="77777777" w:rsidTr="00CF1848">
        <w:tc>
          <w:tcPr>
            <w:tcW w:w="6117" w:type="dxa"/>
            <w:gridSpan w:val="2"/>
            <w:tcBorders>
              <w:top w:val="single" w:sz="12" w:space="0" w:color="auto"/>
              <w:bottom w:val="single" w:sz="36" w:space="0" w:color="auto"/>
            </w:tcBorders>
            <w:vAlign w:val="center"/>
          </w:tcPr>
          <w:p w14:paraId="2FD00815" w14:textId="32CE803C" w:rsidR="00C9161D" w:rsidRDefault="00434D85" w:rsidP="00C9161D">
            <w:r w:rsidRPr="00FC4798">
              <w:rPr>
                <w:noProof/>
              </w:rPr>
              <w:drawing>
                <wp:inline distT="0" distB="0" distL="0" distR="0" wp14:anchorId="371A3AB7" wp14:editId="044B4BCF">
                  <wp:extent cx="2876550" cy="1076325"/>
                  <wp:effectExtent l="0" t="0" r="0" b="9525"/>
                  <wp:docPr id="2" name="Image 2" descr="U:\Working Folders\Logos\CBD-official\logo-cbd-fr\cbd-logo-print-blk-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U:\Working Folders\Logos\CBD-official\logo-cbd-fr\cbd-logo-print-blk-f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2FD00816" w14:textId="77777777" w:rsidR="00C9161D" w:rsidRPr="00434D85" w:rsidRDefault="00C9161D" w:rsidP="00176CEE">
            <w:pPr>
              <w:ind w:left="1215"/>
              <w:rPr>
                <w:szCs w:val="22"/>
                <w:lang w:val="en-US"/>
              </w:rPr>
            </w:pPr>
            <w:r w:rsidRPr="00434D85">
              <w:rPr>
                <w:szCs w:val="22"/>
                <w:lang w:val="en-US"/>
              </w:rPr>
              <w:t>Distr.</w:t>
            </w:r>
          </w:p>
          <w:p w14:paraId="2FD00817" w14:textId="0E3C6B6A" w:rsidR="00C9161D" w:rsidRPr="00434D85" w:rsidRDefault="00940914" w:rsidP="00176CEE">
            <w:pPr>
              <w:ind w:left="1215"/>
              <w:rPr>
                <w:szCs w:val="22"/>
                <w:lang w:val="en-US"/>
              </w:rPr>
            </w:pPr>
            <w:sdt>
              <w:sdtPr>
                <w:rPr>
                  <w:caps/>
                  <w:szCs w:val="22"/>
                  <w:lang w:val="en-AU"/>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1B7EB2">
                  <w:rPr>
                    <w:caps/>
                    <w:szCs w:val="22"/>
                    <w:lang w:val="en-AU"/>
                  </w:rPr>
                  <w:t>general</w:t>
                </w:r>
                <w:r w:rsidR="00434D85" w:rsidRPr="001B7EB2">
                  <w:rPr>
                    <w:caps/>
                    <w:szCs w:val="22"/>
                    <w:lang w:val="en-AU"/>
                  </w:rPr>
                  <w:t>e</w:t>
                </w:r>
              </w:sdtContent>
            </w:sdt>
          </w:p>
          <w:p w14:paraId="2FD00818" w14:textId="77777777" w:rsidR="00C9161D" w:rsidRPr="00434D85" w:rsidRDefault="00C9161D" w:rsidP="00176CEE">
            <w:pPr>
              <w:ind w:left="1215"/>
              <w:rPr>
                <w:szCs w:val="22"/>
                <w:lang w:val="en-US"/>
              </w:rPr>
            </w:pPr>
          </w:p>
          <w:p w14:paraId="2FD00819" w14:textId="44660F93" w:rsidR="00C9161D" w:rsidRPr="00434D85" w:rsidRDefault="00940914" w:rsidP="00176CEE">
            <w:pPr>
              <w:ind w:left="1215"/>
              <w:rPr>
                <w:szCs w:val="22"/>
                <w:lang w:val="en-US"/>
              </w:rPr>
            </w:pPr>
            <w:sdt>
              <w:sdtPr>
                <w:rPr>
                  <w:lang w:val="en-U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1B7EB2">
                  <w:rPr>
                    <w:lang w:val="en-US"/>
                  </w:rPr>
                  <w:t>CBD/CP/</w:t>
                </w:r>
                <w:r w:rsidR="00AF085B" w:rsidRPr="00191558">
                  <w:rPr>
                    <w:lang w:val="en-US"/>
                  </w:rPr>
                  <w:t>MOP/</w:t>
                </w:r>
                <w:r w:rsidR="001B7EB2">
                  <w:rPr>
                    <w:lang w:val="en-US"/>
                  </w:rPr>
                  <w:t>DEC/9/8</w:t>
                </w:r>
              </w:sdtContent>
            </w:sdt>
          </w:p>
          <w:p w14:paraId="2FD0081A" w14:textId="3956AB48" w:rsidR="00C9161D" w:rsidRPr="00C9161D" w:rsidRDefault="001B7EB2" w:rsidP="00176CEE">
            <w:pPr>
              <w:ind w:left="1215"/>
              <w:rPr>
                <w:szCs w:val="22"/>
              </w:rPr>
            </w:pPr>
            <w:r>
              <w:rPr>
                <w:szCs w:val="22"/>
              </w:rPr>
              <w:t>30</w:t>
            </w:r>
            <w:r w:rsidR="004018AD">
              <w:rPr>
                <w:szCs w:val="22"/>
              </w:rPr>
              <w:t> novembre 2018</w:t>
            </w:r>
          </w:p>
          <w:p w14:paraId="2FD0081B" w14:textId="77777777" w:rsidR="00C9161D" w:rsidRPr="00C9161D" w:rsidRDefault="00C9161D" w:rsidP="00176CEE">
            <w:pPr>
              <w:ind w:left="1215"/>
              <w:rPr>
                <w:szCs w:val="22"/>
              </w:rPr>
            </w:pPr>
          </w:p>
          <w:p w14:paraId="2FD0081C" w14:textId="77777777" w:rsidR="00C9161D" w:rsidRPr="00C9161D" w:rsidRDefault="006B2290" w:rsidP="00176CEE">
            <w:pPr>
              <w:ind w:left="1215"/>
              <w:rPr>
                <w:szCs w:val="22"/>
              </w:rPr>
            </w:pPr>
            <w:r>
              <w:rPr>
                <w:szCs w:val="22"/>
              </w:rPr>
              <w:t xml:space="preserve">FRANÇAIS </w:t>
            </w:r>
            <w:r>
              <w:rPr>
                <w:szCs w:val="22"/>
              </w:rPr>
              <w:br/>
              <w:t>ORIGINAL : ANGLAIS</w:t>
            </w:r>
          </w:p>
          <w:p w14:paraId="2FD0081D" w14:textId="77777777" w:rsidR="00C9161D" w:rsidRDefault="00C9161D"/>
        </w:tc>
      </w:tr>
    </w:tbl>
    <w:p w14:paraId="006161E7" w14:textId="662B3D5A" w:rsidR="00AC3393" w:rsidRDefault="00AC3393" w:rsidP="00AC3393">
      <w:pPr>
        <w:pStyle w:val="Cornernotation"/>
        <w:suppressLineNumbers/>
        <w:suppressAutoHyphens/>
        <w:kinsoku w:val="0"/>
        <w:overflowPunct w:val="0"/>
        <w:autoSpaceDE w:val="0"/>
        <w:autoSpaceDN w:val="0"/>
        <w:spacing w:before="60"/>
        <w:ind w:left="227" w:right="3780" w:hanging="227"/>
        <w:rPr>
          <w:snapToGrid w:val="0"/>
          <w:kern w:val="22"/>
        </w:rPr>
      </w:pPr>
      <w:bookmarkStart w:id="1" w:name="_Hlk530040340"/>
      <w:bookmarkEnd w:id="0"/>
      <w:r>
        <w:rPr>
          <w:snapToGrid w:val="0"/>
          <w:kern w:val="22"/>
        </w:rPr>
        <w:t>CONFÉRENCE DES PARTIES À LA CONVENTION SUR LA DIVERSITÉ BIOLOGIQUE SIÉGEANT EN TANT QUE RÉUNION DES PARTIES AU PROTOCOLE DE CARTAGENA SUR LA PRÉVENTION DES RISQUES BIOTECHNOLOGIQUES</w:t>
      </w:r>
    </w:p>
    <w:p w14:paraId="32F58AE0" w14:textId="77777777" w:rsidR="00AC3393" w:rsidRDefault="00AC3393" w:rsidP="00AC3393">
      <w:pPr>
        <w:pStyle w:val="Cornernotation"/>
        <w:suppressLineNumbers/>
        <w:suppressAutoHyphens/>
        <w:kinsoku w:val="0"/>
        <w:overflowPunct w:val="0"/>
        <w:autoSpaceDE w:val="0"/>
        <w:autoSpaceDN w:val="0"/>
        <w:ind w:left="0" w:right="4512" w:firstLine="0"/>
        <w:rPr>
          <w:snapToGrid w:val="0"/>
          <w:kern w:val="22"/>
        </w:rPr>
      </w:pPr>
      <w:r>
        <w:rPr>
          <w:snapToGrid w:val="0"/>
          <w:kern w:val="22"/>
        </w:rPr>
        <w:t>Neuvième réunion</w:t>
      </w:r>
    </w:p>
    <w:p w14:paraId="10DD7072" w14:textId="77777777" w:rsidR="00AC3393" w:rsidRDefault="00AC3393" w:rsidP="00AC3393">
      <w:pPr>
        <w:suppressLineNumbers/>
        <w:suppressAutoHyphens/>
        <w:kinsoku w:val="0"/>
        <w:overflowPunct w:val="0"/>
        <w:autoSpaceDE w:val="0"/>
        <w:autoSpaceDN w:val="0"/>
        <w:rPr>
          <w:snapToGrid w:val="0"/>
          <w:kern w:val="22"/>
          <w:szCs w:val="22"/>
          <w:lang w:eastAsia="nb-NO"/>
        </w:rPr>
      </w:pPr>
      <w:bookmarkStart w:id="2" w:name="_Hlk505863673"/>
      <w:r>
        <w:rPr>
          <w:snapToGrid w:val="0"/>
          <w:kern w:val="22"/>
          <w:szCs w:val="22"/>
        </w:rPr>
        <w:t>Sharm El-Sheikh, Égypte</w:t>
      </w:r>
      <w:bookmarkEnd w:id="2"/>
      <w:r>
        <w:rPr>
          <w:snapToGrid w:val="0"/>
          <w:kern w:val="22"/>
          <w:szCs w:val="22"/>
        </w:rPr>
        <w:t>, 17-29 novembre 2018</w:t>
      </w:r>
    </w:p>
    <w:bookmarkEnd w:id="1"/>
    <w:p w14:paraId="2FD00823" w14:textId="086173EE" w:rsidR="00C9161D" w:rsidRDefault="00F6586C" w:rsidP="001B7EB2">
      <w:pPr>
        <w:pStyle w:val="Cornernotation"/>
        <w:ind w:right="3973"/>
      </w:pPr>
      <w:r w:rsidRPr="001B7EB2">
        <w:rPr>
          <w:color w:val="000000"/>
        </w:rPr>
        <w:t>Point 13 de l’ordre du jour</w:t>
      </w:r>
    </w:p>
    <w:p w14:paraId="100419E1" w14:textId="77777777" w:rsidR="001B7EB2" w:rsidRPr="00022657" w:rsidRDefault="001B7EB2" w:rsidP="001B7EB2">
      <w:pPr>
        <w:spacing w:before="360" w:after="360"/>
        <w:jc w:val="center"/>
        <w:rPr>
          <w:b/>
          <w:caps/>
          <w:kern w:val="22"/>
          <w:szCs w:val="22"/>
        </w:rPr>
      </w:pPr>
      <w:r>
        <w:rPr>
          <w:b/>
          <w:caps/>
          <w:kern w:val="22"/>
          <w:szCs w:val="22"/>
        </w:rPr>
        <w:t>DÉCISION ADOPTÉE PAR LES PARTIES AU PROTOCOLE DE CARTAGENA SUR LA PRÉVENTION DES RISQUES BIOTECHNOLOGIQUES</w:t>
      </w:r>
    </w:p>
    <w:p w14:paraId="2FD00824" w14:textId="30B2CD58" w:rsidR="00C9161D" w:rsidRPr="00C473AE" w:rsidRDefault="00940914" w:rsidP="001B7EB2">
      <w:pPr>
        <w:spacing w:before="120" w:after="240"/>
        <w:ind w:left="993" w:hanging="567"/>
        <w:jc w:val="left"/>
        <w:rPr>
          <w:b/>
          <w:caps/>
        </w:rPr>
      </w:pPr>
      <w:sdt>
        <w:sdtPr>
          <w:rPr>
            <w:b/>
            <w:bCs/>
            <w:iCs/>
            <w:caps/>
            <w:kern w:val="22"/>
            <w:szCs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1B7EB2">
            <w:rPr>
              <w:b/>
              <w:bCs/>
              <w:iCs/>
              <w:caps/>
              <w:kern w:val="22"/>
              <w:szCs w:val="22"/>
            </w:rPr>
            <w:t xml:space="preserve">9/8.   </w:t>
          </w:r>
          <w:r w:rsidR="001B7EB2">
            <w:rPr>
              <w:b/>
              <w:bCs/>
              <w:iCs/>
              <w:kern w:val="22"/>
              <w:szCs w:val="22"/>
            </w:rPr>
            <w:t>Examen de l'expérience de tenue de réunions concomitantes de la Conférence des Parties à la Convention, de la Conférence des P</w:t>
          </w:r>
          <w:r w:rsidR="001B7EB2" w:rsidRPr="00C473AE">
            <w:rPr>
              <w:b/>
              <w:bCs/>
              <w:iCs/>
              <w:kern w:val="22"/>
              <w:szCs w:val="22"/>
            </w:rPr>
            <w:t>arties</w:t>
          </w:r>
          <w:r w:rsidR="001B7EB2">
            <w:rPr>
              <w:b/>
              <w:bCs/>
              <w:iCs/>
              <w:kern w:val="22"/>
              <w:szCs w:val="22"/>
            </w:rPr>
            <w:t xml:space="preserve"> siégeant en tant que réunion des Parties au Protocole de C</w:t>
          </w:r>
          <w:r w:rsidR="001B7EB2" w:rsidRPr="00C473AE">
            <w:rPr>
              <w:b/>
              <w:bCs/>
              <w:iCs/>
              <w:kern w:val="22"/>
              <w:szCs w:val="22"/>
            </w:rPr>
            <w:t>arta</w:t>
          </w:r>
          <w:r w:rsidR="001B7EB2">
            <w:rPr>
              <w:b/>
              <w:bCs/>
              <w:iCs/>
              <w:kern w:val="22"/>
              <w:szCs w:val="22"/>
            </w:rPr>
            <w:t>gena, et de la Conférence des Parties siégeant en tant que réunion des Parties au Protocole de N</w:t>
          </w:r>
          <w:r w:rsidR="001B7EB2" w:rsidRPr="00C473AE">
            <w:rPr>
              <w:b/>
              <w:bCs/>
              <w:iCs/>
              <w:kern w:val="22"/>
              <w:szCs w:val="22"/>
            </w:rPr>
            <w:t>agoya</w:t>
          </w:r>
        </w:sdtContent>
      </w:sdt>
      <w:r w:rsidR="001B7EB2" w:rsidRPr="00C473AE">
        <w:rPr>
          <w:b/>
        </w:rPr>
        <w:t xml:space="preserve"> </w:t>
      </w:r>
    </w:p>
    <w:p w14:paraId="7EC92673" w14:textId="77777777" w:rsidR="00755776" w:rsidRPr="003153BC" w:rsidRDefault="00755776" w:rsidP="00755776">
      <w:pPr>
        <w:suppressLineNumbers/>
        <w:suppressAutoHyphens/>
        <w:kinsoku w:val="0"/>
        <w:overflowPunct w:val="0"/>
        <w:autoSpaceDE w:val="0"/>
        <w:autoSpaceDN w:val="0"/>
        <w:adjustRightInd w:val="0"/>
        <w:snapToGrid w:val="0"/>
        <w:spacing w:before="120" w:after="120"/>
        <w:ind w:firstLine="720"/>
        <w:rPr>
          <w:rFonts w:eastAsia="MS Mincho"/>
          <w:kern w:val="22"/>
        </w:rPr>
      </w:pPr>
      <w:r>
        <w:rPr>
          <w:rFonts w:eastAsia="MS Mincho" w:cs="Angsana New"/>
          <w:i/>
          <w:kern w:val="22"/>
        </w:rPr>
        <w:t>La Conférence des Parties siégeant en tant que réunion des Parties au Protocole de Cartagena sur la prévention des risques biotechnologiques,</w:t>
      </w:r>
    </w:p>
    <w:p w14:paraId="05D50197" w14:textId="78E92218" w:rsidR="00755776" w:rsidRPr="003153BC" w:rsidRDefault="00755776" w:rsidP="00755776">
      <w:pPr>
        <w:suppressLineNumbers/>
        <w:suppressAutoHyphens/>
        <w:kinsoku w:val="0"/>
        <w:overflowPunct w:val="0"/>
        <w:autoSpaceDE w:val="0"/>
        <w:autoSpaceDN w:val="0"/>
        <w:adjustRightInd w:val="0"/>
        <w:snapToGrid w:val="0"/>
        <w:spacing w:before="120" w:after="120"/>
        <w:ind w:firstLine="720"/>
        <w:rPr>
          <w:rFonts w:eastAsia="MS Mincho" w:cs="Angsana New"/>
          <w:kern w:val="22"/>
        </w:rPr>
      </w:pPr>
      <w:r>
        <w:rPr>
          <w:rFonts w:eastAsia="MS Mincho" w:cs="Angsana New"/>
          <w:i/>
          <w:iCs/>
          <w:kern w:val="22"/>
        </w:rPr>
        <w:t>Rappelant</w:t>
      </w:r>
      <w:r>
        <w:rPr>
          <w:rFonts w:eastAsia="MS Mincho" w:cs="Angsana New"/>
          <w:kern w:val="22"/>
        </w:rPr>
        <w:t xml:space="preserve"> les décisions </w:t>
      </w:r>
      <w:hyperlink r:id="rId12" w:history="1">
        <w:r>
          <w:rPr>
            <w:rFonts w:eastAsia="MS Mincho" w:cs="Angsana New"/>
            <w:color w:val="0000FF"/>
            <w:kern w:val="22"/>
            <w:u w:val="single"/>
          </w:rPr>
          <w:t>BS-VII/9</w:t>
        </w:r>
      </w:hyperlink>
      <w:r>
        <w:rPr>
          <w:rFonts w:eastAsia="MS Mincho" w:cs="Angsana New"/>
          <w:kern w:val="22"/>
        </w:rPr>
        <w:t xml:space="preserve"> et </w:t>
      </w:r>
      <w:hyperlink r:id="rId13" w:history="1">
        <w:r>
          <w:rPr>
            <w:rFonts w:eastAsia="MS Mincho" w:cs="Angsana New"/>
            <w:color w:val="0000FF"/>
            <w:kern w:val="22"/>
            <w:u w:val="single"/>
          </w:rPr>
          <w:t>CP-VIII/10</w:t>
        </w:r>
      </w:hyperlink>
      <w:r>
        <w:rPr>
          <w:rFonts w:eastAsia="MS Mincho" w:cs="Angsana New"/>
          <w:kern w:val="22"/>
        </w:rPr>
        <w:t>,</w:t>
      </w:r>
    </w:p>
    <w:p w14:paraId="57AAC26A" w14:textId="00BC48E1" w:rsidR="00755776" w:rsidRPr="003153BC" w:rsidRDefault="00755776" w:rsidP="00755776">
      <w:pPr>
        <w:suppressLineNumbers/>
        <w:suppressAutoHyphens/>
        <w:kinsoku w:val="0"/>
        <w:overflowPunct w:val="0"/>
        <w:autoSpaceDE w:val="0"/>
        <w:autoSpaceDN w:val="0"/>
        <w:adjustRightInd w:val="0"/>
        <w:snapToGrid w:val="0"/>
        <w:spacing w:before="120" w:after="120"/>
        <w:ind w:firstLine="720"/>
        <w:rPr>
          <w:rFonts w:eastAsia="MS Mincho" w:cs="Angsana New"/>
          <w:kern w:val="22"/>
        </w:rPr>
      </w:pPr>
      <w:r>
        <w:rPr>
          <w:rFonts w:eastAsia="MS Mincho" w:cs="Angsana New"/>
          <w:i/>
          <w:iCs/>
          <w:kern w:val="22"/>
        </w:rPr>
        <w:t>Ayant examiné</w:t>
      </w:r>
      <w:r w:rsidR="00AB5A3A">
        <w:rPr>
          <w:rFonts w:eastAsia="MS Mincho" w:cs="Angsana New"/>
          <w:kern w:val="22"/>
        </w:rPr>
        <w:t xml:space="preserve"> l’expérience de </w:t>
      </w:r>
      <w:r>
        <w:rPr>
          <w:rFonts w:eastAsia="MS Mincho" w:cs="Angsana New"/>
          <w:kern w:val="22"/>
        </w:rPr>
        <w:t xml:space="preserve">tenue de réunions concomitantes de la Conférence des Parties à la Convention, </w:t>
      </w:r>
      <w:r w:rsidR="00AB5A3A">
        <w:rPr>
          <w:rFonts w:eastAsia="MS Mincho" w:cs="Angsana New"/>
          <w:kern w:val="22"/>
        </w:rPr>
        <w:t xml:space="preserve">de </w:t>
      </w:r>
      <w:r>
        <w:rPr>
          <w:rFonts w:eastAsia="MS Mincho" w:cs="Angsana New"/>
          <w:kern w:val="22"/>
        </w:rPr>
        <w:t xml:space="preserve">la Conférence des Parties siégeant en tant que réunion des Parties au Protocole de Cartagena et </w:t>
      </w:r>
      <w:r w:rsidR="00AB5A3A">
        <w:rPr>
          <w:rFonts w:eastAsia="MS Mincho" w:cs="Angsana New"/>
          <w:kern w:val="22"/>
        </w:rPr>
        <w:t xml:space="preserve">de </w:t>
      </w:r>
      <w:r>
        <w:rPr>
          <w:rFonts w:eastAsia="MS Mincho" w:cs="Angsana New"/>
          <w:kern w:val="22"/>
        </w:rPr>
        <w:t xml:space="preserve">la Conférence des Parties siégeant en tant que réunion des Parties au Protocole de Nagoya, en utilisant les critères établis dans la décision CP-VIII/10, et </w:t>
      </w:r>
      <w:r>
        <w:rPr>
          <w:rFonts w:eastAsia="MS Mincho" w:cs="Angsana New"/>
          <w:i/>
          <w:iCs/>
          <w:kern w:val="22"/>
        </w:rPr>
        <w:t>tenant compte</w:t>
      </w:r>
      <w:r>
        <w:rPr>
          <w:rFonts w:eastAsia="MS Mincho" w:cs="Angsana New"/>
          <w:kern w:val="22"/>
        </w:rPr>
        <w:t xml:space="preserve"> des points de vue des Parties, des observateurs et des participants à la treizième réunion de la Conférence des Parties à la Convention, </w:t>
      </w:r>
      <w:r w:rsidR="00AB5A3A">
        <w:rPr>
          <w:rFonts w:eastAsia="MS Mincho" w:cs="Angsana New"/>
          <w:kern w:val="22"/>
        </w:rPr>
        <w:t xml:space="preserve">à </w:t>
      </w:r>
      <w:r>
        <w:rPr>
          <w:rFonts w:eastAsia="MS Mincho" w:cs="Angsana New"/>
          <w:kern w:val="22"/>
        </w:rPr>
        <w:t xml:space="preserve">la huitième réunion de la Conférence des Parties siégeant en tant que réunion des Parties au Protocole de Cartagena et </w:t>
      </w:r>
      <w:r w:rsidR="00AB5A3A">
        <w:rPr>
          <w:rFonts w:eastAsia="MS Mincho" w:cs="Angsana New"/>
          <w:kern w:val="22"/>
        </w:rPr>
        <w:t xml:space="preserve">à </w:t>
      </w:r>
      <w:r>
        <w:rPr>
          <w:rFonts w:eastAsia="MS Mincho" w:cs="Angsana New"/>
          <w:kern w:val="22"/>
        </w:rPr>
        <w:t>la deuxième réunion de la Conférence des Parties siégeant en tant que réunion des Parties au Prot</w:t>
      </w:r>
      <w:r w:rsidR="00AB5A3A">
        <w:rPr>
          <w:rFonts w:eastAsia="MS Mincho" w:cs="Angsana New"/>
          <w:kern w:val="22"/>
        </w:rPr>
        <w:t>ocole de Nagoya, et dans le cadre</w:t>
      </w:r>
      <w:r>
        <w:rPr>
          <w:rFonts w:eastAsia="MS Mincho" w:cs="Angsana New"/>
          <w:kern w:val="22"/>
        </w:rPr>
        <w:t xml:space="preserve"> d’enquêtes effectuées après les réunions,</w:t>
      </w:r>
    </w:p>
    <w:p w14:paraId="4CF13E10" w14:textId="2A5507BA" w:rsidR="00755776" w:rsidRPr="003153BC" w:rsidRDefault="00755776" w:rsidP="00755776">
      <w:pPr>
        <w:suppressLineNumbers/>
        <w:suppressAutoHyphens/>
        <w:kinsoku w:val="0"/>
        <w:overflowPunct w:val="0"/>
        <w:autoSpaceDE w:val="0"/>
        <w:autoSpaceDN w:val="0"/>
        <w:adjustRightInd w:val="0"/>
        <w:snapToGrid w:val="0"/>
        <w:spacing w:before="120" w:after="120"/>
        <w:ind w:firstLine="720"/>
        <w:rPr>
          <w:rFonts w:eastAsia="MS Mincho" w:cs="Angsana New"/>
          <w:kern w:val="22"/>
        </w:rPr>
      </w:pPr>
      <w:r>
        <w:rPr>
          <w:rFonts w:eastAsia="MS Mincho" w:cs="Angsana New"/>
          <w:i/>
          <w:iCs/>
          <w:kern w:val="22"/>
        </w:rPr>
        <w:t>Sachant</w:t>
      </w:r>
      <w:r>
        <w:rPr>
          <w:rFonts w:eastAsia="MS Mincho" w:cs="Angsana New"/>
          <w:kern w:val="22"/>
        </w:rPr>
        <w:t xml:space="preserve"> qu’un autre examen sera effectué à la quinzième réunion de la Conférence des Parties à la Convention, </w:t>
      </w:r>
      <w:r w:rsidR="00AB5A3A">
        <w:rPr>
          <w:rFonts w:eastAsia="MS Mincho" w:cs="Angsana New"/>
          <w:kern w:val="22"/>
        </w:rPr>
        <w:t xml:space="preserve">à </w:t>
      </w:r>
      <w:r>
        <w:rPr>
          <w:rFonts w:eastAsia="MS Mincho" w:cs="Angsana New"/>
          <w:kern w:val="22"/>
        </w:rPr>
        <w:t xml:space="preserve">la dixième réunion de la Conférence des Parties siégeant en tant que réunion des Parties au Protocole de Cartagena et </w:t>
      </w:r>
      <w:r w:rsidR="00AB5A3A">
        <w:rPr>
          <w:rFonts w:eastAsia="MS Mincho" w:cs="Angsana New"/>
          <w:kern w:val="22"/>
        </w:rPr>
        <w:t xml:space="preserve">à </w:t>
      </w:r>
      <w:r>
        <w:rPr>
          <w:rFonts w:eastAsia="MS Mincho" w:cs="Angsana New"/>
          <w:kern w:val="22"/>
        </w:rPr>
        <w:t>la quatrième réunion de la Conférence des Parties siégeant en tant que réunion des Parties au Protocole de Nagoya,</w:t>
      </w:r>
    </w:p>
    <w:p w14:paraId="5DE6D8AF" w14:textId="037A0650" w:rsidR="00755776" w:rsidRPr="003153BC" w:rsidRDefault="00755776" w:rsidP="00755776">
      <w:pPr>
        <w:suppressLineNumbers/>
        <w:suppressAutoHyphens/>
        <w:kinsoku w:val="0"/>
        <w:overflowPunct w:val="0"/>
        <w:autoSpaceDE w:val="0"/>
        <w:autoSpaceDN w:val="0"/>
        <w:adjustRightInd w:val="0"/>
        <w:snapToGrid w:val="0"/>
        <w:spacing w:before="120" w:after="120"/>
        <w:ind w:firstLine="720"/>
        <w:rPr>
          <w:rFonts w:eastAsia="MS Mincho" w:cs="Angsana New"/>
          <w:kern w:val="22"/>
        </w:rPr>
      </w:pPr>
      <w:r>
        <w:rPr>
          <w:rFonts w:eastAsia="MS Mincho" w:cs="Angsana New"/>
          <w:kern w:val="22"/>
        </w:rPr>
        <w:t>1.</w:t>
      </w:r>
      <w:r>
        <w:rPr>
          <w:rFonts w:eastAsia="MS Mincho" w:cs="Angsana New"/>
          <w:kern w:val="22"/>
        </w:rPr>
        <w:tab/>
      </w:r>
      <w:r>
        <w:rPr>
          <w:rFonts w:eastAsia="MS Mincho" w:cs="Angsana New"/>
          <w:i/>
          <w:kern w:val="22"/>
        </w:rPr>
        <w:t>Constate avec satisfaction</w:t>
      </w:r>
      <w:r>
        <w:rPr>
          <w:rFonts w:eastAsia="MS Mincho" w:cs="Angsana New"/>
          <w:kern w:val="22"/>
        </w:rPr>
        <w:t xml:space="preserve"> que les réunions concomitantes ont permis une</w:t>
      </w:r>
      <w:r w:rsidR="00AB5A3A">
        <w:rPr>
          <w:rFonts w:eastAsia="MS Mincho" w:cs="Angsana New"/>
          <w:kern w:val="22"/>
        </w:rPr>
        <w:t xml:space="preserve"> plus grande intégration </w:t>
      </w:r>
      <w:r>
        <w:rPr>
          <w:rFonts w:eastAsia="MS Mincho" w:cs="Angsana New"/>
          <w:kern w:val="22"/>
        </w:rPr>
        <w:t>de la Convention et de ses Protocoles ainsi qu’une amélioration des consultations, de la coordination et des synergies parmi les corr</w:t>
      </w:r>
      <w:r w:rsidR="00AB5A3A">
        <w:rPr>
          <w:rFonts w:eastAsia="MS Mincho" w:cs="Angsana New"/>
          <w:kern w:val="22"/>
        </w:rPr>
        <w:t>espondants nationaux respectifs;</w:t>
      </w:r>
    </w:p>
    <w:p w14:paraId="7C13887D" w14:textId="67C6CDB1" w:rsidR="00755776" w:rsidRPr="003153BC" w:rsidRDefault="00755776" w:rsidP="00755776">
      <w:pPr>
        <w:suppressLineNumbers/>
        <w:suppressAutoHyphens/>
        <w:kinsoku w:val="0"/>
        <w:overflowPunct w:val="0"/>
        <w:autoSpaceDE w:val="0"/>
        <w:autoSpaceDN w:val="0"/>
        <w:adjustRightInd w:val="0"/>
        <w:snapToGrid w:val="0"/>
        <w:spacing w:before="120" w:after="120"/>
        <w:ind w:firstLine="720"/>
        <w:rPr>
          <w:rFonts w:eastAsia="MS Mincho" w:cs="Angsana New"/>
          <w:kern w:val="22"/>
        </w:rPr>
      </w:pPr>
      <w:r>
        <w:rPr>
          <w:rFonts w:eastAsia="MS Mincho" w:cs="Angsana New"/>
          <w:kern w:val="22"/>
        </w:rPr>
        <w:t>2.</w:t>
      </w:r>
      <w:r>
        <w:rPr>
          <w:rFonts w:eastAsia="MS Mincho" w:cs="Angsana New"/>
          <w:kern w:val="22"/>
        </w:rPr>
        <w:tab/>
      </w:r>
      <w:r>
        <w:rPr>
          <w:rFonts w:eastAsia="MS Mincho" w:cs="Angsana New"/>
          <w:i/>
          <w:kern w:val="22"/>
        </w:rPr>
        <w:t>Note</w:t>
      </w:r>
      <w:r>
        <w:rPr>
          <w:rFonts w:eastAsia="MS Mincho" w:cs="Angsana New"/>
          <w:kern w:val="22"/>
        </w:rPr>
        <w:t xml:space="preserve"> que la plupart des crit</w:t>
      </w:r>
      <w:r w:rsidR="00AB5A3A">
        <w:rPr>
          <w:rFonts w:eastAsia="MS Mincho" w:cs="Angsana New"/>
          <w:kern w:val="22"/>
        </w:rPr>
        <w:t>ères ont été considérés comme ay</w:t>
      </w:r>
      <w:r>
        <w:rPr>
          <w:rFonts w:eastAsia="MS Mincho" w:cs="Angsana New"/>
          <w:kern w:val="22"/>
        </w:rPr>
        <w:t>ant été remplis ou partiellement remplis et que des améliorations supplémentaires du fonctionnement des réunions concomitantes sont souhaitables, notamment en ce qui concerne les résultats et l’efficacité des réun</w:t>
      </w:r>
      <w:r w:rsidR="00AB5A3A">
        <w:rPr>
          <w:rFonts w:eastAsia="MS Mincho" w:cs="Angsana New"/>
          <w:kern w:val="22"/>
        </w:rPr>
        <w:t>ions des Parties aux Protocoles</w:t>
      </w:r>
      <w:r w:rsidRPr="001B7EB2">
        <w:rPr>
          <w:rFonts w:eastAsia="MS Mincho" w:cs="Angsana New"/>
          <w:kern w:val="22"/>
        </w:rPr>
        <w:t>;</w:t>
      </w:r>
    </w:p>
    <w:p w14:paraId="1468183A" w14:textId="7752D75E" w:rsidR="00755776" w:rsidRDefault="00755776" w:rsidP="00755776">
      <w:pPr>
        <w:suppressLineNumbers/>
        <w:suppressAutoHyphens/>
        <w:kinsoku w:val="0"/>
        <w:overflowPunct w:val="0"/>
        <w:autoSpaceDE w:val="0"/>
        <w:autoSpaceDN w:val="0"/>
        <w:adjustRightInd w:val="0"/>
        <w:snapToGrid w:val="0"/>
        <w:spacing w:before="120" w:after="120"/>
        <w:ind w:firstLine="720"/>
        <w:rPr>
          <w:rFonts w:eastAsia="MS Mincho" w:cs="Angsana New"/>
          <w:kern w:val="22"/>
        </w:rPr>
      </w:pPr>
      <w:r>
        <w:rPr>
          <w:rFonts w:eastAsia="MS Mincho" w:cs="Angsana New"/>
          <w:kern w:val="22"/>
        </w:rPr>
        <w:lastRenderedPageBreak/>
        <w:t>3.</w:t>
      </w:r>
      <w:r>
        <w:rPr>
          <w:rFonts w:eastAsia="MS Mincho" w:cs="Angsana New"/>
          <w:kern w:val="22"/>
        </w:rPr>
        <w:tab/>
      </w:r>
      <w:r>
        <w:rPr>
          <w:rFonts w:eastAsia="MS Mincho" w:cs="Angsana New"/>
          <w:i/>
          <w:kern w:val="22"/>
        </w:rPr>
        <w:t>Réitère</w:t>
      </w:r>
      <w:r w:rsidR="00AB5A3A">
        <w:rPr>
          <w:rFonts w:eastAsia="MS Mincho" w:cs="Angsana New"/>
          <w:kern w:val="22"/>
        </w:rPr>
        <w:t xml:space="preserve"> l’importance d’assurer une</w:t>
      </w:r>
      <w:r>
        <w:rPr>
          <w:rFonts w:eastAsia="MS Mincho" w:cs="Angsana New"/>
          <w:kern w:val="22"/>
        </w:rPr>
        <w:t xml:space="preserve"> participation pleine et effective des représentants des Parties qui sont des pays en</w:t>
      </w:r>
      <w:r w:rsidR="00AB5A3A">
        <w:rPr>
          <w:rFonts w:eastAsia="MS Mincho" w:cs="Angsana New"/>
          <w:kern w:val="22"/>
        </w:rPr>
        <w:t xml:space="preserve"> développement, en particulier des pays les moins avancés et d</w:t>
      </w:r>
      <w:r>
        <w:rPr>
          <w:rFonts w:eastAsia="MS Mincho" w:cs="Angsana New"/>
          <w:kern w:val="22"/>
        </w:rPr>
        <w:t>es peti</w:t>
      </w:r>
      <w:r w:rsidR="00AB5A3A">
        <w:rPr>
          <w:rFonts w:eastAsia="MS Mincho" w:cs="Angsana New"/>
          <w:kern w:val="22"/>
        </w:rPr>
        <w:t>ts États insulaires, ainsi que d</w:t>
      </w:r>
      <w:r>
        <w:rPr>
          <w:rFonts w:eastAsia="MS Mincho" w:cs="Angsana New"/>
          <w:kern w:val="22"/>
        </w:rPr>
        <w:t xml:space="preserve">es pays à économie en transition, aux réunions concomitantes, et </w:t>
      </w:r>
      <w:r>
        <w:rPr>
          <w:rFonts w:eastAsia="MS Mincho" w:cs="Angsana New"/>
          <w:i/>
          <w:kern w:val="22"/>
        </w:rPr>
        <w:t>souligne</w:t>
      </w:r>
      <w:r w:rsidR="00AB5A3A">
        <w:rPr>
          <w:rFonts w:eastAsia="MS Mincho" w:cs="Angsana New"/>
          <w:kern w:val="22"/>
        </w:rPr>
        <w:t xml:space="preserve"> à cet égard</w:t>
      </w:r>
      <w:r>
        <w:rPr>
          <w:rFonts w:eastAsia="MS Mincho" w:cs="Angsana New"/>
          <w:kern w:val="22"/>
        </w:rPr>
        <w:t xml:space="preserve"> l’importance, en particulier, d’assurer une participation adéquate des représentants aux réunions des Protocoles</w:t>
      </w:r>
      <w:r w:rsidR="00AB5A3A">
        <w:rPr>
          <w:rFonts w:eastAsia="MS Mincho" w:cs="Angsana New"/>
          <w:kern w:val="22"/>
        </w:rPr>
        <w:t>, en mettant à disposition des fonds pour une telle</w:t>
      </w:r>
      <w:r>
        <w:rPr>
          <w:rFonts w:eastAsia="MS Mincho" w:cs="Angsana New"/>
          <w:kern w:val="22"/>
        </w:rPr>
        <w:t xml:space="preserve"> participation, y compris à des réunions intersessions</w:t>
      </w:r>
      <w:r w:rsidRPr="001B7EB2">
        <w:rPr>
          <w:rFonts w:eastAsia="MS Mincho" w:cs="Angsana New"/>
          <w:kern w:val="22"/>
        </w:rPr>
        <w:t>;</w:t>
      </w:r>
    </w:p>
    <w:p w14:paraId="78762370" w14:textId="0C5A29A0" w:rsidR="00755776" w:rsidRPr="00D649F7" w:rsidRDefault="00755776" w:rsidP="00755776">
      <w:pPr>
        <w:suppressLineNumbers/>
        <w:suppressAutoHyphens/>
        <w:kinsoku w:val="0"/>
        <w:overflowPunct w:val="0"/>
        <w:autoSpaceDE w:val="0"/>
        <w:autoSpaceDN w:val="0"/>
        <w:adjustRightInd w:val="0"/>
        <w:snapToGrid w:val="0"/>
        <w:spacing w:before="120" w:after="120"/>
        <w:ind w:firstLine="720"/>
        <w:rPr>
          <w:kern w:val="22"/>
          <w:lang w:eastAsia="en-CA"/>
        </w:rPr>
      </w:pPr>
      <w:r>
        <w:t>4.</w:t>
      </w:r>
      <w:r>
        <w:tab/>
      </w:r>
      <w:r>
        <w:rPr>
          <w:i/>
        </w:rPr>
        <w:t>Prie</w:t>
      </w:r>
      <w:r>
        <w:t xml:space="preserve"> la Secrétaire exécutive de poursuivre l'examen préliminaire de l'expérience acquise dans le cadre des réunions concomitantes, en appliquant les critères énoncés dans la décision </w:t>
      </w:r>
      <w:r w:rsidR="001B7EB2">
        <w:t>CP-</w:t>
      </w:r>
      <w:r>
        <w:t>VIII/10, en se fondant sur l'expérience acq</w:t>
      </w:r>
      <w:r w:rsidR="00AB5A3A">
        <w:t>uise lors de la tenue concomitante</w:t>
      </w:r>
      <w:r>
        <w:t xml:space="preserve"> de la quatorzième réunion de la Conférence des Parties à la Convention, de la neuvième réunion de la Conférence des Parties siégeant en tant que réunion des Parties au Protocole de Cartagena et de la troisième réunion des Parties siégeant en tant que réunion des Parties au Protocole de Nagoya, pour examen par l'Organe subsidiaire chargé de l'appl</w:t>
      </w:r>
      <w:r w:rsidR="00AB5A3A">
        <w:t>ication à sa troisième réunion</w:t>
      </w:r>
      <w:r w:rsidR="001B7EB2">
        <w:t>;</w:t>
      </w:r>
    </w:p>
    <w:p w14:paraId="5877387A" w14:textId="1272B003" w:rsidR="008D74B8" w:rsidRDefault="00755776" w:rsidP="00755776">
      <w:pPr>
        <w:pStyle w:val="ListParagraph"/>
        <w:shd w:val="clear" w:color="auto" w:fill="FFFFFF" w:themeFill="background1"/>
        <w:spacing w:before="120" w:after="120"/>
        <w:ind w:left="0" w:firstLine="720"/>
        <w:contextualSpacing w:val="0"/>
      </w:pPr>
      <w:r>
        <w:rPr>
          <w:rFonts w:eastAsia="MS Mincho" w:cs="Angsana New"/>
          <w:kern w:val="22"/>
        </w:rPr>
        <w:t>5.</w:t>
      </w:r>
      <w:r>
        <w:rPr>
          <w:rFonts w:eastAsia="MS Mincho" w:cs="Angsana New"/>
          <w:kern w:val="22"/>
        </w:rPr>
        <w:tab/>
      </w:r>
      <w:r>
        <w:rPr>
          <w:rFonts w:eastAsia="MS Mincho" w:cs="Angsana New"/>
          <w:i/>
          <w:kern w:val="22"/>
        </w:rPr>
        <w:t>Demande</w:t>
      </w:r>
      <w:r>
        <w:rPr>
          <w:rFonts w:eastAsia="MS Mincho" w:cs="Angsana New"/>
          <w:kern w:val="22"/>
        </w:rPr>
        <w:t xml:space="preserve"> au Bureau et à la Secrétaire exécutive, lors de la mise au point finale de l'organisation des travaux proposée pour la quinzième réunion de la Conférence des Parties à la Convention, la dixième réunion de la Conférence des Parties siégeant en tant que réunion des Parties au Protocole de Cartagena et la quatrième réunion des Parties siégeant en tant que réunion des Parties au Protocole de Nagoya, de prendre en compte la présente décision, les informations qui figurent dans la note de la Secrétaire exécutive</w:t>
      </w:r>
      <w:r>
        <w:rPr>
          <w:rFonts w:eastAsia="MS Mincho" w:cs="Angsana New"/>
          <w:kern w:val="22"/>
          <w:sz w:val="18"/>
          <w:vertAlign w:val="superscript"/>
        </w:rPr>
        <w:footnoteReference w:id="1"/>
      </w:r>
      <w:r w:rsidR="00B2119E">
        <w:rPr>
          <w:rFonts w:eastAsia="MS Mincho" w:cs="Angsana New"/>
          <w:kern w:val="22"/>
        </w:rPr>
        <w:t xml:space="preserve">, ainsi que l'expérience </w:t>
      </w:r>
      <w:bookmarkStart w:id="3" w:name="_GoBack"/>
      <w:bookmarkEnd w:id="3"/>
      <w:r>
        <w:rPr>
          <w:rFonts w:eastAsia="MS Mincho" w:cs="Angsana New"/>
          <w:kern w:val="22"/>
        </w:rPr>
        <w:t>acq</w:t>
      </w:r>
      <w:r w:rsidR="00B2119E">
        <w:rPr>
          <w:rFonts w:eastAsia="MS Mincho" w:cs="Angsana New"/>
          <w:kern w:val="22"/>
        </w:rPr>
        <w:t>ui</w:t>
      </w:r>
      <w:r w:rsidR="00AB5A3A">
        <w:rPr>
          <w:rFonts w:eastAsia="MS Mincho" w:cs="Angsana New"/>
          <w:kern w:val="22"/>
        </w:rPr>
        <w:t>se lors de la tenue concomitante</w:t>
      </w:r>
      <w:r>
        <w:rPr>
          <w:rFonts w:eastAsia="MS Mincho" w:cs="Angsana New"/>
          <w:kern w:val="22"/>
        </w:rPr>
        <w:t xml:space="preserve"> de </w:t>
      </w:r>
      <w:r>
        <w:t xml:space="preserve">la quatorzième réunion de la Conférence des Parties à la Convention, </w:t>
      </w:r>
      <w:r w:rsidR="00AB5A3A">
        <w:t xml:space="preserve">de </w:t>
      </w:r>
      <w:r>
        <w:t xml:space="preserve">la neuvième réunion de la Conférence des Parties siégeant en tant que réunion des Parties au Protocole de Cartagena et </w:t>
      </w:r>
      <w:r w:rsidR="00AB5A3A">
        <w:t xml:space="preserve">de </w:t>
      </w:r>
      <w:r>
        <w:t>la troisième réunion de la Conférence des Parties siégeant en tant que réunion des Parties au Protocole de Nagoya.</w:t>
      </w:r>
    </w:p>
    <w:p w14:paraId="5428F8A4" w14:textId="77777777" w:rsidR="001B7EB2" w:rsidRPr="00904608" w:rsidRDefault="001B7EB2" w:rsidP="00755776">
      <w:pPr>
        <w:pStyle w:val="ListParagraph"/>
        <w:shd w:val="clear" w:color="auto" w:fill="FFFFFF" w:themeFill="background1"/>
        <w:spacing w:before="120" w:after="120"/>
        <w:ind w:left="0" w:firstLine="720"/>
        <w:contextualSpacing w:val="0"/>
        <w:rPr>
          <w:kern w:val="22"/>
          <w:szCs w:val="22"/>
        </w:rPr>
      </w:pPr>
    </w:p>
    <w:p w14:paraId="70BE8ACA" w14:textId="77777777" w:rsidR="008D74B8" w:rsidRPr="00904608" w:rsidRDefault="008D74B8" w:rsidP="008D74B8">
      <w:pPr>
        <w:jc w:val="center"/>
        <w:rPr>
          <w:kern w:val="22"/>
        </w:rPr>
      </w:pPr>
      <w:r>
        <w:rPr>
          <w:kern w:val="22"/>
        </w:rPr>
        <w:t>__________</w:t>
      </w:r>
    </w:p>
    <w:p w14:paraId="58DF6BDB" w14:textId="77777777" w:rsidR="008D74B8" w:rsidRPr="00904608" w:rsidRDefault="008D74B8" w:rsidP="008D74B8">
      <w:pPr>
        <w:rPr>
          <w:kern w:val="22"/>
        </w:rPr>
      </w:pPr>
    </w:p>
    <w:p w14:paraId="2FD00826" w14:textId="77777777" w:rsidR="00176CEE" w:rsidRDefault="00176CEE" w:rsidP="00172AF6">
      <w:pPr>
        <w:spacing w:before="120" w:after="240"/>
        <w:jc w:val="center"/>
        <w:rPr>
          <w:b/>
          <w:caps/>
        </w:rPr>
      </w:pPr>
    </w:p>
    <w:p w14:paraId="2FD00827" w14:textId="77777777" w:rsidR="00B3369F" w:rsidRPr="00C9161D" w:rsidRDefault="00B3369F" w:rsidP="00C9161D"/>
    <w:sectPr w:rsidR="00B3369F" w:rsidRPr="00C9161D" w:rsidSect="007B078D">
      <w:headerReference w:type="even" r:id="rId14"/>
      <w:headerReference w:type="default" r:id="rId15"/>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5BF69" w14:textId="77777777" w:rsidR="00940914" w:rsidRDefault="00940914" w:rsidP="00CF1848">
      <w:r>
        <w:separator/>
      </w:r>
    </w:p>
  </w:endnote>
  <w:endnote w:type="continuationSeparator" w:id="0">
    <w:p w14:paraId="7E2D18ED" w14:textId="77777777" w:rsidR="00940914" w:rsidRDefault="00940914"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A387A" w14:textId="77777777" w:rsidR="00940914" w:rsidRDefault="00940914" w:rsidP="00CF1848">
      <w:r>
        <w:separator/>
      </w:r>
    </w:p>
  </w:footnote>
  <w:footnote w:type="continuationSeparator" w:id="0">
    <w:p w14:paraId="64F381C5" w14:textId="77777777" w:rsidR="00940914" w:rsidRDefault="00940914" w:rsidP="00CF1848">
      <w:r>
        <w:continuationSeparator/>
      </w:r>
    </w:p>
  </w:footnote>
  <w:footnote w:id="1">
    <w:p w14:paraId="476660E3" w14:textId="158DD16B" w:rsidR="00755776" w:rsidRPr="001B7EB2" w:rsidRDefault="00755776" w:rsidP="001B7EB2">
      <w:pPr>
        <w:pStyle w:val="FootnoteText"/>
        <w:ind w:firstLine="0"/>
      </w:pPr>
      <w:r>
        <w:rPr>
          <w:rStyle w:val="FootnoteReference"/>
        </w:rPr>
        <w:footnoteRef/>
      </w:r>
      <w:r>
        <w:t xml:space="preserve"> </w:t>
      </w:r>
      <w:hyperlink r:id="rId1" w:history="1">
        <w:r w:rsidRPr="001B7EB2">
          <w:rPr>
            <w:rStyle w:val="Hyperlink"/>
          </w:rPr>
          <w:t>CBD/SBI/2/16</w:t>
        </w:r>
      </w:hyperlink>
      <w:r>
        <w:t xml:space="preserve"> et </w:t>
      </w:r>
      <w:hyperlink r:id="rId2" w:history="1">
        <w:r w:rsidRPr="001B7EB2">
          <w:rPr>
            <w:rStyle w:val="Hyperlink"/>
          </w:rPr>
          <w:t>Add.1</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2FD00832" w14:textId="64FD41EE" w:rsidR="00534681" w:rsidRPr="007B078D" w:rsidRDefault="001B7EB2" w:rsidP="00534681">
        <w:pPr>
          <w:pStyle w:val="Header"/>
        </w:pPr>
        <w:r>
          <w:t>CBD/CP/MOP/DEC/9/8</w:t>
        </w:r>
      </w:p>
    </w:sdtContent>
  </w:sdt>
  <w:p w14:paraId="2FD00833" w14:textId="77777777" w:rsidR="00534681" w:rsidRPr="007B078D" w:rsidRDefault="00534681" w:rsidP="00534681">
    <w:pPr>
      <w:pStyle w:val="Header"/>
    </w:pPr>
    <w:r>
      <w:t xml:space="preserve">Page </w:t>
    </w:r>
    <w:r>
      <w:fldChar w:fldCharType="begin"/>
    </w:r>
    <w:r>
      <w:rPr>
        <w:noProof/>
      </w:rPr>
      <w:instrText xml:space="preserve"> PAGE   \* MERGEFORMAT </w:instrText>
    </w:r>
    <w:r>
      <w:fldChar w:fldCharType="separate"/>
    </w:r>
    <w:r w:rsidR="00B2119E">
      <w:rPr>
        <w:noProof/>
      </w:rPr>
      <w:t>2</w:t>
    </w:r>
    <w:r>
      <w:fldChar w:fldCharType="end"/>
    </w:r>
  </w:p>
  <w:p w14:paraId="2FD00834" w14:textId="77777777" w:rsidR="00534681" w:rsidRPr="007B078D" w:rsidRDefault="005346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FD00835" w14:textId="770AA041" w:rsidR="009505C9" w:rsidRPr="007B078D" w:rsidRDefault="001B7EB2" w:rsidP="009505C9">
        <w:pPr>
          <w:pStyle w:val="Header"/>
          <w:jc w:val="right"/>
        </w:pPr>
        <w:r>
          <w:t>CBD/CP/MOP/DEC/9/8</w:t>
        </w:r>
      </w:p>
    </w:sdtContent>
  </w:sdt>
  <w:p w14:paraId="2FD00836" w14:textId="77777777" w:rsidR="009505C9" w:rsidRPr="007B078D" w:rsidRDefault="009505C9" w:rsidP="009505C9">
    <w:pPr>
      <w:pStyle w:val="Header"/>
      <w:jc w:val="right"/>
    </w:pPr>
    <w:r>
      <w:t xml:space="preserve">Page </w:t>
    </w:r>
    <w:r>
      <w:fldChar w:fldCharType="begin"/>
    </w:r>
    <w:r>
      <w:rPr>
        <w:noProof/>
      </w:rPr>
      <w:instrText xml:space="preserve"> PAGE   \* MERGEFORMAT </w:instrText>
    </w:r>
    <w:r>
      <w:fldChar w:fldCharType="separate"/>
    </w:r>
    <w:r>
      <w:rPr>
        <w:noProof/>
      </w:rPr>
      <w:t>1</w:t>
    </w:r>
    <w:r>
      <w:fldChar w:fldCharType="end"/>
    </w:r>
  </w:p>
  <w:p w14:paraId="2FD00837" w14:textId="77777777" w:rsidR="009505C9" w:rsidRPr="007B078D" w:rsidRDefault="009505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E5D154C"/>
    <w:multiLevelType w:val="multilevel"/>
    <w:tmpl w:val="8982DC1C"/>
    <w:lvl w:ilvl="0">
      <w:start w:val="1"/>
      <w:numFmt w:val="decimal"/>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Letter"/>
      <w:lvlText w:val="(%3)"/>
      <w:lvlJc w:val="lef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10"/>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9"/>
  </w:num>
  <w:num w:numId="15">
    <w:abstractNumId w:val="8"/>
  </w:num>
  <w:num w:numId="16">
    <w:abstractNumId w:val="1"/>
  </w:num>
  <w:num w:numId="17">
    <w:abstractNumId w:val="11"/>
  </w:num>
  <w:num w:numId="18">
    <w:abstractNumId w:val="12"/>
  </w:num>
  <w:num w:numId="19">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NotDisplayPageBoundaries/>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007A6"/>
    <w:rsid w:val="00054F95"/>
    <w:rsid w:val="000E673A"/>
    <w:rsid w:val="000F4914"/>
    <w:rsid w:val="000F74F5"/>
    <w:rsid w:val="00105372"/>
    <w:rsid w:val="00131E7A"/>
    <w:rsid w:val="0016171D"/>
    <w:rsid w:val="00172AF6"/>
    <w:rsid w:val="00176CEE"/>
    <w:rsid w:val="00186DD8"/>
    <w:rsid w:val="00191558"/>
    <w:rsid w:val="001B7EB2"/>
    <w:rsid w:val="002651C1"/>
    <w:rsid w:val="00273079"/>
    <w:rsid w:val="002B37B6"/>
    <w:rsid w:val="00372F74"/>
    <w:rsid w:val="003D6DF7"/>
    <w:rsid w:val="003F7224"/>
    <w:rsid w:val="004018AD"/>
    <w:rsid w:val="00424985"/>
    <w:rsid w:val="00427D21"/>
    <w:rsid w:val="00434D85"/>
    <w:rsid w:val="004644C2"/>
    <w:rsid w:val="00467F9C"/>
    <w:rsid w:val="00491871"/>
    <w:rsid w:val="0050225C"/>
    <w:rsid w:val="00534681"/>
    <w:rsid w:val="00541ABC"/>
    <w:rsid w:val="006122BA"/>
    <w:rsid w:val="0068672C"/>
    <w:rsid w:val="006B2290"/>
    <w:rsid w:val="00717D88"/>
    <w:rsid w:val="00755776"/>
    <w:rsid w:val="007942D3"/>
    <w:rsid w:val="007B078D"/>
    <w:rsid w:val="007B6C09"/>
    <w:rsid w:val="007E09DA"/>
    <w:rsid w:val="008178B6"/>
    <w:rsid w:val="008228AB"/>
    <w:rsid w:val="0082555F"/>
    <w:rsid w:val="00865B74"/>
    <w:rsid w:val="008B7D32"/>
    <w:rsid w:val="008C2410"/>
    <w:rsid w:val="008D74B8"/>
    <w:rsid w:val="009275F0"/>
    <w:rsid w:val="00930BA1"/>
    <w:rsid w:val="0093169E"/>
    <w:rsid w:val="00940914"/>
    <w:rsid w:val="009505C9"/>
    <w:rsid w:val="00AB5A3A"/>
    <w:rsid w:val="00AC3393"/>
    <w:rsid w:val="00AF085B"/>
    <w:rsid w:val="00B2119E"/>
    <w:rsid w:val="00B3369F"/>
    <w:rsid w:val="00BE794D"/>
    <w:rsid w:val="00C20995"/>
    <w:rsid w:val="00C443BD"/>
    <w:rsid w:val="00C473AE"/>
    <w:rsid w:val="00C9161D"/>
    <w:rsid w:val="00CE57B5"/>
    <w:rsid w:val="00CF1848"/>
    <w:rsid w:val="00D12044"/>
    <w:rsid w:val="00D76A18"/>
    <w:rsid w:val="00DD118C"/>
    <w:rsid w:val="00DF1CE6"/>
    <w:rsid w:val="00DF77D8"/>
    <w:rsid w:val="00E66235"/>
    <w:rsid w:val="00E83C24"/>
    <w:rsid w:val="00E9318D"/>
    <w:rsid w:val="00EA0A14"/>
    <w:rsid w:val="00ED72FA"/>
    <w:rsid w:val="00F0021B"/>
    <w:rsid w:val="00F4051A"/>
    <w:rsid w:val="00F6586C"/>
    <w:rsid w:val="00F94774"/>
    <w:rsid w:val="00FC53D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D00811"/>
  <w15:docId w15:val="{0F1C5702-D8D6-4005-9695-DD0E17D2E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rPr>
  </w:style>
  <w:style w:type="character" w:styleId="FollowedHyperlink">
    <w:name w:val="FollowedHyperlink"/>
    <w:rsid w:val="007E09DA"/>
    <w:rPr>
      <w:color w:val="800080"/>
      <w:u w:val="single"/>
    </w:rPr>
  </w:style>
  <w:style w:type="character" w:styleId="FootnoteReference">
    <w:name w:val="footnote reference"/>
    <w:aliases w:val="BVI fnr Char Char,BVI fnr Car Car Char Char,BVI fnr Car Char Char,BVI fnr Car Car Car Car Char Char Char,BVI fnr Car Car Car Car Char Char1,BVI fnr Car Car Car Char Char,BVI fnr Car Car Car Car Car Char Char"/>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rPr>
  </w:style>
  <w:style w:type="character" w:customStyle="1" w:styleId="Heading7Char">
    <w:name w:val="Heading 7 Char"/>
    <w:basedOn w:val="DefaultParagraphFont"/>
    <w:link w:val="Heading7"/>
    <w:rsid w:val="007E09DA"/>
    <w:rPr>
      <w:rFonts w:ascii="Univers" w:eastAsia="Times New Roman" w:hAnsi="Univers" w:cs="Times New Roman"/>
      <w:b/>
      <w:sz w:val="28"/>
    </w:rPr>
  </w:style>
  <w:style w:type="character" w:customStyle="1" w:styleId="Heading8Char">
    <w:name w:val="Heading 8 Char"/>
    <w:basedOn w:val="DefaultParagraphFont"/>
    <w:link w:val="Heading8"/>
    <w:rsid w:val="007E09DA"/>
    <w:rPr>
      <w:rFonts w:ascii="Univers" w:eastAsia="Times New Roman" w:hAnsi="Univers" w:cs="Times New Roman"/>
      <w:b/>
      <w:sz w:val="32"/>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styleId="NoSpacing">
    <w:name w:val="No Spacing"/>
    <w:link w:val="NoSpacingChar"/>
    <w:uiPriority w:val="1"/>
    <w:qFormat/>
    <w:rsid w:val="00273079"/>
    <w:rPr>
      <w:rFonts w:ascii="Calibri" w:eastAsia="Calibri" w:hAnsi="Calibri" w:cs="Times New Roman"/>
      <w:sz w:val="22"/>
      <w:szCs w:val="22"/>
    </w:rPr>
  </w:style>
  <w:style w:type="character" w:customStyle="1" w:styleId="NoSpacingChar">
    <w:name w:val="No Spacing Char"/>
    <w:basedOn w:val="DefaultParagraphFont"/>
    <w:link w:val="NoSpacing"/>
    <w:uiPriority w:val="1"/>
    <w:rsid w:val="00273079"/>
    <w:rPr>
      <w:rFonts w:ascii="Calibri" w:eastAsia="Calibri" w:hAnsi="Calibri" w:cs="Times New Roman"/>
      <w:sz w:val="22"/>
      <w:szCs w:val="22"/>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rsid w:val="00C20995"/>
    <w:pPr>
      <w:spacing w:after="160" w:line="240" w:lineRule="exact"/>
      <w:jc w:val="left"/>
    </w:pPr>
    <w:rPr>
      <w:rFonts w:asciiTheme="minorHAnsi" w:eastAsiaTheme="minorEastAsia" w:hAnsiTheme="minorHAnsi" w:cstheme="minorBidi"/>
      <w:vertAlign w:val="superscript"/>
    </w:rPr>
  </w:style>
  <w:style w:type="paragraph" w:customStyle="1" w:styleId="Body">
    <w:name w:val="Body"/>
    <w:rsid w:val="00C20995"/>
    <w:pPr>
      <w:jc w:val="both"/>
    </w:pPr>
    <w:rPr>
      <w:rFonts w:ascii="Times New Roman" w:eastAsia="Times New Roman" w:hAnsi="Times New Roman" w:cs="Times New Roman"/>
      <w:color w:val="000000"/>
      <w:sz w:val="22"/>
      <w:szCs w:val="22"/>
      <w:u w:color="000000"/>
    </w:rPr>
  </w:style>
  <w:style w:type="character" w:customStyle="1" w:styleId="Hyperlink0">
    <w:name w:val="Hyperlink.0"/>
    <w:basedOn w:val="DefaultParagraphFont"/>
    <w:rsid w:val="00C20995"/>
    <w:rPr>
      <w:color w:val="0000FF"/>
      <w:kern w:val="22"/>
      <w:sz w:val="22"/>
      <w:szCs w:val="22"/>
      <w:u w:val="single" w:color="0000FF"/>
    </w:rPr>
  </w:style>
  <w:style w:type="character" w:customStyle="1" w:styleId="Hyperlink1">
    <w:name w:val="Hyperlink.1"/>
    <w:basedOn w:val="DefaultParagraphFont"/>
    <w:rsid w:val="00C20995"/>
    <w:rPr>
      <w:kern w:val="22"/>
    </w:rPr>
  </w:style>
  <w:style w:type="character" w:customStyle="1" w:styleId="None">
    <w:name w:val="None"/>
    <w:rsid w:val="00C20995"/>
  </w:style>
  <w:style w:type="character" w:customStyle="1" w:styleId="ListParagraphChar">
    <w:name w:val="List Paragraph Char"/>
    <w:link w:val="ListParagraph"/>
    <w:uiPriority w:val="34"/>
    <w:locked/>
    <w:rsid w:val="00C20995"/>
    <w:rPr>
      <w:rFonts w:ascii="Times New Roman" w:eastAsia="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018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mop-08/mop-08-dec-10-fr.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oc/decisions/mop-07/mop-07-dec-09-fr.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cbd.int/doc/c/2a4e/4a1b/9aa23008d4af76c6e2cf4de8/sbi-02-16-add1-en.pdf" TargetMode="External"/><Relationship Id="rId1" Type="http://schemas.openxmlformats.org/officeDocument/2006/relationships/hyperlink" Target="https://www.cbd.int/doc/c/c0ec/0c32/af301e7abc00c0ae92c2110e/sbi-02-16-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144ABE"/>
    <w:rsid w:val="00242A7F"/>
    <w:rsid w:val="00497C21"/>
    <w:rsid w:val="00500A2B"/>
    <w:rsid w:val="0058288D"/>
    <w:rsid w:val="0065085F"/>
    <w:rsid w:val="006801B3"/>
    <w:rsid w:val="006E1870"/>
    <w:rsid w:val="006F4D99"/>
    <w:rsid w:val="00810A55"/>
    <w:rsid w:val="008C6619"/>
    <w:rsid w:val="008D420E"/>
    <w:rsid w:val="0098642F"/>
    <w:rsid w:val="009A0CAE"/>
    <w:rsid w:val="009D1757"/>
    <w:rsid w:val="00C72EEC"/>
    <w:rsid w:val="00E00323"/>
    <w:rsid w:val="00F62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1757"/>
    <w:rPr>
      <w:color w:val="808080"/>
    </w:rPr>
  </w:style>
  <w:style w:type="paragraph" w:customStyle="1" w:styleId="3347A196BEA743CBA826CB5B667EA688">
    <w:name w:val="3347A196BEA743CBA826CB5B667EA688"/>
    <w:rsid w:val="006F4D99"/>
    <w:rPr>
      <w:lang w:val="en-CA" w:eastAsia="en-CA"/>
    </w:rPr>
  </w:style>
  <w:style w:type="paragraph" w:customStyle="1" w:styleId="6BB04033D4594427AB37B248A85FC4D4">
    <w:name w:val="6BB04033D4594427AB37B248A85FC4D4"/>
    <w:rsid w:val="009D1757"/>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2018-11-17T00:00:00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DC4BCA-87E7-48AD-94D0-558F66255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762</Words>
  <Characters>4194</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REVIEW OF EXPERIENCE IN HOLDING CONCURRENTLY MEETINGS OF THE CONFERENCE OF THE PARTIES TO THE CONVENTION, THE CONFERENCE OF THE PARTIES SERVING AS THE MEETING OF THE PARTIES TO THE CARTAGENA PROTOCOL, AND THE CONFERENCE OF THE PARTIES SERVING AS THE MEETI</vt:lpstr>
      <vt:lpstr>REVIEW OF EXPERIENCE IN HOLDING CONCURRENTLY MEETINGS OF THE CONFERENCE OF THE PARTIES TO THE CONVENTION, THE CONFERENCE OF THE PARTIES SERVING AS THE MEETING OF THE PARTIES TO THE CARTAGENA PROTOCOL, AND THE CONFERENCE OF THE PARTIES SERVING AS THE MEETI</vt:lpstr>
    </vt:vector>
  </TitlesOfParts>
  <Company>SCBD</Company>
  <LinksUpToDate>false</LinksUpToDate>
  <CharactersWithSpaces>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   Examen de l'expérience de tenue de réunions concomitantes de la Conférence des Parties à la Convention, de la Conférence des Parties siégeant en tant que réunion des Parties au Protocole de Cartagena, et de la Conférence des Parties siégeant en tant que réunion des Parties au Protocole de Nagoya</dc:title>
  <dc:subject>CBD/CP/MOP/DEC/9/8</dc:subject>
  <dc:creator>SCBD</dc:creator>
  <cp:lastModifiedBy>Finn Kinley</cp:lastModifiedBy>
  <cp:revision>9</cp:revision>
  <cp:lastPrinted>2018-11-25T10:47:00Z</cp:lastPrinted>
  <dcterms:created xsi:type="dcterms:W3CDTF">2018-11-25T13:39:00Z</dcterms:created>
  <dcterms:modified xsi:type="dcterms:W3CDTF">2019-02-06T00:16:00Z</dcterms:modified>
  <cp:contentStatus>generale</cp:contentStatus>
</cp:coreProperties>
</file>