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211626">
        <w:trPr>
          <w:trHeight w:val="709"/>
        </w:trPr>
        <w:tc>
          <w:tcPr>
            <w:tcW w:w="976" w:type="dxa"/>
            <w:tcBorders>
              <w:bottom w:val="single" w:sz="12" w:space="0" w:color="auto"/>
            </w:tcBorders>
          </w:tcPr>
          <w:p w:rsidR="00211626" w:rsidRDefault="0032174A">
            <w:pPr>
              <w:rPr>
                <w:kern w:val="22"/>
                <w:lang w:val="es-ES"/>
              </w:rPr>
            </w:pPr>
            <w:r>
              <w:rPr>
                <w:noProof/>
                <w:snapToGrid/>
                <w:kern w:val="22"/>
                <w:lang w:val="es-UY" w:eastAsia="es-UY"/>
              </w:rPr>
              <w:drawing>
                <wp:inline distT="0" distB="0" distL="0" distR="0">
                  <wp:extent cx="428625" cy="360680"/>
                  <wp:effectExtent l="19050" t="0" r="9525"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srcRect/>
                          <a:stretch>
                            <a:fillRect/>
                          </a:stretch>
                        </pic:blipFill>
                        <pic:spPr bwMode="auto">
                          <a:xfrm>
                            <a:off x="0" y="0"/>
                            <a:ext cx="428625" cy="36068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211626" w:rsidRDefault="0032174A">
            <w:pPr>
              <w:rPr>
                <w:kern w:val="22"/>
                <w:lang w:val="es-ES"/>
              </w:rPr>
            </w:pPr>
            <w:r>
              <w:rPr>
                <w:noProof/>
                <w:snapToGrid/>
                <w:kern w:val="22"/>
                <w:lang w:val="es-UY" w:eastAsia="es-UY"/>
              </w:rPr>
              <w:drawing>
                <wp:inline distT="0" distB="0" distL="0" distR="0">
                  <wp:extent cx="334645" cy="396875"/>
                  <wp:effectExtent l="19050" t="0" r="8255"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34645" cy="396875"/>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211626" w:rsidRDefault="00211626">
            <w:pPr>
              <w:jc w:val="right"/>
              <w:rPr>
                <w:rFonts w:ascii="Arial" w:hAnsi="Arial"/>
                <w:b/>
                <w:kern w:val="22"/>
                <w:sz w:val="32"/>
                <w:lang w:val="es-ES"/>
              </w:rPr>
            </w:pPr>
            <w:r>
              <w:rPr>
                <w:rFonts w:ascii="Arial" w:hAnsi="Arial"/>
                <w:b/>
                <w:noProof/>
                <w:kern w:val="22"/>
                <w:sz w:val="32"/>
                <w:lang w:val="es-ES"/>
              </w:rPr>
              <w:t>CBD</w:t>
            </w:r>
          </w:p>
        </w:tc>
      </w:tr>
      <w:tr w:rsidR="00211626">
        <w:tc>
          <w:tcPr>
            <w:tcW w:w="6117" w:type="dxa"/>
            <w:gridSpan w:val="2"/>
            <w:tcBorders>
              <w:top w:val="single" w:sz="12" w:space="0" w:color="auto"/>
              <w:bottom w:val="single" w:sz="36" w:space="0" w:color="auto"/>
            </w:tcBorders>
            <w:vAlign w:val="center"/>
          </w:tcPr>
          <w:p w:rsidR="00211626" w:rsidRDefault="0032174A">
            <w:pPr>
              <w:rPr>
                <w:kern w:val="22"/>
                <w:lang w:val="es-ES"/>
              </w:rPr>
            </w:pPr>
            <w:r>
              <w:rPr>
                <w:noProof/>
                <w:snapToGrid/>
                <w:kern w:val="22"/>
                <w:lang w:val="es-UY" w:eastAsia="es-UY"/>
              </w:rPr>
              <w:drawing>
                <wp:inline distT="0" distB="0" distL="0" distR="0">
                  <wp:extent cx="2905125" cy="107632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2905125" cy="107632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211626" w:rsidRDefault="00211626">
            <w:pPr>
              <w:ind w:left="1215"/>
              <w:rPr>
                <w:kern w:val="22"/>
                <w:lang w:val="es-ES"/>
              </w:rPr>
            </w:pPr>
            <w:r>
              <w:rPr>
                <w:noProof/>
                <w:kern w:val="22"/>
                <w:lang w:val="es-ES"/>
              </w:rPr>
              <w:t>Distr.</w:t>
            </w:r>
          </w:p>
          <w:p w:rsidR="00211626" w:rsidRDefault="00211626">
            <w:pPr>
              <w:ind w:left="1215"/>
              <w:rPr>
                <w:kern w:val="22"/>
                <w:lang w:val="es-ES"/>
              </w:rPr>
            </w:pPr>
            <w:r>
              <w:rPr>
                <w:noProof/>
                <w:kern w:val="22"/>
                <w:lang w:val="es-ES"/>
              </w:rPr>
              <w:t>GENERAL</w:t>
            </w:r>
          </w:p>
          <w:p w:rsidR="00211626" w:rsidRDefault="00211626">
            <w:pPr>
              <w:ind w:left="1215"/>
              <w:rPr>
                <w:kern w:val="22"/>
                <w:lang w:val="es-ES"/>
              </w:rPr>
            </w:pPr>
          </w:p>
          <w:p w:rsidR="00211626" w:rsidRDefault="00211626">
            <w:pPr>
              <w:ind w:left="1215"/>
              <w:rPr>
                <w:kern w:val="22"/>
                <w:lang w:val="es-ES"/>
              </w:rPr>
            </w:pPr>
            <w:r>
              <w:rPr>
                <w:noProof/>
                <w:kern w:val="22"/>
                <w:lang w:val="es-ES"/>
              </w:rPr>
              <w:t>CBD/CP/MOP/DEC/9/7</w:t>
            </w:r>
          </w:p>
          <w:p w:rsidR="00211626" w:rsidRDefault="00211626">
            <w:pPr>
              <w:ind w:left="1215"/>
              <w:rPr>
                <w:kern w:val="22"/>
                <w:lang w:val="es-ES"/>
              </w:rPr>
            </w:pPr>
            <w:r>
              <w:rPr>
                <w:noProof/>
                <w:kern w:val="22"/>
                <w:lang w:val="es-ES"/>
              </w:rPr>
              <w:t>30 de noviembre de 2018</w:t>
            </w:r>
          </w:p>
          <w:p w:rsidR="00211626" w:rsidRDefault="00211626">
            <w:pPr>
              <w:ind w:left="1215"/>
              <w:rPr>
                <w:kern w:val="22"/>
                <w:lang w:val="es-ES"/>
              </w:rPr>
            </w:pPr>
          </w:p>
          <w:p w:rsidR="00211626" w:rsidRDefault="00211626">
            <w:pPr>
              <w:ind w:left="1215"/>
              <w:rPr>
                <w:kern w:val="22"/>
                <w:lang w:val="es-ES"/>
              </w:rPr>
            </w:pPr>
            <w:r>
              <w:rPr>
                <w:noProof/>
                <w:kern w:val="22"/>
                <w:lang w:val="es-ES"/>
              </w:rPr>
              <w:t>ESPAÑOL</w:t>
            </w:r>
          </w:p>
          <w:p w:rsidR="00211626" w:rsidRDefault="00211626">
            <w:pPr>
              <w:ind w:left="1215"/>
              <w:rPr>
                <w:kern w:val="22"/>
                <w:lang w:val="es-ES"/>
              </w:rPr>
            </w:pPr>
            <w:r>
              <w:rPr>
                <w:noProof/>
                <w:kern w:val="22"/>
                <w:lang w:val="es-ES"/>
              </w:rPr>
              <w:t>ORIGINAL:</w:t>
            </w:r>
            <w:r>
              <w:rPr>
                <w:kern w:val="22"/>
                <w:lang w:val="es-ES"/>
              </w:rPr>
              <w:t xml:space="preserve"> </w:t>
            </w:r>
            <w:r>
              <w:rPr>
                <w:noProof/>
                <w:kern w:val="22"/>
                <w:lang w:val="es-ES"/>
              </w:rPr>
              <w:t>INGLÉS</w:t>
            </w:r>
          </w:p>
          <w:p w:rsidR="00211626" w:rsidRDefault="00211626">
            <w:pPr>
              <w:rPr>
                <w:kern w:val="22"/>
                <w:lang w:val="es-ES"/>
              </w:rPr>
            </w:pPr>
          </w:p>
        </w:tc>
      </w:tr>
    </w:tbl>
    <w:p w:rsidR="00211626" w:rsidRDefault="00211626">
      <w:pPr>
        <w:pStyle w:val="Cornernotation"/>
        <w:suppressLineNumbers/>
        <w:suppressAutoHyphens/>
        <w:kinsoku w:val="0"/>
        <w:overflowPunct w:val="0"/>
        <w:autoSpaceDE w:val="0"/>
        <w:autoSpaceDN w:val="0"/>
        <w:spacing w:before="120"/>
        <w:ind w:left="187" w:right="4423" w:hanging="187"/>
        <w:rPr>
          <w:kern w:val="22"/>
          <w:lang/>
        </w:rPr>
      </w:pPr>
      <w:r>
        <w:rPr>
          <w:noProof/>
          <w:lang/>
        </w:rPr>
        <w:t>CONFERENCIA DE LAS PARTES EN EL CONVENIO SOBRE LA DIVERSIDAD BIOLÓGICA QUE ACTÚA COMO REUNIÓN DE LAS PARTES EN EL PROTOCOLO DE CARTAGENA SOBRE SEGURIDAD DE LA BIOTECNOLOGÍA</w:t>
      </w:r>
    </w:p>
    <w:p w:rsidR="00211626" w:rsidRDefault="00211626">
      <w:pPr>
        <w:pStyle w:val="Cornernotation"/>
        <w:suppressLineNumbers/>
        <w:suppressAutoHyphens/>
        <w:kinsoku w:val="0"/>
        <w:overflowPunct w:val="0"/>
        <w:autoSpaceDE w:val="0"/>
        <w:autoSpaceDN w:val="0"/>
        <w:ind w:left="187" w:right="4421" w:hanging="187"/>
        <w:rPr>
          <w:kern w:val="22"/>
          <w:lang/>
        </w:rPr>
      </w:pPr>
      <w:r>
        <w:rPr>
          <w:noProof/>
          <w:lang/>
        </w:rPr>
        <w:t>Novena reunión</w:t>
      </w:r>
    </w:p>
    <w:p w:rsidR="00211626" w:rsidRDefault="00211626">
      <w:pPr>
        <w:pStyle w:val="Cornernotation"/>
        <w:suppressLineNumbers/>
        <w:suppressAutoHyphens/>
        <w:kinsoku w:val="0"/>
        <w:overflowPunct w:val="0"/>
        <w:autoSpaceDE w:val="0"/>
        <w:autoSpaceDN w:val="0"/>
        <w:ind w:left="187" w:right="4423" w:hanging="187"/>
        <w:rPr>
          <w:lang w:val="es-AR"/>
        </w:rPr>
      </w:pPr>
      <w:r>
        <w:rPr>
          <w:noProof/>
          <w:lang w:val="es-AR"/>
        </w:rPr>
        <w:t>Sharm el-Sheikh (Egipto), 17 a 29 de noviembre de 2018</w:t>
      </w:r>
    </w:p>
    <w:p w:rsidR="00211626" w:rsidRDefault="00211626">
      <w:pPr>
        <w:pStyle w:val="Cornernotation"/>
        <w:ind w:right="3973"/>
        <w:rPr>
          <w:color w:val="000000"/>
          <w:kern w:val="22"/>
          <w:lang w:val="es-ES"/>
        </w:rPr>
      </w:pPr>
      <w:r>
        <w:rPr>
          <w:lang w:val="es-AR"/>
        </w:rPr>
        <w:t xml:space="preserve">Tema </w:t>
      </w:r>
      <w:r>
        <w:rPr>
          <w:color w:val="000000"/>
          <w:kern w:val="22"/>
          <w:lang w:val="es-ES"/>
        </w:rPr>
        <w:t>14 del programa</w:t>
      </w:r>
    </w:p>
    <w:p w:rsidR="00211626" w:rsidRDefault="00211626">
      <w:pPr>
        <w:pStyle w:val="HEADINGNOTFORTOC"/>
        <w:snapToGrid w:val="0"/>
        <w:spacing w:before="120"/>
        <w:rPr>
          <w:kern w:val="22"/>
          <w:lang w:val="es-ES"/>
        </w:rPr>
      </w:pPr>
      <w:r>
        <w:rPr>
          <w:noProof/>
          <w:kern w:val="22"/>
          <w:lang w:val="es-ES"/>
        </w:rPr>
        <w:t>DECISIÓN ADOPTADA POR LAS PARTES EN EL PROTOCOLO DE CARTAGENA SOBRE SEGURIDAD DE LA BIOTECNOLOGÍA</w:t>
      </w:r>
    </w:p>
    <w:p w:rsidR="00211626" w:rsidRDefault="00211626">
      <w:pPr>
        <w:spacing w:before="240" w:after="120"/>
        <w:jc w:val="center"/>
        <w:rPr>
          <w:b/>
          <w:caps/>
          <w:kern w:val="22"/>
          <w:lang w:val="es-ES"/>
        </w:rPr>
      </w:pPr>
      <w:r>
        <w:rPr>
          <w:b/>
          <w:caps/>
          <w:kern w:val="22"/>
          <w:lang w:val="es-ES"/>
        </w:rPr>
        <w:t>9/7.</w:t>
      </w:r>
      <w:r>
        <w:rPr>
          <w:b/>
          <w:caps/>
          <w:kern w:val="22"/>
          <w:lang w:val="es-ES"/>
        </w:rPr>
        <w:tab/>
      </w:r>
      <w:r>
        <w:rPr>
          <w:b/>
          <w:kern w:val="22"/>
          <w:lang w:val="es-ES"/>
        </w:rPr>
        <w:t>Preparación para los instrumentos que sucederán al Plan Estratégico para la Diversidad Biológica 2011-2020 y al Plan Estratégico para el Protocolo de Cartagena sobre Seguridad</w:t>
      </w:r>
      <w:r w:rsidR="00BD3C6F">
        <w:rPr>
          <w:b/>
          <w:kern w:val="22"/>
          <w:lang w:val="es-ES"/>
        </w:rPr>
        <w:t> </w:t>
      </w:r>
      <w:r>
        <w:rPr>
          <w:b/>
          <w:kern w:val="22"/>
          <w:lang w:val="es-ES"/>
        </w:rPr>
        <w:t>de</w:t>
      </w:r>
      <w:r w:rsidR="00BD3C6F">
        <w:rPr>
          <w:b/>
          <w:kern w:val="22"/>
          <w:lang w:val="es-ES"/>
        </w:rPr>
        <w:t> </w:t>
      </w:r>
      <w:r>
        <w:rPr>
          <w:b/>
          <w:kern w:val="22"/>
          <w:lang w:val="es-ES"/>
        </w:rPr>
        <w:t>la</w:t>
      </w:r>
      <w:r w:rsidR="00BD3C6F">
        <w:rPr>
          <w:b/>
          <w:kern w:val="22"/>
          <w:lang w:val="es-ES"/>
        </w:rPr>
        <w:t> </w:t>
      </w:r>
      <w:r>
        <w:rPr>
          <w:b/>
          <w:kern w:val="22"/>
          <w:lang w:val="es-ES"/>
        </w:rPr>
        <w:t>Biotecnología en el período 2011-2020</w:t>
      </w:r>
    </w:p>
    <w:p w:rsidR="00211626" w:rsidRDefault="00211626">
      <w:pPr>
        <w:adjustRightInd w:val="0"/>
        <w:snapToGrid w:val="0"/>
        <w:spacing w:before="120" w:after="120"/>
        <w:ind w:firstLine="720"/>
        <w:rPr>
          <w:i/>
          <w:color w:val="000000"/>
          <w:kern w:val="22"/>
          <w:lang w:val="es-ES"/>
        </w:rPr>
      </w:pPr>
      <w:r>
        <w:rPr>
          <w:i/>
          <w:kern w:val="22"/>
          <w:lang w:val="es-ES"/>
        </w:rPr>
        <w:t>La Conferencia de</w:t>
      </w:r>
      <w:r w:rsidR="00BD3C6F">
        <w:rPr>
          <w:i/>
          <w:kern w:val="22"/>
          <w:lang w:val="es-ES"/>
        </w:rPr>
        <w:t xml:space="preserve"> las</w:t>
      </w:r>
      <w:r>
        <w:rPr>
          <w:i/>
          <w:kern w:val="22"/>
          <w:lang w:val="es-ES"/>
        </w:rPr>
        <w:t xml:space="preserve"> Partes que actúa como reunión de las Partes en el Protocolo de Cartagena sobre Seguridad de la Biotecnología</w:t>
      </w:r>
    </w:p>
    <w:p w:rsidR="00211626" w:rsidRDefault="00211626">
      <w:pPr>
        <w:pStyle w:val="ListParagraph"/>
        <w:numPr>
          <w:ilvl w:val="0"/>
          <w:numId w:val="19"/>
        </w:numPr>
        <w:adjustRightInd w:val="0"/>
        <w:snapToGrid w:val="0"/>
        <w:spacing w:before="120" w:after="120"/>
        <w:ind w:left="0" w:firstLine="720"/>
        <w:contextualSpacing w:val="0"/>
        <w:rPr>
          <w:color w:val="000000"/>
          <w:kern w:val="22"/>
          <w:lang w:val="es-ES"/>
        </w:rPr>
      </w:pPr>
      <w:r>
        <w:rPr>
          <w:i/>
          <w:color w:val="000000"/>
          <w:kern w:val="22"/>
          <w:lang w:val="es-ES"/>
        </w:rPr>
        <w:t>Toma nota</w:t>
      </w:r>
      <w:r>
        <w:rPr>
          <w:color w:val="000000"/>
          <w:kern w:val="22"/>
          <w:lang w:val="es-ES"/>
        </w:rPr>
        <w:t xml:space="preserve"> del proceso preparatorio propuesto para el marco mundial de la diversidad biológica posterior a 2020 como instrumento que sucederá al Plan Estratégico para la Diversidad Biológica 2011-2020, y </w:t>
      </w:r>
      <w:r>
        <w:rPr>
          <w:i/>
          <w:color w:val="000000"/>
          <w:kern w:val="22"/>
          <w:lang w:val="es-ES"/>
        </w:rPr>
        <w:t>acoge con satisfacción</w:t>
      </w:r>
      <w:r>
        <w:rPr>
          <w:color w:val="000000"/>
          <w:kern w:val="22"/>
          <w:lang w:val="es-ES"/>
        </w:rPr>
        <w:t xml:space="preserve"> la decisión 14/34 de la Conferencia de las Partes;</w:t>
      </w:r>
    </w:p>
    <w:p w:rsidR="00211626" w:rsidRDefault="00211626">
      <w:pPr>
        <w:pStyle w:val="ListParagraph"/>
        <w:numPr>
          <w:ilvl w:val="0"/>
          <w:numId w:val="19"/>
        </w:numPr>
        <w:adjustRightInd w:val="0"/>
        <w:snapToGrid w:val="0"/>
        <w:spacing w:before="120" w:after="120"/>
        <w:ind w:left="0" w:firstLine="720"/>
        <w:contextualSpacing w:val="0"/>
        <w:rPr>
          <w:color w:val="000000"/>
          <w:kern w:val="22"/>
          <w:lang w:val="es-ES"/>
        </w:rPr>
      </w:pPr>
      <w:r>
        <w:rPr>
          <w:i/>
          <w:color w:val="000000"/>
          <w:kern w:val="22"/>
          <w:lang w:val="es-ES"/>
        </w:rPr>
        <w:t>Destaca</w:t>
      </w:r>
      <w:r>
        <w:rPr>
          <w:color w:val="000000"/>
          <w:kern w:val="22"/>
          <w:lang w:val="es-ES"/>
        </w:rPr>
        <w:t xml:space="preserve"> la importancia de incluir la seguridad de la biotecnología en el marco mundial de la diversidad biológica posterior a 2020, así como la necesidad de elaborar un Plan de Aplicación específico para el Protocolo de Cartagena sobre Seguridad de la Biotecnología como instrumento que suceda al Plan Estratégico para el Protocolo de Cartagena sobre Seguridad de la Biotecnología en el período 2011-2020;</w:t>
      </w:r>
    </w:p>
    <w:p w:rsidR="00211626" w:rsidRDefault="00211626">
      <w:pPr>
        <w:pStyle w:val="ListParagraph"/>
        <w:numPr>
          <w:ilvl w:val="0"/>
          <w:numId w:val="19"/>
        </w:numPr>
        <w:suppressLineNumbers/>
        <w:suppressAutoHyphens/>
        <w:kinsoku w:val="0"/>
        <w:overflowPunct w:val="0"/>
        <w:autoSpaceDE w:val="0"/>
        <w:autoSpaceDN w:val="0"/>
        <w:adjustRightInd w:val="0"/>
        <w:snapToGrid w:val="0"/>
        <w:spacing w:before="120" w:after="120"/>
        <w:ind w:left="0" w:firstLine="720"/>
        <w:contextualSpacing w:val="0"/>
        <w:rPr>
          <w:color w:val="000000"/>
          <w:kern w:val="22"/>
          <w:lang w:val="es-ES"/>
        </w:rPr>
      </w:pPr>
      <w:r>
        <w:rPr>
          <w:i/>
          <w:kern w:val="22"/>
          <w:lang w:val="es-ES"/>
        </w:rPr>
        <w:t>Observa también</w:t>
      </w:r>
      <w:r>
        <w:rPr>
          <w:kern w:val="22"/>
          <w:lang w:val="es-ES"/>
        </w:rPr>
        <w:t xml:space="preserve"> la importancia de la participación activa de expertos en seguridad de la biotecnología, incluidos expertos en el Protocolo Suplementario de Nagoya – Kuala Lumpur sobre Responsabilidad y Compensación, en la elaboración del marco mundial de la diversidad biológica posterior a </w:t>
      </w:r>
      <w:r>
        <w:rPr>
          <w:color w:val="000000"/>
          <w:kern w:val="22"/>
          <w:lang w:val="es-ES"/>
        </w:rPr>
        <w:t>2020;</w:t>
      </w:r>
    </w:p>
    <w:p w:rsidR="00211626" w:rsidRDefault="00211626">
      <w:pPr>
        <w:pStyle w:val="ListParagraph"/>
        <w:numPr>
          <w:ilvl w:val="0"/>
          <w:numId w:val="19"/>
        </w:numPr>
        <w:suppressLineNumbers/>
        <w:suppressAutoHyphens/>
        <w:kinsoku w:val="0"/>
        <w:overflowPunct w:val="0"/>
        <w:autoSpaceDE w:val="0"/>
        <w:autoSpaceDN w:val="0"/>
        <w:adjustRightInd w:val="0"/>
        <w:snapToGrid w:val="0"/>
        <w:spacing w:before="120" w:after="120"/>
        <w:ind w:left="0" w:firstLine="720"/>
        <w:contextualSpacing w:val="0"/>
        <w:rPr>
          <w:color w:val="000000"/>
          <w:kern w:val="22"/>
          <w:lang w:val="es-ES"/>
        </w:rPr>
      </w:pPr>
      <w:r>
        <w:rPr>
          <w:i/>
          <w:color w:val="000000"/>
          <w:kern w:val="22"/>
          <w:lang w:val="es-ES"/>
        </w:rPr>
        <w:t>Invita</w:t>
      </w:r>
      <w:r>
        <w:rPr>
          <w:color w:val="000000"/>
          <w:kern w:val="22"/>
          <w:lang w:val="es-ES"/>
        </w:rPr>
        <w:t xml:space="preserve"> a las Partes a participar en el proceso de elaboración del marco mundial de la diversidad biológica posterior a 2020;</w:t>
      </w:r>
    </w:p>
    <w:p w:rsidR="00211626" w:rsidRDefault="00211626">
      <w:pPr>
        <w:pStyle w:val="ListParagraph"/>
        <w:numPr>
          <w:ilvl w:val="0"/>
          <w:numId w:val="19"/>
        </w:numPr>
        <w:suppressLineNumbers/>
        <w:suppressAutoHyphens/>
        <w:adjustRightInd w:val="0"/>
        <w:snapToGrid w:val="0"/>
        <w:spacing w:before="120" w:after="120"/>
        <w:ind w:left="0" w:firstLine="720"/>
        <w:contextualSpacing w:val="0"/>
        <w:rPr>
          <w:color w:val="000000"/>
          <w:kern w:val="22"/>
          <w:lang w:val="es-ES"/>
        </w:rPr>
      </w:pPr>
      <w:r>
        <w:rPr>
          <w:i/>
          <w:color w:val="000000"/>
          <w:kern w:val="22"/>
          <w:lang w:val="es-ES"/>
        </w:rPr>
        <w:t>Decide</w:t>
      </w:r>
      <w:r>
        <w:rPr>
          <w:color w:val="000000"/>
          <w:kern w:val="22"/>
          <w:lang w:val="es-ES"/>
        </w:rPr>
        <w:t xml:space="preserve"> elaborar un Plan de Aplicación específico para el Protocolo de Cartagena sobre Seguridad de la Biotecnología posterior a 2020 que se base en el marco mundial de la diversidad biológica posterior a 2020 y lo complemente, y </w:t>
      </w:r>
      <w:r>
        <w:rPr>
          <w:i/>
          <w:color w:val="000000"/>
          <w:kern w:val="22"/>
          <w:lang w:val="es-ES"/>
        </w:rPr>
        <w:t>pide</w:t>
      </w:r>
      <w:r>
        <w:rPr>
          <w:color w:val="000000"/>
          <w:kern w:val="22"/>
          <w:lang w:val="es-ES"/>
        </w:rPr>
        <w:t xml:space="preserve"> a la Secretaria Ejecutiva que facilite la elaboración de sus elementos;</w:t>
      </w:r>
    </w:p>
    <w:p w:rsidR="00211626" w:rsidRDefault="00211626">
      <w:pPr>
        <w:pStyle w:val="Para1"/>
        <w:numPr>
          <w:ilvl w:val="0"/>
          <w:numId w:val="19"/>
        </w:numPr>
        <w:suppressLineNumbers/>
        <w:suppressAutoHyphens/>
        <w:ind w:left="0" w:firstLine="720"/>
        <w:rPr>
          <w:szCs w:val="24"/>
          <w:lang w:val="es-ES"/>
        </w:rPr>
      </w:pPr>
      <w:r>
        <w:rPr>
          <w:i/>
          <w:color w:val="000000"/>
          <w:kern w:val="22"/>
          <w:szCs w:val="24"/>
          <w:lang w:val="es-ES"/>
        </w:rPr>
        <w:t>Decide</w:t>
      </w:r>
      <w:r>
        <w:rPr>
          <w:color w:val="000000"/>
          <w:kern w:val="22"/>
          <w:szCs w:val="24"/>
          <w:lang w:val="es-ES"/>
        </w:rPr>
        <w:t xml:space="preserve"> </w:t>
      </w:r>
      <w:r>
        <w:rPr>
          <w:i/>
          <w:color w:val="000000"/>
          <w:kern w:val="22"/>
          <w:szCs w:val="24"/>
          <w:lang w:val="es-ES"/>
        </w:rPr>
        <w:t xml:space="preserve">también </w:t>
      </w:r>
      <w:r>
        <w:rPr>
          <w:color w:val="000000"/>
          <w:kern w:val="22"/>
          <w:szCs w:val="24"/>
          <w:lang w:val="es-ES"/>
        </w:rPr>
        <w:t xml:space="preserve">que el Plan de Aplicación específico para el Protocolo de Cartagena sobre Seguridad de la Biotecnología posterior a 2020: a) se desarrollará como una herramienta para la aplicación; b) reflejará los elementos del Plan Estratégico para el Protocolo de Cartagena sobre Seguridad de la Biotecnología en el período 2011-2020 que sigan siendo pertinentes; c) incluirá nuevos elementos que </w:t>
      </w:r>
      <w:r>
        <w:rPr>
          <w:color w:val="000000"/>
          <w:kern w:val="22"/>
          <w:szCs w:val="24"/>
          <w:lang w:val="es-ES"/>
        </w:rPr>
        <w:lastRenderedPageBreak/>
        <w:t>reflejen las lecciones aprendidas y las novedades pertinentes para la seguridad de la biotecnología; d) será lo suficientemente flexible como para tener en cuenta las novedades que surjan en el período de aplicación; y d) comprenderá indicadores simples y fácilmente mensurables para facilitar el examen de los progresos en la aplicación del Protocolo;</w:t>
      </w:r>
    </w:p>
    <w:p w:rsidR="00211626" w:rsidRDefault="00211626">
      <w:pPr>
        <w:pStyle w:val="Para1"/>
        <w:numPr>
          <w:ilvl w:val="0"/>
          <w:numId w:val="0"/>
        </w:numPr>
        <w:suppressLineNumbers/>
        <w:suppressAutoHyphens/>
        <w:ind w:firstLine="720"/>
        <w:rPr>
          <w:kern w:val="22"/>
          <w:szCs w:val="24"/>
          <w:lang w:val="es-ES"/>
        </w:rPr>
      </w:pPr>
      <w:r>
        <w:rPr>
          <w:kern w:val="22"/>
          <w:szCs w:val="24"/>
          <w:lang w:val="es-ES"/>
        </w:rPr>
        <w:t>7.</w:t>
      </w:r>
      <w:r>
        <w:rPr>
          <w:kern w:val="22"/>
          <w:szCs w:val="24"/>
          <w:lang w:val="es-ES"/>
        </w:rPr>
        <w:tab/>
      </w:r>
      <w:r>
        <w:rPr>
          <w:i/>
          <w:kern w:val="22"/>
          <w:szCs w:val="24"/>
          <w:lang w:val="es-ES"/>
        </w:rPr>
        <w:t xml:space="preserve">Decide además </w:t>
      </w:r>
      <w:r>
        <w:rPr>
          <w:kern w:val="22"/>
          <w:szCs w:val="24"/>
          <w:lang w:val="es-ES"/>
        </w:rPr>
        <w:t>ampliar el mandato y el alcance del Grupo de Enlace sobre Creación de Capacidad para Seguridad de la Biotecnología, según lo expuesto en el anexo, incluir conocimientos especializados específicos sobre la experiencia práctica en la aplicación del Protocolo y sobre cuestiones de seguridad de la biotecnología, teniendo en cuenta la representación geográfica y las opiniones divergentes, y cambiarle el nombre a “Grupo de Enlace del Protocolo de Cartagena sobre Seguridad de la Biotecnología”;</w:t>
      </w:r>
    </w:p>
    <w:p w:rsidR="00211626" w:rsidRDefault="00211626">
      <w:pPr>
        <w:pStyle w:val="Para1"/>
        <w:numPr>
          <w:ilvl w:val="0"/>
          <w:numId w:val="22"/>
        </w:numPr>
        <w:suppressLineNumbers/>
        <w:suppressAutoHyphens/>
        <w:ind w:left="0" w:firstLine="720"/>
        <w:rPr>
          <w:kern w:val="22"/>
          <w:szCs w:val="24"/>
          <w:lang w:val="es-ES"/>
        </w:rPr>
      </w:pPr>
      <w:r>
        <w:rPr>
          <w:i/>
          <w:color w:val="000000"/>
          <w:kern w:val="22"/>
          <w:szCs w:val="24"/>
          <w:lang w:val="es-ES"/>
        </w:rPr>
        <w:t xml:space="preserve">Pide </w:t>
      </w:r>
      <w:r>
        <w:rPr>
          <w:color w:val="000000"/>
          <w:kern w:val="22"/>
          <w:szCs w:val="24"/>
          <w:lang w:val="es-ES"/>
        </w:rPr>
        <w:t>al Grupo de Enlace que contribuya a la elaboración de los elementos pertinentes del componente de seguridad de la biotecnología en el marco mundial de la diversidad biológica posterior a 2020, en consulta con los copresidentes del Grupo de Trabajo de Composición Abierta</w:t>
      </w:r>
      <w:r>
        <w:rPr>
          <w:rStyle w:val="FootnoteReference"/>
          <w:color w:val="000000"/>
          <w:kern w:val="22"/>
          <w:szCs w:val="24"/>
          <w:lang w:val="es-ES"/>
        </w:rPr>
        <w:footnoteReference w:id="1"/>
      </w:r>
      <w:r>
        <w:rPr>
          <w:color w:val="000000"/>
          <w:kern w:val="22"/>
          <w:szCs w:val="24"/>
          <w:lang w:val="es-ES"/>
        </w:rPr>
        <w:t>, y del instrumento específico que suceda al Plan Estratégico para el Protocolo de Cartagena sobre Seguridad de la Biotecnología en el período 2011-2020 basado en el marco mundial de la diversidad biológica posterior a 2020 y complementario a él</w:t>
      </w:r>
      <w:r>
        <w:rPr>
          <w:kern w:val="22"/>
          <w:szCs w:val="24"/>
          <w:lang w:val="es-ES"/>
        </w:rPr>
        <w:t>;</w:t>
      </w:r>
    </w:p>
    <w:p w:rsidR="00211626" w:rsidRDefault="00211626">
      <w:pPr>
        <w:pStyle w:val="Para1"/>
        <w:numPr>
          <w:ilvl w:val="0"/>
          <w:numId w:val="22"/>
        </w:numPr>
        <w:suppressLineNumbers/>
        <w:suppressAutoHyphens/>
        <w:spacing w:before="0" w:after="0"/>
        <w:ind w:left="0" w:firstLine="720"/>
        <w:rPr>
          <w:kern w:val="22"/>
          <w:szCs w:val="24"/>
          <w:lang w:val="es-ES"/>
        </w:rPr>
      </w:pPr>
      <w:r>
        <w:rPr>
          <w:i/>
          <w:kern w:val="22"/>
          <w:szCs w:val="24"/>
          <w:lang w:val="es-ES"/>
        </w:rPr>
        <w:t>Pide</w:t>
      </w:r>
      <w:r>
        <w:rPr>
          <w:kern w:val="22"/>
          <w:szCs w:val="24"/>
          <w:lang w:val="es-ES"/>
        </w:rPr>
        <w:t xml:space="preserve"> a la Secretaria Ejecutiva que:</w:t>
      </w:r>
    </w:p>
    <w:p w:rsidR="00211626" w:rsidRDefault="00211626">
      <w:pPr>
        <w:pStyle w:val="Para1"/>
        <w:numPr>
          <w:ilvl w:val="1"/>
          <w:numId w:val="22"/>
        </w:numPr>
        <w:suppressLineNumbers/>
        <w:suppressAutoHyphens/>
        <w:ind w:left="0" w:firstLine="720"/>
        <w:rPr>
          <w:kern w:val="22"/>
          <w:szCs w:val="24"/>
          <w:lang w:val="es-ES"/>
        </w:rPr>
      </w:pPr>
      <w:r>
        <w:rPr>
          <w:kern w:val="22"/>
          <w:szCs w:val="24"/>
          <w:lang w:val="es-ES"/>
        </w:rPr>
        <w:t>Facilite y apoye la inclusión del componente de seguridad de la biotecnología en el marco mundial de la diversidad biológica posterior a 2020;</w:t>
      </w:r>
    </w:p>
    <w:p w:rsidR="00211626" w:rsidRDefault="00211626">
      <w:pPr>
        <w:pStyle w:val="Para1"/>
        <w:numPr>
          <w:ilvl w:val="1"/>
          <w:numId w:val="22"/>
        </w:numPr>
        <w:suppressLineNumbers/>
        <w:suppressAutoHyphens/>
        <w:ind w:left="0" w:firstLine="720"/>
        <w:rPr>
          <w:kern w:val="22"/>
          <w:szCs w:val="24"/>
          <w:lang w:val="es-ES"/>
        </w:rPr>
      </w:pPr>
      <w:r>
        <w:rPr>
          <w:kern w:val="22"/>
          <w:szCs w:val="24"/>
          <w:lang w:val="es-ES"/>
        </w:rPr>
        <w:t>Trabaje con los copresidentes del Grupo de Enlace y del Grupo de Trabajo de Composición Abierta para establecer plazos complementarios claros para la contribución de las Partes en el Protocolo, con respecto a los elementos pertinentes de seguridad de la biotecnología para el marco mundial de la diversidad biológica posterior a 2020;</w:t>
      </w:r>
    </w:p>
    <w:p w:rsidR="00211626" w:rsidRDefault="00211626">
      <w:pPr>
        <w:pStyle w:val="Para1"/>
        <w:numPr>
          <w:ilvl w:val="1"/>
          <w:numId w:val="22"/>
        </w:numPr>
        <w:suppressLineNumbers/>
        <w:suppressAutoHyphens/>
        <w:ind w:left="0" w:firstLine="720"/>
        <w:rPr>
          <w:kern w:val="22"/>
          <w:szCs w:val="24"/>
          <w:lang w:val="es-ES"/>
        </w:rPr>
      </w:pPr>
      <w:r>
        <w:rPr>
          <w:kern w:val="22"/>
          <w:szCs w:val="24"/>
          <w:lang w:val="es-ES"/>
        </w:rPr>
        <w:t xml:space="preserve">Convoque sesiones dedicadas a tratar asuntos relacionados con la seguridad de la biotecnología durante los talleres </w:t>
      </w:r>
      <w:r w:rsidR="003F705C">
        <w:rPr>
          <w:kern w:val="22"/>
          <w:szCs w:val="24"/>
          <w:lang w:val="es-ES"/>
        </w:rPr>
        <w:t xml:space="preserve">mundiales y regionales </w:t>
      </w:r>
      <w:r>
        <w:rPr>
          <w:kern w:val="22"/>
          <w:szCs w:val="24"/>
          <w:lang w:val="es-ES"/>
        </w:rPr>
        <w:t>de consulta a los que se hace referencia en la decisión 14/34;</w:t>
      </w:r>
    </w:p>
    <w:p w:rsidR="00211626" w:rsidRDefault="00211626">
      <w:pPr>
        <w:numPr>
          <w:ilvl w:val="1"/>
          <w:numId w:val="22"/>
        </w:numPr>
        <w:suppressLineNumbers/>
        <w:tabs>
          <w:tab w:val="left" w:pos="1418"/>
        </w:tabs>
        <w:suppressAutoHyphens/>
        <w:spacing w:before="120" w:after="120"/>
        <w:ind w:left="0" w:firstLine="720"/>
        <w:rPr>
          <w:kern w:val="22"/>
          <w:lang w:val="es-ES"/>
        </w:rPr>
      </w:pPr>
      <w:r>
        <w:rPr>
          <w:kern w:val="22"/>
          <w:lang w:val="es-ES"/>
        </w:rPr>
        <w:t>Facilite la participación de un número adecuado de expertos en seguridad de la biotecnología, incluidos expertos en el Protocolo Suplementario de Nagoya – Kuala Lumpur sobre Responsabilidad y Compensación, en la elaboración de los elementos pertinentes del marco mundial de la diversidad biológica posterior a 2020, como por ejemplo en talleres de consulta pertinentes;</w:t>
      </w:r>
    </w:p>
    <w:p w:rsidR="00211626" w:rsidRDefault="00211626">
      <w:pPr>
        <w:numPr>
          <w:ilvl w:val="1"/>
          <w:numId w:val="22"/>
        </w:numPr>
        <w:suppressLineNumbers/>
        <w:suppressAutoHyphens/>
        <w:ind w:left="0" w:firstLine="720"/>
        <w:rPr>
          <w:kern w:val="22"/>
          <w:lang w:val="es-ES"/>
        </w:rPr>
      </w:pPr>
      <w:r>
        <w:rPr>
          <w:kern w:val="22"/>
          <w:lang w:val="es-ES"/>
        </w:rPr>
        <w:t>Recopile aportaciones de las Partes, otros Gobiernos, pueblos indígenas y comunidades locales y organizaciones pertinentes que brinden opiniones sobre i) la estructura y el contenido del instrumento que sucederá al actual Plan Estratégico del Protocolo de Cartagena en el período 2011-2020, es decir, el Plan de Aplicación para el Protocolo de Cartagena posterior a 2020, y ii) los elementos pertinentes del componente de seguridad de la biotecnología del marco mundial de la diversidad biológica posterior a 2020;</w:t>
      </w:r>
    </w:p>
    <w:p w:rsidR="00211626" w:rsidRDefault="00211626">
      <w:pPr>
        <w:numPr>
          <w:ilvl w:val="1"/>
          <w:numId w:val="22"/>
        </w:numPr>
        <w:suppressLineNumbers/>
        <w:suppressAutoHyphens/>
        <w:spacing w:before="120" w:after="120"/>
        <w:ind w:left="0" w:firstLine="720"/>
        <w:rPr>
          <w:kern w:val="22"/>
          <w:lang w:val="es-ES"/>
        </w:rPr>
      </w:pPr>
      <w:r>
        <w:rPr>
          <w:kern w:val="22"/>
          <w:lang w:val="es-ES"/>
        </w:rPr>
        <w:t>Convoque debates en línea del Grupo de Enlace, según proceda, para examinar las aportaciones a las que se hace referencia en el párrafo 9 e) ii) anterior para brindar insumos para la elaboración de los elementos pertinentes del componente de seguridad de la biotecnología en el marco mundial de la diversidad biológica posterior a 2020;</w:t>
      </w:r>
    </w:p>
    <w:p w:rsidR="00211626" w:rsidRDefault="00211626">
      <w:pPr>
        <w:numPr>
          <w:ilvl w:val="1"/>
          <w:numId w:val="22"/>
        </w:numPr>
        <w:suppressLineNumbers/>
        <w:suppressAutoHyphens/>
        <w:spacing w:before="120" w:after="120"/>
        <w:ind w:left="0" w:firstLine="720"/>
        <w:rPr>
          <w:kern w:val="22"/>
          <w:lang w:val="es-ES"/>
        </w:rPr>
      </w:pPr>
      <w:r>
        <w:rPr>
          <w:kern w:val="22"/>
          <w:lang w:val="es-ES"/>
        </w:rPr>
        <w:t>Prepare un proyecto de plan de aplicación para el Protocolo de Cartagena sobre Seguridad de la Biotecnología posterior a 2020 sobre la base de las aportaciones a las que se hace referencia en el párrafo 9 e) i) anterior;</w:t>
      </w:r>
    </w:p>
    <w:p w:rsidR="00211626" w:rsidRDefault="00211626">
      <w:pPr>
        <w:numPr>
          <w:ilvl w:val="1"/>
          <w:numId w:val="22"/>
        </w:numPr>
        <w:suppressLineNumbers/>
        <w:suppressAutoHyphens/>
        <w:spacing w:before="120" w:after="120"/>
        <w:ind w:left="0" w:firstLine="720"/>
        <w:rPr>
          <w:kern w:val="22"/>
          <w:lang w:val="es-ES"/>
        </w:rPr>
      </w:pPr>
      <w:r>
        <w:rPr>
          <w:kern w:val="22"/>
          <w:lang w:val="es-ES"/>
        </w:rPr>
        <w:lastRenderedPageBreak/>
        <w:t>Convoque debates en línea de composición abierta entre las Partes y otros interesados directos sobre el proyecto de plan de aplicación para el Protocolo de Cartagena sobre Seguridad de la Biotecnología posterior a 2020 al que se hace referencia en el párrafo 9 g) anterior;</w:t>
      </w:r>
    </w:p>
    <w:p w:rsidR="00211626" w:rsidRDefault="00211626">
      <w:pPr>
        <w:numPr>
          <w:ilvl w:val="1"/>
          <w:numId w:val="22"/>
        </w:numPr>
        <w:suppressLineNumbers/>
        <w:suppressAutoHyphens/>
        <w:spacing w:before="120" w:after="120"/>
        <w:ind w:left="0" w:firstLine="720"/>
        <w:rPr>
          <w:kern w:val="22"/>
          <w:lang w:val="es-ES"/>
        </w:rPr>
      </w:pPr>
      <w:r>
        <w:rPr>
          <w:kern w:val="22"/>
          <w:lang w:val="es-ES"/>
        </w:rPr>
        <w:t xml:space="preserve">Convoque una reunión presencial del Grupo de Enlace, </w:t>
      </w:r>
      <w:r w:rsidR="003F705C">
        <w:rPr>
          <w:kern w:val="22"/>
          <w:lang w:val="es-ES"/>
        </w:rPr>
        <w:t>para</w:t>
      </w:r>
      <w:r>
        <w:rPr>
          <w:kern w:val="22"/>
          <w:lang w:val="es-ES"/>
        </w:rPr>
        <w:t xml:space="preserve"> 2019, </w:t>
      </w:r>
      <w:r w:rsidR="003F705C">
        <w:rPr>
          <w:kern w:val="22"/>
          <w:lang w:val="es-ES"/>
        </w:rPr>
        <w:t>con el cometido de</w:t>
      </w:r>
      <w:r>
        <w:rPr>
          <w:kern w:val="22"/>
          <w:lang w:val="es-ES"/>
        </w:rPr>
        <w:t xml:space="preserve"> i) preparar un proyecto de componente de seguridad de la biotecnología para el marco mundial de la diversidad biológica posterior a 2020 </w:t>
      </w:r>
      <w:r w:rsidR="003F705C">
        <w:rPr>
          <w:kern w:val="22"/>
          <w:lang w:val="es-ES"/>
        </w:rPr>
        <w:t>con</w:t>
      </w:r>
      <w:r>
        <w:rPr>
          <w:kern w:val="22"/>
          <w:lang w:val="es-ES"/>
        </w:rPr>
        <w:t xml:space="preserve"> respect</w:t>
      </w:r>
      <w:r w:rsidR="003F705C">
        <w:rPr>
          <w:kern w:val="22"/>
          <w:lang w:val="es-ES"/>
        </w:rPr>
        <w:t>o</w:t>
      </w:r>
      <w:r>
        <w:rPr>
          <w:kern w:val="22"/>
          <w:lang w:val="es-ES"/>
        </w:rPr>
        <w:t xml:space="preserve"> a cuestiones relacionadas con el Protocolo de Cartagena y ii) examinar el proyecto de plan de aplicación para el Protocolo de Cartagena sobre Seguridad de la Biotecnología posterior a 2020 al que se hace referencia en el párrafo 9 g) anterior;</w:t>
      </w:r>
    </w:p>
    <w:p w:rsidR="00211626" w:rsidRDefault="00211626">
      <w:pPr>
        <w:numPr>
          <w:ilvl w:val="1"/>
          <w:numId w:val="22"/>
        </w:numPr>
        <w:suppressLineNumbers/>
        <w:suppressAutoHyphens/>
        <w:spacing w:before="120" w:after="120"/>
        <w:ind w:left="0" w:firstLine="720"/>
        <w:rPr>
          <w:kern w:val="22"/>
          <w:lang w:val="es-ES"/>
        </w:rPr>
      </w:pPr>
      <w:r>
        <w:rPr>
          <w:kern w:val="22"/>
          <w:lang w:val="es-ES"/>
        </w:rPr>
        <w:t>Lleve a cabo una revisión por pares a cargo de las Partes en el Protocolo de Cartagena del proyecto de plan de aplicación para el Protocolo de Cartagena sobre Seguridad de la Biotecnología posterior a 2020;</w:t>
      </w:r>
    </w:p>
    <w:p w:rsidR="00211626" w:rsidRDefault="00211626">
      <w:pPr>
        <w:numPr>
          <w:ilvl w:val="1"/>
          <w:numId w:val="22"/>
        </w:numPr>
        <w:suppressLineNumbers/>
        <w:suppressAutoHyphens/>
        <w:spacing w:before="120" w:after="120"/>
        <w:ind w:left="0" w:firstLine="720"/>
        <w:rPr>
          <w:kern w:val="22"/>
          <w:lang w:val="es-ES"/>
        </w:rPr>
      </w:pPr>
      <w:r>
        <w:rPr>
          <w:kern w:val="22"/>
          <w:lang w:val="es-ES"/>
        </w:rPr>
        <w:t>Presente el proyecto final de plan de aplicación para el Protocolo de Cartagena sobre Seguridad de la Biotecnología posterior a 2020 al Órgano Subsidiario sobre la Aplicación para que lo examine en su tercera reunión;</w:t>
      </w:r>
    </w:p>
    <w:p w:rsidR="00211626" w:rsidRDefault="00211626">
      <w:pPr>
        <w:suppressLineNumbers/>
        <w:suppressAutoHyphens/>
        <w:snapToGrid w:val="0"/>
        <w:spacing w:before="120" w:after="120"/>
        <w:ind w:firstLine="720"/>
        <w:rPr>
          <w:kern w:val="22"/>
          <w:lang w:val="es-ES"/>
        </w:rPr>
      </w:pPr>
      <w:r>
        <w:rPr>
          <w:kern w:val="22"/>
          <w:lang w:val="es-ES"/>
        </w:rPr>
        <w:t>10.</w:t>
      </w:r>
      <w:r>
        <w:rPr>
          <w:i/>
          <w:kern w:val="22"/>
          <w:lang w:val="es-ES"/>
        </w:rPr>
        <w:tab/>
        <w:t xml:space="preserve">Pide </w:t>
      </w:r>
      <w:r>
        <w:rPr>
          <w:kern w:val="22"/>
          <w:lang w:val="es-ES"/>
        </w:rPr>
        <w:t>al Órgano Subsidiario sobre la Aplicación que en su tercera reunión examine un proyecto de Plan de Aplicación para el Protocolo de Cartagena sobre Seguridad de la Biotecnología posterior a 2020 y que formule una recomendación al respecto para que la Conferencia de las Partes que actúa como reunión de las Partes en el Protocolo de Cartagena la examine en su décima reunión.</w:t>
      </w:r>
    </w:p>
    <w:p w:rsidR="00211626" w:rsidRDefault="00211626">
      <w:pPr>
        <w:keepNext/>
        <w:tabs>
          <w:tab w:val="left" w:pos="1418"/>
        </w:tabs>
        <w:spacing w:before="120" w:after="120"/>
        <w:jc w:val="center"/>
        <w:rPr>
          <w:i/>
          <w:kern w:val="22"/>
          <w:lang w:val="es-ES"/>
        </w:rPr>
      </w:pPr>
      <w:r>
        <w:rPr>
          <w:i/>
          <w:kern w:val="22"/>
          <w:lang w:val="es-ES"/>
        </w:rPr>
        <w:t>Anexo</w:t>
      </w:r>
    </w:p>
    <w:p w:rsidR="00211626" w:rsidRDefault="00211626">
      <w:pPr>
        <w:spacing w:before="120" w:after="120"/>
        <w:jc w:val="center"/>
        <w:rPr>
          <w:b/>
          <w:kern w:val="22"/>
          <w:lang w:val="es-ES"/>
        </w:rPr>
      </w:pPr>
      <w:r>
        <w:rPr>
          <w:b/>
          <w:kern w:val="22"/>
          <w:lang w:val="es-ES"/>
        </w:rPr>
        <w:t>MANDATO DEL GRUPO DE ENLACE DEL PROTOCOLO DE CARTAGENA SOBRE SEGURIDAD DE LA BIOTECNOLOGÍA</w:t>
      </w:r>
    </w:p>
    <w:p w:rsidR="00211626" w:rsidRDefault="00211626">
      <w:pPr>
        <w:pStyle w:val="ListParagraph"/>
        <w:numPr>
          <w:ilvl w:val="0"/>
          <w:numId w:val="23"/>
        </w:numPr>
        <w:spacing w:before="120" w:after="120"/>
        <w:ind w:left="0" w:firstLine="0"/>
        <w:contextualSpacing w:val="0"/>
        <w:rPr>
          <w:lang w:val="es-ES"/>
        </w:rPr>
      </w:pPr>
      <w:r>
        <w:rPr>
          <w:kern w:val="22"/>
          <w:lang w:val="es-ES"/>
        </w:rPr>
        <w:t>El Grupo de Enlace brindará a la Secretaria Ejecutiva asesoramiento especializado sobre: a) </w:t>
      </w:r>
      <w:r w:rsidR="003F705C">
        <w:rPr>
          <w:kern w:val="22"/>
          <w:lang w:val="es-ES"/>
        </w:rPr>
        <w:t>formas</w:t>
      </w:r>
      <w:r>
        <w:rPr>
          <w:kern w:val="22"/>
          <w:lang w:val="es-ES"/>
        </w:rPr>
        <w:t xml:space="preserve"> y medios </w:t>
      </w:r>
      <w:r w:rsidR="003F705C">
        <w:rPr>
          <w:kern w:val="22"/>
          <w:lang w:val="es-ES"/>
        </w:rPr>
        <w:t>de</w:t>
      </w:r>
      <w:r>
        <w:rPr>
          <w:kern w:val="22"/>
          <w:lang w:val="es-ES"/>
        </w:rPr>
        <w:t xml:space="preserve"> mejorar la coordinación y la aplicación efectiva del Protocolo de Cartagena sobre Seguridad de la Biotecnología; y b) enfoques estratégicos generales</w:t>
      </w:r>
      <w:r w:rsidR="003F705C">
        <w:rPr>
          <w:kern w:val="22"/>
          <w:lang w:val="es-ES"/>
        </w:rPr>
        <w:t xml:space="preserve"> y</w:t>
      </w:r>
      <w:r>
        <w:rPr>
          <w:kern w:val="22"/>
          <w:lang w:val="es-ES"/>
        </w:rPr>
        <w:t xml:space="preserve"> medidas operacionales prácticas y conceptuales para mejorar la coordinación de las actividades en el marco del Protocolo, incluidas iniciativas en materia de creación de capacidad, entre otras cosas.</w:t>
      </w:r>
    </w:p>
    <w:p w:rsidR="00211626" w:rsidRDefault="00211626">
      <w:pPr>
        <w:pStyle w:val="ListParagraph"/>
        <w:numPr>
          <w:ilvl w:val="0"/>
          <w:numId w:val="23"/>
        </w:numPr>
        <w:spacing w:before="120" w:after="120"/>
        <w:ind w:left="0" w:firstLine="0"/>
        <w:contextualSpacing w:val="0"/>
        <w:rPr>
          <w:kern w:val="22"/>
          <w:lang w:val="es-ES"/>
        </w:rPr>
      </w:pPr>
      <w:r>
        <w:rPr>
          <w:kern w:val="22"/>
          <w:lang w:val="es-ES"/>
        </w:rPr>
        <w:t xml:space="preserve">Los miembros del Grupo de Enlace serán seleccionados en función de su experiencia y conocimientos especializados demostrados </w:t>
      </w:r>
      <w:r w:rsidR="003F705C">
        <w:rPr>
          <w:kern w:val="22"/>
          <w:lang w:val="es-ES"/>
        </w:rPr>
        <w:t>co</w:t>
      </w:r>
      <w:r>
        <w:rPr>
          <w:kern w:val="22"/>
          <w:lang w:val="es-ES"/>
        </w:rPr>
        <w:t>n respect</w:t>
      </w:r>
      <w:r w:rsidR="003F705C">
        <w:rPr>
          <w:kern w:val="22"/>
          <w:lang w:val="es-ES"/>
        </w:rPr>
        <w:t>o</w:t>
      </w:r>
      <w:r>
        <w:rPr>
          <w:kern w:val="22"/>
          <w:lang w:val="es-ES"/>
        </w:rPr>
        <w:t xml:space="preserve"> a la aplicación del Protocolo de Cartagena sobre Seguridad de la Biotecnología y el Protocolo Suplementario de Nagoya – Kuala Lumpur sobre Responsabilidad y Compensación, teniendo en cuenta la representación geográfica, el equilibrio de género y una representación justa de los interesados directos pertinentes.</w:t>
      </w:r>
    </w:p>
    <w:p w:rsidR="00211626" w:rsidRDefault="00211626">
      <w:pPr>
        <w:pStyle w:val="Para1"/>
        <w:numPr>
          <w:ilvl w:val="0"/>
          <w:numId w:val="0"/>
        </w:numPr>
        <w:rPr>
          <w:kern w:val="22"/>
          <w:szCs w:val="24"/>
          <w:lang w:val="es-ES"/>
        </w:rPr>
      </w:pPr>
    </w:p>
    <w:p w:rsidR="00211626" w:rsidRDefault="00211626">
      <w:pPr>
        <w:jc w:val="center"/>
        <w:rPr>
          <w:kern w:val="22"/>
          <w:lang w:val="es-ES"/>
        </w:rPr>
      </w:pPr>
      <w:r>
        <w:rPr>
          <w:kern w:val="22"/>
          <w:lang w:val="es-ES"/>
        </w:rPr>
        <w:t>__________</w:t>
      </w:r>
    </w:p>
    <w:p w:rsidR="00211626" w:rsidRDefault="00211626">
      <w:pPr>
        <w:spacing w:before="120" w:after="240"/>
        <w:jc w:val="left"/>
        <w:rPr>
          <w:caps/>
          <w:kern w:val="22"/>
          <w:lang w:val="es-ES"/>
        </w:rPr>
      </w:pPr>
    </w:p>
    <w:p w:rsidR="00211626" w:rsidRDefault="00211626">
      <w:pPr>
        <w:rPr>
          <w:kern w:val="22"/>
          <w:lang w:val="es-ES"/>
        </w:rPr>
      </w:pPr>
    </w:p>
    <w:sectPr w:rsidR="00211626">
      <w:headerReference w:type="even" r:id="rId10"/>
      <w:headerReference w:type="default" r:id="rId11"/>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974" w:rsidRDefault="001A2974">
      <w:r>
        <w:separator/>
      </w:r>
    </w:p>
  </w:endnote>
  <w:endnote w:type="continuationSeparator" w:id="0">
    <w:p w:rsidR="001A2974" w:rsidRDefault="001A2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uphemia">
    <w:panose1 w:val="020B0503040102020104"/>
    <w:charset w:val="00"/>
    <w:family w:val="swiss"/>
    <w:pitch w:val="variable"/>
    <w:sig w:usb0="8000006F" w:usb1="0000004A" w:usb2="00002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974" w:rsidRDefault="001A2974">
      <w:r>
        <w:separator/>
      </w:r>
    </w:p>
  </w:footnote>
  <w:footnote w:type="continuationSeparator" w:id="0">
    <w:p w:rsidR="001A2974" w:rsidRDefault="001A2974">
      <w:r>
        <w:continuationSeparator/>
      </w:r>
    </w:p>
  </w:footnote>
  <w:footnote w:id="1">
    <w:p w:rsidR="00211626" w:rsidRDefault="00211626">
      <w:pPr>
        <w:pStyle w:val="FootnoteText"/>
        <w:ind w:firstLine="0"/>
        <w:jc w:val="left"/>
      </w:pPr>
      <w:r>
        <w:rPr>
          <w:rStyle w:val="FootnoteReference"/>
          <w:kern w:val="18"/>
          <w:lang w:val="es-ES"/>
        </w:rPr>
        <w:footnoteRef/>
      </w:r>
      <w:r>
        <w:rPr>
          <w:kern w:val="18"/>
          <w:lang w:val="es-ES"/>
        </w:rPr>
        <w:t xml:space="preserve"> Decisión 14/34, anexo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626" w:rsidRDefault="00211626">
    <w:pPr>
      <w:pStyle w:val="Header"/>
      <w:tabs>
        <w:tab w:val="clear" w:pos="4320"/>
        <w:tab w:val="clear" w:pos="8640"/>
      </w:tabs>
      <w:jc w:val="left"/>
      <w:rPr>
        <w:kern w:val="22"/>
        <w:lang w:val="es-ES"/>
      </w:rPr>
    </w:pPr>
    <w:r>
      <w:rPr>
        <w:kern w:val="22"/>
        <w:lang w:val="es-ES"/>
      </w:rPr>
      <w:t>CBD/CP/MOP/DEC/9/7</w:t>
    </w:r>
  </w:p>
  <w:p w:rsidR="00211626" w:rsidRDefault="00211626">
    <w:pPr>
      <w:pStyle w:val="Header"/>
      <w:tabs>
        <w:tab w:val="clear" w:pos="4320"/>
        <w:tab w:val="clear" w:pos="8640"/>
      </w:tabs>
      <w:jc w:val="left"/>
      <w:rPr>
        <w:kern w:val="22"/>
        <w:lang w:val="es-ES"/>
      </w:rPr>
    </w:pPr>
    <w:r>
      <w:rPr>
        <w:kern w:val="22"/>
        <w:lang w:val="es-ES"/>
      </w:rPr>
      <w:t xml:space="preserve">Página </w:t>
    </w:r>
    <w:r>
      <w:rPr>
        <w:kern w:val="22"/>
        <w:lang w:val="es-ES"/>
      </w:rPr>
      <w:fldChar w:fldCharType="begin"/>
    </w:r>
    <w:r>
      <w:rPr>
        <w:kern w:val="22"/>
        <w:lang w:val="es-ES"/>
      </w:rPr>
      <w:instrText xml:space="preserve"> PAGE   \* MERGEFORMAT </w:instrText>
    </w:r>
    <w:r>
      <w:rPr>
        <w:kern w:val="22"/>
        <w:lang w:val="es-ES"/>
      </w:rPr>
      <w:fldChar w:fldCharType="separate"/>
    </w:r>
    <w:r w:rsidR="003F705C" w:rsidRPr="003F705C">
      <w:rPr>
        <w:noProof/>
        <w:kern w:val="22"/>
      </w:rPr>
      <w:t>2</w:t>
    </w:r>
    <w:r>
      <w:rPr>
        <w:kern w:val="22"/>
        <w:lang w:val="es-ES"/>
      </w:rPr>
      <w:fldChar w:fldCharType="end"/>
    </w:r>
  </w:p>
  <w:p w:rsidR="00211626" w:rsidRDefault="00211626">
    <w:pPr>
      <w:pStyle w:val="Header"/>
      <w:tabs>
        <w:tab w:val="clear" w:pos="4320"/>
        <w:tab w:val="clear" w:pos="8640"/>
      </w:tabs>
      <w:jc w:val="left"/>
      <w:rPr>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626" w:rsidRDefault="00211626">
    <w:pPr>
      <w:pStyle w:val="Header"/>
      <w:tabs>
        <w:tab w:val="clear" w:pos="4320"/>
        <w:tab w:val="clear" w:pos="8640"/>
      </w:tabs>
      <w:jc w:val="right"/>
      <w:rPr>
        <w:kern w:val="22"/>
        <w:lang w:val="es-ES"/>
      </w:rPr>
    </w:pPr>
    <w:r>
      <w:rPr>
        <w:kern w:val="22"/>
        <w:lang w:val="es-ES"/>
      </w:rPr>
      <w:t>CBD/CP/MOP/DEC/9/7</w:t>
    </w:r>
  </w:p>
  <w:p w:rsidR="00211626" w:rsidRDefault="00211626">
    <w:pPr>
      <w:pStyle w:val="Header"/>
      <w:tabs>
        <w:tab w:val="clear" w:pos="4320"/>
        <w:tab w:val="clear" w:pos="8640"/>
      </w:tabs>
      <w:jc w:val="right"/>
      <w:rPr>
        <w:kern w:val="22"/>
        <w:lang w:val="es-ES"/>
      </w:rPr>
    </w:pPr>
    <w:r>
      <w:rPr>
        <w:kern w:val="22"/>
        <w:lang w:val="es-ES"/>
      </w:rPr>
      <w:t xml:space="preserve">Página </w:t>
    </w:r>
    <w:r>
      <w:rPr>
        <w:kern w:val="22"/>
        <w:lang w:val="es-ES"/>
      </w:rPr>
      <w:fldChar w:fldCharType="begin"/>
    </w:r>
    <w:r>
      <w:rPr>
        <w:kern w:val="22"/>
        <w:lang w:val="es-ES"/>
      </w:rPr>
      <w:instrText xml:space="preserve"> PAGE   \* MERGEFORMAT </w:instrText>
    </w:r>
    <w:r>
      <w:rPr>
        <w:kern w:val="22"/>
        <w:lang w:val="es-ES"/>
      </w:rPr>
      <w:fldChar w:fldCharType="separate"/>
    </w:r>
    <w:r w:rsidR="003F705C" w:rsidRPr="003F705C">
      <w:rPr>
        <w:noProof/>
        <w:kern w:val="22"/>
      </w:rPr>
      <w:t>3</w:t>
    </w:r>
    <w:r>
      <w:rPr>
        <w:kern w:val="22"/>
        <w:lang w:val="es-ES"/>
      </w:rPr>
      <w:fldChar w:fldCharType="end"/>
    </w:r>
  </w:p>
  <w:p w:rsidR="00211626" w:rsidRDefault="00211626">
    <w:pPr>
      <w:pStyle w:val="Header"/>
      <w:tabs>
        <w:tab w:val="clear" w:pos="4320"/>
        <w:tab w:val="clear" w:pos="8640"/>
      </w:tabs>
      <w:jc w:val="right"/>
      <w:rPr>
        <w:kern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454"/>
    <w:multiLevelType w:val="multilevel"/>
    <w:tmpl w:val="7D64C5E6"/>
    <w:lvl w:ilvl="0">
      <w:start w:val="8"/>
      <w:numFmt w:val="decimal"/>
      <w:lvlText w:val="%1."/>
      <w:lvlJc w:val="left"/>
      <w:pPr>
        <w:ind w:left="720" w:hanging="360"/>
      </w:pPr>
      <w:rPr>
        <w:rFonts w:cs="Times New Roman" w:hint="default"/>
        <w:i w:val="0"/>
        <w:color w:val="000000"/>
      </w:rPr>
    </w:lvl>
    <w:lvl w:ilvl="1">
      <w:start w:val="8"/>
      <w:numFmt w:val="lowerLetter"/>
      <w:lvlText w:val="%2)"/>
      <w:lvlJc w:val="left"/>
      <w:pPr>
        <w:tabs>
          <w:tab w:val="num" w:pos="720"/>
        </w:tabs>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A27549"/>
    <w:multiLevelType w:val="hybridMultilevel"/>
    <w:tmpl w:val="CEB8096E"/>
    <w:lvl w:ilvl="0" w:tplc="55923BA6">
      <w:start w:val="1"/>
      <w:numFmt w:val="lowerLetter"/>
      <w:lvlText w:val="(%1)"/>
      <w:lvlJc w:val="left"/>
      <w:pPr>
        <w:ind w:left="1440" w:hanging="72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nsid w:val="10385E44"/>
    <w:multiLevelType w:val="multilevel"/>
    <w:tmpl w:val="CCDCAB5A"/>
    <w:lvl w:ilvl="0">
      <w:start w:val="4"/>
      <w:numFmt w:val="lowerLetter"/>
      <w:lvlText w:val="(%1)"/>
      <w:lvlJc w:val="left"/>
      <w:pPr>
        <w:ind w:left="108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476777F8"/>
    <w:multiLevelType w:val="hybridMultilevel"/>
    <w:tmpl w:val="CE1EDFBE"/>
    <w:lvl w:ilvl="0" w:tplc="380A5614">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B8F7FB2"/>
    <w:multiLevelType w:val="hybridMultilevel"/>
    <w:tmpl w:val="C9289388"/>
    <w:lvl w:ilvl="0" w:tplc="111CCE32">
      <w:start w:val="8"/>
      <w:numFmt w:val="decimal"/>
      <w:lvlText w:val="%1."/>
      <w:lvlJc w:val="left"/>
      <w:pPr>
        <w:ind w:left="720" w:hanging="360"/>
      </w:pPr>
      <w:rPr>
        <w:rFonts w:cs="Times New Roman" w:hint="default"/>
        <w:i w:val="0"/>
        <w:color w:val="000000"/>
      </w:rPr>
    </w:lvl>
    <w:lvl w:ilvl="1" w:tplc="6BA2982A">
      <w:start w:val="1"/>
      <w:numFmt w:val="lowerLetter"/>
      <w:lvlText w:val="%2)"/>
      <w:lvlJc w:val="left"/>
      <w:pPr>
        <w:tabs>
          <w:tab w:val="num" w:pos="720"/>
        </w:tabs>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4C2F6BF8"/>
    <w:multiLevelType w:val="hybridMultilevel"/>
    <w:tmpl w:val="CCDCAB5A"/>
    <w:lvl w:ilvl="0" w:tplc="156AED14">
      <w:start w:val="4"/>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8645C3"/>
    <w:multiLevelType w:val="hybridMultilevel"/>
    <w:tmpl w:val="23F4D254"/>
    <w:lvl w:ilvl="0" w:tplc="EE96829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1716F2C"/>
    <w:multiLevelType w:val="multilevel"/>
    <w:tmpl w:val="1FC8997A"/>
    <w:lvl w:ilvl="0">
      <w:start w:val="8"/>
      <w:numFmt w:val="decimal"/>
      <w:lvlText w:val="%1."/>
      <w:lvlJc w:val="left"/>
      <w:pPr>
        <w:ind w:left="720" w:hanging="360"/>
      </w:pPr>
      <w:rPr>
        <w:rFonts w:cs="Times New Roman" w:hint="default"/>
        <w:i w:val="0"/>
        <w:color w:val="000000"/>
      </w:rPr>
    </w:lvl>
    <w:lvl w:ilvl="1">
      <w:start w:val="1"/>
      <w:numFmt w:val="lowerLetter"/>
      <w:lvlText w:val="%2)"/>
      <w:lvlJc w:val="left"/>
      <w:pPr>
        <w:tabs>
          <w:tab w:val="num" w:pos="720"/>
        </w:tabs>
        <w:ind w:left="1440" w:hanging="360"/>
      </w:pPr>
      <w:rPr>
        <w:rFonts w:ascii="Euphemia" w:hAnsi="Euphemia" w:cs="Euphemia" w:hint="default"/>
        <w:b w:val="0"/>
        <w:i w:val="0"/>
        <w:color w:val="000000"/>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2"/>
  </w:num>
  <w:num w:numId="3">
    <w:abstractNumId w:val="7"/>
  </w:num>
  <w:num w:numId="4">
    <w:abstractNumId w:val="12"/>
  </w:num>
  <w:num w:numId="5">
    <w:abstractNumId w:val="9"/>
  </w:num>
  <w:num w:numId="6">
    <w:abstractNumId w:val="1"/>
  </w:num>
  <w:num w:numId="7">
    <w:abstractNumId w:val="5"/>
  </w:num>
  <w:num w:numId="8">
    <w:abstractNumId w:val="7"/>
    <w:lvlOverride w:ilvl="0">
      <w:startOverride w:val="1"/>
    </w:lvlOverride>
  </w:num>
  <w:num w:numId="9">
    <w:abstractNumId w:val="17"/>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5"/>
  </w:num>
  <w:num w:numId="15">
    <w:abstractNumId w:val="13"/>
  </w:num>
  <w:num w:numId="16">
    <w:abstractNumId w:val="2"/>
  </w:num>
  <w:num w:numId="17">
    <w:abstractNumId w:val="18"/>
  </w:num>
  <w:num w:numId="18">
    <w:abstractNumId w:val="19"/>
  </w:num>
  <w:num w:numId="19">
    <w:abstractNumId w:val="14"/>
  </w:num>
  <w:num w:numId="20">
    <w:abstractNumId w:val="3"/>
  </w:num>
  <w:num w:numId="21">
    <w:abstractNumId w:val="11"/>
  </w:num>
  <w:num w:numId="22">
    <w:abstractNumId w:val="10"/>
  </w:num>
  <w:num w:numId="23">
    <w:abstractNumId w:val="8"/>
  </w:num>
  <w:num w:numId="24">
    <w:abstractNumId w:val="4"/>
  </w:num>
  <w:num w:numId="25">
    <w:abstractNumId w:val="16"/>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1018C"/>
    <w:rsid w:val="00023CEE"/>
    <w:rsid w:val="0002692C"/>
    <w:rsid w:val="000506AA"/>
    <w:rsid w:val="000865FB"/>
    <w:rsid w:val="00094468"/>
    <w:rsid w:val="000B2E8B"/>
    <w:rsid w:val="000E673A"/>
    <w:rsid w:val="000F4914"/>
    <w:rsid w:val="000F74F5"/>
    <w:rsid w:val="000F7B22"/>
    <w:rsid w:val="00105372"/>
    <w:rsid w:val="001102C0"/>
    <w:rsid w:val="00131E7A"/>
    <w:rsid w:val="00132A72"/>
    <w:rsid w:val="0014645A"/>
    <w:rsid w:val="00172AF6"/>
    <w:rsid w:val="00176CEE"/>
    <w:rsid w:val="00186DD8"/>
    <w:rsid w:val="001A2974"/>
    <w:rsid w:val="001B0463"/>
    <w:rsid w:val="001B436E"/>
    <w:rsid w:val="001D6188"/>
    <w:rsid w:val="00211626"/>
    <w:rsid w:val="00211955"/>
    <w:rsid w:val="00262A80"/>
    <w:rsid w:val="00273079"/>
    <w:rsid w:val="002847D8"/>
    <w:rsid w:val="002856B9"/>
    <w:rsid w:val="002D0EAB"/>
    <w:rsid w:val="002D603A"/>
    <w:rsid w:val="002E72BD"/>
    <w:rsid w:val="00315F02"/>
    <w:rsid w:val="0032174A"/>
    <w:rsid w:val="00322E76"/>
    <w:rsid w:val="0033259C"/>
    <w:rsid w:val="00372F74"/>
    <w:rsid w:val="003C195D"/>
    <w:rsid w:val="003D2DC6"/>
    <w:rsid w:val="003D59ED"/>
    <w:rsid w:val="003D6DF7"/>
    <w:rsid w:val="003D7FC6"/>
    <w:rsid w:val="003F54FD"/>
    <w:rsid w:val="003F705C"/>
    <w:rsid w:val="003F7224"/>
    <w:rsid w:val="00400A3E"/>
    <w:rsid w:val="00427D21"/>
    <w:rsid w:val="004374D0"/>
    <w:rsid w:val="00447BD2"/>
    <w:rsid w:val="00450275"/>
    <w:rsid w:val="00451A9D"/>
    <w:rsid w:val="004610EF"/>
    <w:rsid w:val="004644C2"/>
    <w:rsid w:val="00467F9C"/>
    <w:rsid w:val="004B538A"/>
    <w:rsid w:val="004E428D"/>
    <w:rsid w:val="005170C6"/>
    <w:rsid w:val="00534681"/>
    <w:rsid w:val="0054204B"/>
    <w:rsid w:val="005636A2"/>
    <w:rsid w:val="00581B4B"/>
    <w:rsid w:val="00583AFE"/>
    <w:rsid w:val="00590234"/>
    <w:rsid w:val="005945DF"/>
    <w:rsid w:val="005B0EFD"/>
    <w:rsid w:val="005E66AE"/>
    <w:rsid w:val="005F6A40"/>
    <w:rsid w:val="006122BA"/>
    <w:rsid w:val="00630E17"/>
    <w:rsid w:val="0065264A"/>
    <w:rsid w:val="006827F2"/>
    <w:rsid w:val="006829A5"/>
    <w:rsid w:val="0068672C"/>
    <w:rsid w:val="006879A1"/>
    <w:rsid w:val="006920F7"/>
    <w:rsid w:val="006943DA"/>
    <w:rsid w:val="00695E5C"/>
    <w:rsid w:val="0069613E"/>
    <w:rsid w:val="006B2290"/>
    <w:rsid w:val="006C47B1"/>
    <w:rsid w:val="006D2F02"/>
    <w:rsid w:val="007107E9"/>
    <w:rsid w:val="00717D88"/>
    <w:rsid w:val="00730723"/>
    <w:rsid w:val="0073303E"/>
    <w:rsid w:val="00750844"/>
    <w:rsid w:val="00771524"/>
    <w:rsid w:val="0077626F"/>
    <w:rsid w:val="00781122"/>
    <w:rsid w:val="007942D3"/>
    <w:rsid w:val="007B078D"/>
    <w:rsid w:val="007B6C09"/>
    <w:rsid w:val="007D224B"/>
    <w:rsid w:val="007E09DA"/>
    <w:rsid w:val="008178B6"/>
    <w:rsid w:val="00830EF2"/>
    <w:rsid w:val="00841FE8"/>
    <w:rsid w:val="00851B35"/>
    <w:rsid w:val="00865B74"/>
    <w:rsid w:val="00886377"/>
    <w:rsid w:val="008C65B9"/>
    <w:rsid w:val="008D06B6"/>
    <w:rsid w:val="008D7EC4"/>
    <w:rsid w:val="008E7CE0"/>
    <w:rsid w:val="008F2E4A"/>
    <w:rsid w:val="00915ECE"/>
    <w:rsid w:val="00930BA1"/>
    <w:rsid w:val="0093169E"/>
    <w:rsid w:val="009505C9"/>
    <w:rsid w:val="00956C61"/>
    <w:rsid w:val="009B36CB"/>
    <w:rsid w:val="00A07E0B"/>
    <w:rsid w:val="00A21AF3"/>
    <w:rsid w:val="00A243A7"/>
    <w:rsid w:val="00A37D50"/>
    <w:rsid w:val="00A402C8"/>
    <w:rsid w:val="00A972D9"/>
    <w:rsid w:val="00AC1FAF"/>
    <w:rsid w:val="00AC3393"/>
    <w:rsid w:val="00AD2E45"/>
    <w:rsid w:val="00B16FBE"/>
    <w:rsid w:val="00B2400B"/>
    <w:rsid w:val="00B2663F"/>
    <w:rsid w:val="00B3369F"/>
    <w:rsid w:val="00B368C6"/>
    <w:rsid w:val="00B64BF0"/>
    <w:rsid w:val="00BB477F"/>
    <w:rsid w:val="00BB5AA8"/>
    <w:rsid w:val="00BD3C6F"/>
    <w:rsid w:val="00BD4EF0"/>
    <w:rsid w:val="00BE19E7"/>
    <w:rsid w:val="00C275E3"/>
    <w:rsid w:val="00C443BD"/>
    <w:rsid w:val="00C62521"/>
    <w:rsid w:val="00C819A3"/>
    <w:rsid w:val="00C9161D"/>
    <w:rsid w:val="00C93869"/>
    <w:rsid w:val="00CB70FE"/>
    <w:rsid w:val="00CF1848"/>
    <w:rsid w:val="00D02201"/>
    <w:rsid w:val="00D12044"/>
    <w:rsid w:val="00D33AB0"/>
    <w:rsid w:val="00D64DD5"/>
    <w:rsid w:val="00D76A18"/>
    <w:rsid w:val="00DC5FB2"/>
    <w:rsid w:val="00DD118C"/>
    <w:rsid w:val="00DD3032"/>
    <w:rsid w:val="00DD3735"/>
    <w:rsid w:val="00E03E90"/>
    <w:rsid w:val="00E076C8"/>
    <w:rsid w:val="00E20229"/>
    <w:rsid w:val="00E50ECC"/>
    <w:rsid w:val="00E66235"/>
    <w:rsid w:val="00E83C24"/>
    <w:rsid w:val="00E9318D"/>
    <w:rsid w:val="00EC4E07"/>
    <w:rsid w:val="00ED72FA"/>
    <w:rsid w:val="00F31D31"/>
    <w:rsid w:val="00F4375C"/>
    <w:rsid w:val="00F45756"/>
    <w:rsid w:val="00F6586C"/>
    <w:rsid w:val="00F776FD"/>
    <w:rsid w:val="00F94774"/>
    <w:rsid w:val="00FA345D"/>
    <w:rsid w:val="00FA39D7"/>
    <w:rsid w:val="00FB14DF"/>
    <w:rsid w:val="00FC09C3"/>
    <w:rsid w:val="00FC53DB"/>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0"/>
    <w:qFormat/>
    <w:pPr>
      <w:jc w:val="both"/>
    </w:pPr>
    <w:rPr>
      <w:snapToGrid w:val="0"/>
      <w:sz w:val="22"/>
      <w:szCs w:val="24"/>
      <w:lang w:val="en-GB" w:eastAsia="es-ES"/>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sz w:val="28"/>
    </w:rPr>
  </w:style>
  <w:style w:type="paragraph" w:styleId="Heading8">
    <w:name w:val="heading 8"/>
    <w:basedOn w:val="Normal"/>
    <w:next w:val="Normal"/>
    <w:qFormat/>
    <w:pPr>
      <w:keepNext/>
      <w:jc w:val="right"/>
      <w:outlineLvl w:val="7"/>
    </w:pPr>
    <w:rPr>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sz w:val="18"/>
      <w:szCs w:val="18"/>
    </w:rPr>
  </w:style>
  <w:style w:type="character" w:customStyle="1" w:styleId="CharChar8">
    <w:name w:val="Char Char8"/>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Pr>
      <w:rFonts w:cs="Times New Roman"/>
      <w:color w:val="808080"/>
    </w:rPr>
  </w:style>
  <w:style w:type="paragraph" w:styleId="Header">
    <w:name w:val="header"/>
    <w:basedOn w:val="Normal"/>
    <w:pPr>
      <w:tabs>
        <w:tab w:val="center" w:pos="4320"/>
        <w:tab w:val="right" w:pos="8640"/>
      </w:tabs>
    </w:pPr>
  </w:style>
  <w:style w:type="character" w:customStyle="1" w:styleId="CharChar7">
    <w:name w:val="Char Char7"/>
    <w:basedOn w:val="DefaultParagraphFont"/>
    <w:locked/>
    <w:rPr>
      <w:rFonts w:ascii="Times New Roman" w:eastAsia="Times New Roman" w:hAnsi="Times New Roman" w:cs="Times New Roman"/>
      <w:sz w:val="22"/>
      <w:lang w:val="en-GB"/>
    </w:rPr>
  </w:style>
  <w:style w:type="paragraph" w:styleId="Footer">
    <w:name w:val="footer"/>
    <w:basedOn w:val="Normal"/>
    <w:pPr>
      <w:tabs>
        <w:tab w:val="center" w:pos="4320"/>
        <w:tab w:val="right" w:pos="8640"/>
      </w:tabs>
      <w:ind w:firstLine="720"/>
      <w:jc w:val="right"/>
    </w:pPr>
  </w:style>
  <w:style w:type="character" w:customStyle="1" w:styleId="CharChar6">
    <w:name w:val="Char Char6"/>
    <w:basedOn w:val="DefaultParagraphFont"/>
    <w:locked/>
    <w:rPr>
      <w:rFonts w:ascii="Times New Roman" w:eastAsia="Times New Roman" w:hAnsi="Times New Roman" w:cs="Times New Roman"/>
      <w:sz w:val="22"/>
      <w:lang w:val="en-GB"/>
    </w:rPr>
  </w:style>
  <w:style w:type="paragraph" w:customStyle="1" w:styleId="meetingname">
    <w:name w:val="meeting name"/>
    <w:basedOn w:val="Normal"/>
    <w:pPr>
      <w:ind w:left="142" w:right="4218" w:hanging="142"/>
    </w:pPr>
    <w:rPr>
      <w:caps/>
      <w:szCs w:val="22"/>
    </w:rPr>
  </w:style>
  <w:style w:type="paragraph" w:styleId="Title">
    <w:name w:val="Title"/>
    <w:basedOn w:val="Normal"/>
    <w:next w:val="Normal"/>
    <w:qFormat/>
    <w:pPr>
      <w:pBdr>
        <w:bottom w:val="single" w:sz="8" w:space="4" w:color="4F81BD"/>
      </w:pBdr>
      <w:spacing w:after="300"/>
      <w:contextualSpacing/>
    </w:pPr>
    <w:rPr>
      <w:color w:val="17365D"/>
      <w:spacing w:val="5"/>
      <w:kern w:val="28"/>
      <w:sz w:val="52"/>
      <w:szCs w:val="52"/>
    </w:rPr>
  </w:style>
  <w:style w:type="character" w:customStyle="1" w:styleId="CharChar5">
    <w:name w:val="Char Char5"/>
    <w:basedOn w:val="DefaultParagraphFont"/>
    <w:locked/>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pPr>
      <w:numPr>
        <w:ilvl w:val="1"/>
      </w:numPr>
    </w:pPr>
    <w:rPr>
      <w:i/>
      <w:iCs/>
      <w:color w:val="4F81BD"/>
      <w:spacing w:val="15"/>
      <w:sz w:val="24"/>
    </w:rPr>
  </w:style>
  <w:style w:type="character" w:customStyle="1" w:styleId="CharChar4">
    <w:name w:val="Char Char4"/>
    <w:basedOn w:val="DefaultParagraphFont"/>
    <w:locked/>
    <w:rPr>
      <w:rFonts w:ascii="Times New Roman" w:eastAsia="Times New Roman" w:hAnsi="Times New Roman" w:cs="Times New Roman"/>
      <w:i/>
      <w:iCs/>
      <w:color w:val="4F81BD"/>
      <w:spacing w:val="15"/>
      <w:lang w:val="en-US"/>
    </w:rPr>
  </w:style>
  <w:style w:type="character" w:customStyle="1" w:styleId="CharChar17">
    <w:name w:val="Char Char17"/>
    <w:basedOn w:val="DefaultParagraphFont"/>
    <w:locked/>
    <w:rPr>
      <w:rFonts w:ascii="Times New Roman" w:eastAsia="Times New Roman" w:hAnsi="Times New Roman" w:cs="Times New Roman"/>
      <w:b/>
      <w:caps/>
      <w:sz w:val="22"/>
      <w:lang w:val="en-GB"/>
    </w:rPr>
  </w:style>
  <w:style w:type="paragraph" w:styleId="BodyText">
    <w:name w:val="Body Text"/>
    <w:basedOn w:val="Normal"/>
    <w:pPr>
      <w:spacing w:before="120" w:after="120"/>
      <w:ind w:firstLine="720"/>
    </w:pPr>
    <w:rPr>
      <w:iCs/>
    </w:rPr>
  </w:style>
  <w:style w:type="character" w:customStyle="1" w:styleId="CharChar3">
    <w:name w:val="Char Char3"/>
    <w:basedOn w:val="DefaultParagraphFont"/>
    <w:locked/>
    <w:rPr>
      <w:rFonts w:ascii="Times New Roman" w:eastAsia="Times New Roman" w:hAnsi="Times New Roman" w:cs="Times New Roman"/>
      <w:iCs/>
      <w:sz w:val="22"/>
      <w:lang w:val="en-GB"/>
    </w:rPr>
  </w:style>
  <w:style w:type="paragraph" w:styleId="BodyTextIndent">
    <w:name w:val="Body Text Indent"/>
    <w:basedOn w:val="Normal"/>
    <w:pPr>
      <w:spacing w:before="120" w:after="120"/>
      <w:ind w:left="1440" w:hanging="720"/>
      <w:jc w:val="left"/>
    </w:pPr>
  </w:style>
  <w:style w:type="character" w:customStyle="1" w:styleId="CharChar2">
    <w:name w:val="Char Char2"/>
    <w:basedOn w:val="DefaultParagraphFont"/>
    <w:locked/>
    <w:rPr>
      <w:rFonts w:ascii="Times New Roman" w:eastAsia="Times New Roman" w:hAnsi="Times New Roman" w:cs="Times New Roman"/>
      <w:sz w:val="22"/>
      <w:lang w:val="en-G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120" w:line="240" w:lineRule="exact"/>
    </w:pPr>
  </w:style>
  <w:style w:type="character" w:customStyle="1" w:styleId="CharChar1">
    <w:name w:val="Char Char1"/>
    <w:basedOn w:val="DefaultParagraphFont"/>
    <w:semiHidden/>
    <w:locked/>
    <w:rPr>
      <w:rFonts w:ascii="Times New Roman" w:eastAsia="Times New Roman" w:hAnsi="Times New Roman" w:cs="Times New Roman"/>
      <w:sz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character" w:customStyle="1" w:styleId="CharChar">
    <w:name w:val="Char Char"/>
    <w:basedOn w:val="DefaultParagraphFont"/>
    <w:semiHidden/>
    <w:locked/>
    <w:rPr>
      <w:rFonts w:ascii="Courier New" w:eastAsia="Times New Roman" w:hAnsi="Courier New" w:cs="Times New Roman"/>
      <w:sz w:val="22"/>
      <w:lang w:val="en-GB"/>
    </w:rPr>
  </w:style>
  <w:style w:type="character" w:styleId="FollowedHyperlink">
    <w:name w:val="FollowedHyperlink"/>
    <w:basedOn w:val="DefaultParagraphFont"/>
    <w:rPr>
      <w:color w:val="800080"/>
      <w:u w:val="single"/>
    </w:rPr>
  </w:style>
  <w:style w:type="character" w:styleId="FootnoteReference">
    <w:name w:val="footnote reference"/>
    <w:aliases w:val="number Char,Footnote Reference Superscript Char,-E Fußnotenzeichen Char,(Diplomarbeit FZ) Char,(Diplomarbeit FZ)1 Char,(Diplomarbeit FZ)2 Char,(Diplomarbeit FZ)3 Char,(Diplomarbeit FZ)4 Char,(Diplomarbeit FZ)5 Char"/>
    <w:basedOn w:val="DefaultParagraphFont"/>
    <w:locked/>
    <w:rPr>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pPr>
      <w:keepLines/>
      <w:spacing w:after="60"/>
      <w:ind w:firstLine="720"/>
    </w:pPr>
    <w:rPr>
      <w:sz w:val="18"/>
    </w:rPr>
  </w:style>
  <w:style w:type="character" w:customStyle="1" w:styleId="Geneva9Char">
    <w:name w:val="Geneva 9 Char"/>
    <w:aliases w:val="Font: Geneva 9 Char,Boston 10 Char,f Char,ft Char1,Fotnotstext Char Char,ft Char Char,single space Char,footnote text Char,FOOTNOTES Char,ADB Char,single space1 Char,footnote text1 Char,FOOTNOTES1 Char,fn1 Char,ADB1 Char,single space2 Cha"/>
    <w:basedOn w:val="DefaultParagraphFont"/>
    <w:locked/>
    <w:rPr>
      <w:rFonts w:ascii="Times New Roman" w:eastAsia="Times New Roman" w:hAnsi="Times New Roman" w:cs="Times New Roman"/>
      <w:sz w:val="18"/>
      <w:lang w:val="en-GB"/>
    </w:rPr>
  </w:style>
  <w:style w:type="paragraph" w:customStyle="1" w:styleId="HEADING">
    <w:name w:val="HEADING"/>
    <w:basedOn w:val="Normal"/>
    <w:pPr>
      <w:keepNext/>
      <w:spacing w:before="240" w:after="120"/>
      <w:jc w:val="center"/>
    </w:pPr>
    <w:rPr>
      <w:b/>
      <w:bCs/>
      <w:caps/>
    </w:rPr>
  </w:style>
  <w:style w:type="character" w:customStyle="1" w:styleId="CharChar16">
    <w:name w:val="Char Char16"/>
    <w:basedOn w:val="DefaultParagraphFont"/>
    <w:locked/>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CharChar15">
    <w:name w:val="Char Char15"/>
    <w:basedOn w:val="DefaultParagraphFont"/>
    <w:locked/>
    <w:rPr>
      <w:rFonts w:ascii="Times New Roman" w:eastAsia="Times New Roman" w:hAnsi="Times New Roman" w:cs="Times New Roman"/>
      <w:i/>
      <w:iCs/>
      <w:sz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CharChar14">
    <w:name w:val="Char Char14"/>
    <w:basedOn w:val="DefaultParagraphFont"/>
    <w:locked/>
    <w:rPr>
      <w:rFonts w:ascii="Times New Roman" w:eastAsia="Times New Roman" w:hAnsi="Times New Roman" w:cs="Arial"/>
      <w:b/>
      <w:bCs/>
      <w:i/>
      <w:sz w:val="22"/>
      <w:lang w:val="en-GB"/>
    </w:rPr>
  </w:style>
  <w:style w:type="paragraph" w:customStyle="1" w:styleId="Heading4indent">
    <w:name w:val="Heading 4 indent"/>
    <w:basedOn w:val="Heading4"/>
    <w:pPr>
      <w:ind w:left="720"/>
      <w:outlineLvl w:val="9"/>
    </w:pPr>
  </w:style>
  <w:style w:type="character" w:customStyle="1" w:styleId="CharChar13">
    <w:name w:val="Char Char13"/>
    <w:basedOn w:val="DefaultParagraphFont"/>
    <w:locked/>
    <w:rPr>
      <w:rFonts w:ascii="Times New Roman" w:eastAsia="Times New Roman" w:hAnsi="Times New Roman" w:cs="Times New Roman"/>
      <w:bCs/>
      <w:i/>
      <w:sz w:val="26"/>
      <w:szCs w:val="26"/>
      <w:lang w:val="en-CA"/>
    </w:rPr>
  </w:style>
  <w:style w:type="character" w:customStyle="1" w:styleId="CharChar12">
    <w:name w:val="Char Char12"/>
    <w:basedOn w:val="DefaultParagraphFont"/>
    <w:locked/>
    <w:rPr>
      <w:rFonts w:ascii="Times New Roman" w:eastAsia="Times New Roman" w:hAnsi="Times New Roman" w:cs="Times New Roman"/>
      <w:sz w:val="22"/>
      <w:u w:val="single"/>
      <w:lang w:val="en-GB"/>
    </w:rPr>
  </w:style>
  <w:style w:type="character" w:customStyle="1" w:styleId="CharChar11">
    <w:name w:val="Char Char11"/>
    <w:basedOn w:val="DefaultParagraphFont"/>
    <w:locked/>
    <w:rPr>
      <w:rFonts w:ascii="Times New Roman" w:eastAsia="Times New Roman" w:hAnsi="Times New Roman" w:cs="Times New Roman"/>
      <w:b/>
      <w:sz w:val="28"/>
      <w:lang w:val="en-GB"/>
    </w:rPr>
  </w:style>
  <w:style w:type="character" w:customStyle="1" w:styleId="CharChar10">
    <w:name w:val="Char Char10"/>
    <w:basedOn w:val="DefaultParagraphFont"/>
    <w:locked/>
    <w:rPr>
      <w:rFonts w:ascii="Times New Roman" w:eastAsia="Times New Roman" w:hAnsi="Times New Roman" w:cs="Times New Roman"/>
      <w:b/>
      <w:sz w:val="32"/>
      <w:lang w:val="en-GB"/>
    </w:rPr>
  </w:style>
  <w:style w:type="character" w:customStyle="1" w:styleId="CharChar9">
    <w:name w:val="Char Char9"/>
    <w:basedOn w:val="DefaultParagraphFont"/>
    <w:locked/>
    <w:rPr>
      <w:rFonts w:ascii="Times New Roman" w:eastAsia="Times New Roman" w:hAnsi="Times New Roman" w:cs="Times New Roman"/>
      <w:i/>
      <w:iCs/>
      <w:sz w:val="22"/>
      <w:lang w:val="en-GB"/>
    </w:rPr>
  </w:style>
  <w:style w:type="character" w:styleId="PageNumber">
    <w:name w:val="page number"/>
    <w:basedOn w:val="DefaultParagraphFont"/>
    <w:rPr>
      <w:rFonts w:ascii="Times New Roman" w:hAnsi="Times New Roman"/>
      <w:sz w:val="22"/>
    </w:rPr>
  </w:style>
  <w:style w:type="paragraph" w:customStyle="1" w:styleId="Para1">
    <w:name w:val="Para1"/>
    <w:basedOn w:val="Normal"/>
    <w:pPr>
      <w:numPr>
        <w:numId w:val="4"/>
      </w:numPr>
      <w:tabs>
        <w:tab w:val="clear" w:pos="360"/>
      </w:tabs>
      <w:spacing w:before="120" w:after="120"/>
    </w:pPr>
    <w:rPr>
      <w:snapToGrid/>
      <w:szCs w:val="18"/>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rPr>
      <w:bCs/>
    </w:r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sz w:val="18"/>
    </w:rPr>
  </w:style>
  <w:style w:type="character" w:customStyle="1" w:styleId="StyleFootnoteReferenceNounderline">
    <w:name w:val="Style Footnote Reference + No underline"/>
    <w:rPr>
      <w:sz w:val="18"/>
      <w:u w:val="none"/>
      <w:vertAlign w:val="baseline"/>
    </w:rPr>
  </w:style>
  <w:style w:type="paragraph" w:customStyle="1" w:styleId="tabletitle">
    <w:name w:val="table title"/>
    <w:basedOn w:val="Heading2"/>
    <w:pPr>
      <w:jc w:val="left"/>
      <w:outlineLvl w:val="9"/>
    </w:pPr>
    <w:rPr>
      <w:i/>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lang w:val="es-E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u w:val="single"/>
    </w:rPr>
  </w:style>
  <w:style w:type="character" w:customStyle="1" w:styleId="Para1Char">
    <w:name w:val="Para1 Char"/>
    <w:locked/>
    <w:rPr>
      <w:rFonts w:ascii="Times New Roman" w:eastAsia="Times New Roman" w:hAnsi="Times New Roman"/>
      <w:snapToGrid w:val="0"/>
      <w:sz w:val="18"/>
      <w:lang w:val="en-GB"/>
    </w:rPr>
  </w:style>
  <w:style w:type="paragraph" w:customStyle="1" w:styleId="CBD-Doc-Type">
    <w:name w:val="CBD-Doc-Type"/>
    <w:basedOn w:val="Normal"/>
    <w:pPr>
      <w:keepLines/>
      <w:spacing w:before="240" w:after="120"/>
    </w:pPr>
    <w:rPr>
      <w:b/>
      <w:i/>
      <w:sz w:val="24"/>
    </w:rPr>
  </w:style>
  <w:style w:type="paragraph" w:customStyle="1" w:styleId="CBD-Doc">
    <w:name w:val="CBD-Doc"/>
    <w:basedOn w:val="Normal"/>
    <w:pPr>
      <w:keepLines/>
      <w:numPr>
        <w:numId w:val="9"/>
      </w:numPr>
      <w:spacing w:after="120"/>
    </w:pPr>
  </w:style>
  <w:style w:type="paragraph" w:styleId="ListParagraph">
    <w:name w:val="List Paragraph"/>
    <w:basedOn w:val="Normal"/>
    <w:qFormat/>
    <w:pPr>
      <w:ind w:left="720"/>
      <w:contextualSpacing/>
    </w:pPr>
  </w:style>
  <w:style w:type="paragraph" w:styleId="Caption">
    <w:name w:val="caption"/>
    <w:basedOn w:val="Normal"/>
    <w:next w:val="Normal"/>
    <w:qFormat/>
    <w:pPr>
      <w:keepNext/>
      <w:keepLines/>
      <w:spacing w:after="200"/>
    </w:pPr>
    <w:rPr>
      <w:b/>
      <w:iCs/>
      <w:szCs w:val="18"/>
    </w:rPr>
  </w:style>
  <w:style w:type="paragraph" w:customStyle="1" w:styleId="Style1">
    <w:name w:val="Style1"/>
    <w:basedOn w:val="Heading2"/>
    <w:rPr>
      <w:i/>
    </w:rPr>
  </w:style>
  <w:style w:type="paragraph" w:styleId="NoSpacing">
    <w:name w:val="No Spacing"/>
    <w:qFormat/>
    <w:rPr>
      <w:snapToGrid w:val="0"/>
      <w:sz w:val="22"/>
      <w:szCs w:val="22"/>
      <w:lang w:val="en-US" w:eastAsia="es-ES"/>
    </w:rPr>
  </w:style>
  <w:style w:type="character" w:customStyle="1" w:styleId="NoSpacingChar">
    <w:name w:val="No Spacing Char"/>
    <w:basedOn w:val="DefaultParagraphFont"/>
    <w:locked/>
    <w:rPr>
      <w:rFonts w:ascii="Times New Roman" w:eastAsia="Times New Roman" w:hAnsi="Times New Roman" w:cs="Times New Roman"/>
      <w:sz w:val="22"/>
      <w:szCs w:val="22"/>
      <w:lang w:val="en-US" w:bidi="ar-SA"/>
    </w:rPr>
  </w:style>
  <w:style w:type="paragraph" w:customStyle="1" w:styleId="number">
    <w:name w:val="number"/>
    <w:aliases w:val="Footnote Reference Superscript,-E Fußnotenzeichen,(Diplomarbeit FZ),(Diplomarbeit FZ)1,(Diplomarbeit FZ)2,(Diplomarbeit FZ)3,(Diplomarbeit FZ)4,(Diplomarbeit FZ)5,(Diplomarbeit FZ)6,(Diplomarbeit FZ)7,(Diplomarbeit FZ)8,16 Poin"/>
    <w:basedOn w:val="Normal"/>
    <w:pPr>
      <w:spacing w:after="160" w:line="240" w:lineRule="exact"/>
      <w:jc w:val="left"/>
    </w:pPr>
    <w:rPr>
      <w:szCs w:val="20"/>
      <w:vertAlign w:val="superscript"/>
      <w:lang w:val="es-ES"/>
    </w:rPr>
  </w:style>
  <w:style w:type="paragraph" w:styleId="Revision">
    <w:name w:val="Revision"/>
    <w:hidden/>
    <w:semiHidden/>
    <w:rPr>
      <w:snapToGrid w:val="0"/>
      <w:sz w:val="22"/>
      <w:szCs w:val="24"/>
      <w:lang w:val="en-GB" w:eastAsia="es-E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1372</Words>
  <Characters>7383</Characters>
  <Application>Microsoft Office Word</Application>
  <DocSecurity>0</DocSecurity>
  <Lines>129</Lines>
  <Paragraphs>47</Paragraphs>
  <ScaleCrop>false</ScaleCrop>
  <HeadingPairs>
    <vt:vector size="2" baseType="variant">
      <vt:variant>
        <vt:lpstr>Title</vt:lpstr>
      </vt:variant>
      <vt:variant>
        <vt:i4>1</vt:i4>
      </vt:variant>
    </vt:vector>
  </HeadingPairs>
  <TitlesOfParts>
    <vt:vector size="1" baseType="lpstr">
      <vt:lpstr>9/7.	Preparation for the follow-up to the Strategic Plan for Biodiversity 2011-2020 and the Strategic Plan for the Cartagena Protocol on Biosafety 2011-2020</vt:lpstr>
    </vt:vector>
  </TitlesOfParts>
  <Company>SCBD</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Preparation for the follow-up to the Strategic Plan for Biodiversity 2011-2020 and the Strategic Plan for the Cartagena Protocol on Biosafety 2011-2020</dc:title>
  <dc:subject>CBD/CP/MOP/DEC/9/7</dc:subject>
  <dc:creator>CP-MOP 9</dc:creator>
  <cp:keywords>Preparation for the follow-up to the Strategic Plan for Biodiversity 2011-2020 and the Strategic Plan for the Cartagena Protocol on Biosafety (2011-2020), Cartagena Protocol on Biosafety, Convention on Biological Diversity</cp:keywords>
  <cp:lastModifiedBy>Laura Perez</cp:lastModifiedBy>
  <cp:revision>3</cp:revision>
  <cp:lastPrinted>2018-11-28T20:06:00Z</cp:lastPrinted>
  <dcterms:created xsi:type="dcterms:W3CDTF">2019-02-06T01:42:00Z</dcterms:created>
  <dcterms:modified xsi:type="dcterms:W3CDTF">2019-02-06T02:02:00Z</dcterms:modified>
</cp:coreProperties>
</file>